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09035" w14:textId="3E996A56" w:rsidR="008860D3" w:rsidRDefault="008860D3" w:rsidP="005834C5"/>
    <w:p w14:paraId="4274FD1C" w14:textId="23077A06" w:rsidR="008860D3" w:rsidRDefault="00A924DF" w:rsidP="005834C5">
      <w:r w:rsidRPr="00543416">
        <w:rPr>
          <w:noProof/>
          <w:lang w:val="en-US" w:eastAsia="en-US"/>
        </w:rPr>
        <w:drawing>
          <wp:anchor distT="0" distB="0" distL="114300" distR="114300" simplePos="0" relativeHeight="251652608" behindDoc="0" locked="0" layoutInCell="1" allowOverlap="1" wp14:anchorId="57723A32" wp14:editId="2B6DCA45">
            <wp:simplePos x="0" y="0"/>
            <wp:positionH relativeFrom="column">
              <wp:posOffset>229944</wp:posOffset>
            </wp:positionH>
            <wp:positionV relativeFrom="paragraph">
              <wp:posOffset>14118</wp:posOffset>
            </wp:positionV>
            <wp:extent cx="2035175" cy="1238250"/>
            <wp:effectExtent l="0" t="0" r="3175" b="0"/>
            <wp:wrapNone/>
            <wp:docPr id="107"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035175" cy="1238250"/>
                    </a:xfrm>
                    <a:prstGeom prst="rect">
                      <a:avLst/>
                    </a:prstGeom>
                  </pic:spPr>
                </pic:pic>
              </a:graphicData>
            </a:graphic>
            <wp14:sizeRelH relativeFrom="page">
              <wp14:pctWidth>0</wp14:pctWidth>
            </wp14:sizeRelH>
            <wp14:sizeRelV relativeFrom="page">
              <wp14:pctHeight>0</wp14:pctHeight>
            </wp14:sizeRelV>
          </wp:anchor>
        </w:drawing>
      </w:r>
      <w:r w:rsidRPr="00543416">
        <w:rPr>
          <w:noProof/>
          <w:lang w:val="en-US" w:eastAsia="en-US"/>
        </w:rPr>
        <w:drawing>
          <wp:anchor distT="0" distB="0" distL="114300" distR="114300" simplePos="0" relativeHeight="251653632" behindDoc="0" locked="0" layoutInCell="1" allowOverlap="1" wp14:anchorId="56211F50" wp14:editId="2DF58E09">
            <wp:simplePos x="0" y="0"/>
            <wp:positionH relativeFrom="column">
              <wp:posOffset>3623355</wp:posOffset>
            </wp:positionH>
            <wp:positionV relativeFrom="paragraph">
              <wp:posOffset>7767</wp:posOffset>
            </wp:positionV>
            <wp:extent cx="2215515" cy="1229360"/>
            <wp:effectExtent l="0" t="0" r="0" b="8890"/>
            <wp:wrapNone/>
            <wp:docPr id="108"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2070"/>
                    <a:stretch/>
                  </pic:blipFill>
                  <pic:spPr bwMode="auto">
                    <a:xfrm>
                      <a:off x="0" y="0"/>
                      <a:ext cx="2215515" cy="1229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388BA5" w14:textId="77777777" w:rsidR="008860D3" w:rsidRDefault="008860D3" w:rsidP="005834C5"/>
    <w:p w14:paraId="508EACCE" w14:textId="769026D7" w:rsidR="008860D3" w:rsidRDefault="008860D3" w:rsidP="005834C5"/>
    <w:p w14:paraId="6F2B8CF7" w14:textId="153AB0CC" w:rsidR="008860D3" w:rsidRDefault="008860D3" w:rsidP="005834C5"/>
    <w:p w14:paraId="2D52FFBA" w14:textId="77777777" w:rsidR="008860D3" w:rsidRPr="008860D3" w:rsidRDefault="008860D3" w:rsidP="005834C5"/>
    <w:p w14:paraId="219F8D0C" w14:textId="77777777" w:rsidR="0061384D" w:rsidRDefault="0061384D" w:rsidP="005834C5"/>
    <w:p w14:paraId="3556E067" w14:textId="77777777" w:rsidR="00A924DF" w:rsidRDefault="00A924DF" w:rsidP="005834C5"/>
    <w:p w14:paraId="3E6D9170" w14:textId="77777777" w:rsidR="00E32129" w:rsidRDefault="00E32129" w:rsidP="005834C5"/>
    <w:p w14:paraId="0C714291" w14:textId="77777777" w:rsidR="00E32129" w:rsidRDefault="00E32129" w:rsidP="005834C5"/>
    <w:p w14:paraId="70137616" w14:textId="77777777" w:rsidR="00E32129" w:rsidRDefault="00E32129" w:rsidP="005834C5"/>
    <w:p w14:paraId="35A619C9" w14:textId="77777777" w:rsidR="00E32129" w:rsidRDefault="00E32129" w:rsidP="005834C5"/>
    <w:p w14:paraId="40380E29" w14:textId="77777777" w:rsidR="00E32129" w:rsidRDefault="00E32129" w:rsidP="005834C5"/>
    <w:p w14:paraId="41840214" w14:textId="77777777" w:rsidR="00E32129" w:rsidRDefault="00E32129" w:rsidP="005834C5"/>
    <w:p w14:paraId="0050822D" w14:textId="77777777" w:rsidR="00E32129" w:rsidRDefault="00E32129" w:rsidP="005834C5"/>
    <w:p w14:paraId="2B9EA1B6" w14:textId="77777777" w:rsidR="00E32129" w:rsidRDefault="00E32129" w:rsidP="005834C5"/>
    <w:p w14:paraId="59DAD211" w14:textId="77777777" w:rsidR="00E32129" w:rsidRDefault="00E32129" w:rsidP="005834C5"/>
    <w:p w14:paraId="4A59A96E" w14:textId="7353374F" w:rsidR="008860D3" w:rsidRPr="00E32129" w:rsidRDefault="00ED328F" w:rsidP="00E32129">
      <w:pPr>
        <w:jc w:val="center"/>
        <w:rPr>
          <w:b/>
          <w:sz w:val="56"/>
          <w:szCs w:val="56"/>
        </w:rPr>
      </w:pPr>
      <w:r>
        <w:rPr>
          <w:b/>
          <w:sz w:val="56"/>
          <w:szCs w:val="56"/>
        </w:rPr>
        <w:t>Options pour le financement de</w:t>
      </w:r>
      <w:r w:rsidR="008860D3" w:rsidRPr="00E32129">
        <w:rPr>
          <w:b/>
          <w:sz w:val="56"/>
          <w:szCs w:val="56"/>
        </w:rPr>
        <w:t xml:space="preserve"> la mise en œuvre </w:t>
      </w:r>
      <w:r w:rsidR="00547C9B" w:rsidRPr="00E32129">
        <w:rPr>
          <w:b/>
          <w:sz w:val="56"/>
          <w:szCs w:val="56"/>
        </w:rPr>
        <w:t>de la Stratégie Nationale</w:t>
      </w:r>
      <w:r w:rsidR="008860D3" w:rsidRPr="00E32129">
        <w:rPr>
          <w:b/>
          <w:sz w:val="56"/>
          <w:szCs w:val="56"/>
        </w:rPr>
        <w:t xml:space="preserve"> REDD+ de la République du Congo</w:t>
      </w:r>
    </w:p>
    <w:p w14:paraId="5FA3B5A4" w14:textId="6CA59D1A" w:rsidR="008860D3" w:rsidRDefault="008860D3" w:rsidP="005834C5"/>
    <w:p w14:paraId="0F2E93E4" w14:textId="135E5B92" w:rsidR="008860D3" w:rsidRPr="00E32129" w:rsidRDefault="008860D3" w:rsidP="00E32129">
      <w:pPr>
        <w:jc w:val="center"/>
        <w:rPr>
          <w:sz w:val="48"/>
          <w:szCs w:val="48"/>
        </w:rPr>
      </w:pPr>
      <w:r w:rsidRPr="00E32129">
        <w:rPr>
          <w:sz w:val="48"/>
          <w:szCs w:val="48"/>
        </w:rPr>
        <w:t xml:space="preserve">Version </w:t>
      </w:r>
      <w:r w:rsidR="002260A2">
        <w:rPr>
          <w:sz w:val="48"/>
          <w:szCs w:val="48"/>
        </w:rPr>
        <w:t>Juin</w:t>
      </w:r>
      <w:r w:rsidR="00E32129" w:rsidRPr="00E32129">
        <w:rPr>
          <w:sz w:val="48"/>
          <w:szCs w:val="48"/>
        </w:rPr>
        <w:t xml:space="preserve"> </w:t>
      </w:r>
      <w:r w:rsidR="009710BB" w:rsidRPr="00E32129">
        <w:rPr>
          <w:sz w:val="48"/>
          <w:szCs w:val="48"/>
        </w:rPr>
        <w:t>2016</w:t>
      </w:r>
    </w:p>
    <w:p w14:paraId="267C4F50" w14:textId="111D4B54" w:rsidR="008860D3" w:rsidRPr="008860D3" w:rsidRDefault="008860D3" w:rsidP="005834C5"/>
    <w:p w14:paraId="6177F418" w14:textId="46AD28C0" w:rsidR="008860D3" w:rsidRDefault="008860D3" w:rsidP="005834C5"/>
    <w:p w14:paraId="46FCDC7C" w14:textId="47C5F32C" w:rsidR="00972931" w:rsidRDefault="00972931" w:rsidP="005834C5"/>
    <w:p w14:paraId="6DA34EE5" w14:textId="47E87B25" w:rsidR="00972931" w:rsidRDefault="00972931" w:rsidP="005834C5"/>
    <w:p w14:paraId="2D169CD5" w14:textId="46CFC7F9" w:rsidR="00972931" w:rsidRDefault="00972931" w:rsidP="005834C5"/>
    <w:p w14:paraId="3AB9C286" w14:textId="77777777" w:rsidR="00E32129" w:rsidRDefault="00E32129" w:rsidP="005834C5"/>
    <w:p w14:paraId="03685B2F" w14:textId="77777777" w:rsidR="00E32129" w:rsidRDefault="00E32129" w:rsidP="005834C5"/>
    <w:p w14:paraId="557EDF02" w14:textId="77777777" w:rsidR="00E32129" w:rsidRDefault="00E32129" w:rsidP="005834C5"/>
    <w:p w14:paraId="7F3E2DC2" w14:textId="77777777" w:rsidR="00E32129" w:rsidRDefault="00E32129" w:rsidP="005834C5"/>
    <w:p w14:paraId="51DC26E4" w14:textId="018C3E84" w:rsidR="008860D3" w:rsidRDefault="008860D3" w:rsidP="005834C5"/>
    <w:p w14:paraId="4519A6C7" w14:textId="668F6A08" w:rsidR="008860D3" w:rsidRDefault="008860D3" w:rsidP="005834C5"/>
    <w:p w14:paraId="041FFCC3" w14:textId="7697AECE" w:rsidR="008860D3" w:rsidRDefault="00E32129" w:rsidP="005834C5">
      <w:r>
        <w:rPr>
          <w:noProof/>
          <w:lang w:val="en-US" w:eastAsia="en-US"/>
        </w:rPr>
        <w:drawing>
          <wp:anchor distT="0" distB="0" distL="114300" distR="114300" simplePos="0" relativeHeight="251659776" behindDoc="0" locked="0" layoutInCell="1" allowOverlap="1" wp14:anchorId="07B29A77" wp14:editId="4056C85C">
            <wp:simplePos x="0" y="0"/>
            <wp:positionH relativeFrom="column">
              <wp:posOffset>2325408</wp:posOffset>
            </wp:positionH>
            <wp:positionV relativeFrom="paragraph">
              <wp:posOffset>217796</wp:posOffset>
            </wp:positionV>
            <wp:extent cx="1755140" cy="942975"/>
            <wp:effectExtent l="0" t="0" r="0" b="952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P F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5140" cy="942975"/>
                    </a:xfrm>
                    <a:prstGeom prst="rect">
                      <a:avLst/>
                    </a:prstGeom>
                  </pic:spPr>
                </pic:pic>
              </a:graphicData>
            </a:graphic>
            <wp14:sizeRelH relativeFrom="page">
              <wp14:pctWidth>0</wp14:pctWidth>
            </wp14:sizeRelH>
            <wp14:sizeRelV relativeFrom="page">
              <wp14:pctHeight>0</wp14:pctHeight>
            </wp14:sizeRelV>
          </wp:anchor>
        </w:drawing>
      </w:r>
      <w:r w:rsidR="00FB4D8F">
        <w:rPr>
          <w:noProof/>
          <w:lang w:val="en-US" w:eastAsia="en-US"/>
        </w:rPr>
        <w:drawing>
          <wp:anchor distT="0" distB="0" distL="114300" distR="114300" simplePos="0" relativeHeight="251658752" behindDoc="0" locked="0" layoutInCell="1" allowOverlap="1" wp14:anchorId="08FECC63" wp14:editId="5C514A23">
            <wp:simplePos x="0" y="0"/>
            <wp:positionH relativeFrom="column">
              <wp:posOffset>5053330</wp:posOffset>
            </wp:positionH>
            <wp:positionV relativeFrom="paragraph">
              <wp:posOffset>360045</wp:posOffset>
            </wp:positionV>
            <wp:extent cx="775970" cy="836930"/>
            <wp:effectExtent l="0" t="0" r="5080" b="127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970" cy="836930"/>
                    </a:xfrm>
                    <a:prstGeom prst="rect">
                      <a:avLst/>
                    </a:prstGeom>
                  </pic:spPr>
                </pic:pic>
              </a:graphicData>
            </a:graphic>
            <wp14:sizeRelH relativeFrom="page">
              <wp14:pctWidth>0</wp14:pctWidth>
            </wp14:sizeRelH>
            <wp14:sizeRelV relativeFrom="page">
              <wp14:pctHeight>0</wp14:pctHeight>
            </wp14:sizeRelV>
          </wp:anchor>
        </w:drawing>
      </w:r>
      <w:r w:rsidR="00A924DF">
        <w:rPr>
          <w:noProof/>
          <w:lang w:val="en-US" w:eastAsia="en-US"/>
        </w:rPr>
        <w:drawing>
          <wp:anchor distT="0" distB="0" distL="114300" distR="114300" simplePos="0" relativeHeight="251657728" behindDoc="0" locked="0" layoutInCell="1" allowOverlap="1" wp14:anchorId="1C4657DA" wp14:editId="3595FCF4">
            <wp:simplePos x="0" y="0"/>
            <wp:positionH relativeFrom="column">
              <wp:posOffset>5715</wp:posOffset>
            </wp:positionH>
            <wp:positionV relativeFrom="paragraph">
              <wp:posOffset>637540</wp:posOffset>
            </wp:positionV>
            <wp:extent cx="1435100" cy="395605"/>
            <wp:effectExtent l="0" t="0" r="0" b="444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5100" cy="395605"/>
                    </a:xfrm>
                    <a:prstGeom prst="rect">
                      <a:avLst/>
                    </a:prstGeom>
                    <a:noFill/>
                  </pic:spPr>
                </pic:pic>
              </a:graphicData>
            </a:graphic>
            <wp14:sizeRelH relativeFrom="page">
              <wp14:pctWidth>0</wp14:pctWidth>
            </wp14:sizeRelH>
            <wp14:sizeRelV relativeFrom="page">
              <wp14:pctHeight>0</wp14:pctHeight>
            </wp14:sizeRelV>
          </wp:anchor>
        </w:drawing>
      </w:r>
      <w:r w:rsidR="00A924DF">
        <w:rPr>
          <w:noProof/>
        </w:rPr>
        <w:t xml:space="preserve"> </w:t>
      </w:r>
      <w:r w:rsidR="008860D3">
        <w:t xml:space="preserve">                     </w:t>
      </w:r>
    </w:p>
    <w:p w14:paraId="1167812B" w14:textId="1DC73EF1" w:rsidR="008860D3" w:rsidRPr="00543416" w:rsidRDefault="008860D3" w:rsidP="005834C5">
      <w:pPr>
        <w:sectPr w:rsidR="008860D3" w:rsidRPr="00543416" w:rsidSect="00E32129">
          <w:footerReference w:type="default" r:id="rId16"/>
          <w:pgSz w:w="11907" w:h="16840" w:code="9"/>
          <w:pgMar w:top="794" w:right="1134" w:bottom="1134" w:left="1134" w:header="5" w:footer="0" w:gutter="0"/>
          <w:cols w:space="720"/>
          <w:docGrid w:linePitch="360"/>
        </w:sectPr>
      </w:pPr>
    </w:p>
    <w:p w14:paraId="25607D31" w14:textId="77777777" w:rsidR="00A26D63" w:rsidRPr="00543416" w:rsidRDefault="00A26D63" w:rsidP="005834C5">
      <w:pPr>
        <w:rPr>
          <w:rFonts w:eastAsiaTheme="majorEastAsia"/>
        </w:rPr>
      </w:pPr>
    </w:p>
    <w:p w14:paraId="01AF7F25" w14:textId="4597D40D" w:rsidR="00D36020" w:rsidRDefault="00D36020">
      <w:pPr>
        <w:spacing w:after="200" w:line="276" w:lineRule="auto"/>
        <w:jc w:val="left"/>
        <w:rPr>
          <w:rFonts w:eastAsiaTheme="majorEastAsia" w:cstheme="majorBidi"/>
          <w:b/>
          <w:bCs/>
          <w:smallCaps/>
          <w:color w:val="548AB7" w:themeColor="accent1" w:themeShade="BF"/>
          <w:sz w:val="40"/>
          <w:szCs w:val="28"/>
        </w:rPr>
      </w:pPr>
      <w:r>
        <w:br w:type="page"/>
      </w:r>
    </w:p>
    <w:p w14:paraId="5B9FD4D2" w14:textId="77777777" w:rsidR="00D36020" w:rsidRDefault="00D36020" w:rsidP="00D36020">
      <w:r>
        <w:lastRenderedPageBreak/>
        <w:t xml:space="preserve">Le Programme ONU-REDD est l’initiative collaborative de l’Organisation des Nations Unies en vue de réduire les émissions liées à la déforestation et à la dégradation des forêts dans les pays en développement (ONU-REDD). Il a été lancé en septembre 2008 pour aider les pays en développement à préparer et mettre en œuvre les stratégies nationales de REDD+ et à exploiter le pouvoir de rassemblement et l’expertise de l’Organisation des Nations Unies pour l’alimentation et l’agriculture (FAO), le Programme des Nations Unies pour le développement (PNUD) et le Programme des Nations Unies pour l’environnement (PNUE). </w:t>
      </w:r>
    </w:p>
    <w:p w14:paraId="1DB46232" w14:textId="07CC024D" w:rsidR="00D36020" w:rsidRDefault="00D36020" w:rsidP="00D36020">
      <w:r>
        <w:t>Ce rapport a été rédigé par une équipe multidisciplin</w:t>
      </w:r>
      <w:r>
        <w:t xml:space="preserve">aire d’experts de TEREA, ACTED </w:t>
      </w:r>
      <w:r>
        <w:t>et UNEP FI, sous la supervision du PNUE et de la Coordination Nationale REDD+ de la République du Congo, et avec le financement du Programme ONU-REDD.</w:t>
      </w:r>
    </w:p>
    <w:p w14:paraId="2C27CCD7" w14:textId="77777777" w:rsidR="00D36020" w:rsidRDefault="00D36020" w:rsidP="00D36020">
      <w:r w:rsidRPr="00736632">
        <w:rPr>
          <w:b/>
        </w:rPr>
        <w:t>Droits de reproduction</w:t>
      </w:r>
      <w:r>
        <w:t xml:space="preserve"> : La présente publication peut être reproduite en totalité ou en partie et sous quelque forme que ce soit à des fins éducatives ou non lucratives sans permission spéciale du détenteur des droits d’auteur, à condition d’en citer la source. Le PNUE souhaiterait recevoir une copie de toute publication qui utilise la présente publication comme source. La présente publication ne peut être revendue ni utilisée à quelque </w:t>
      </w:r>
      <w:proofErr w:type="gramStart"/>
      <w:r>
        <w:t>fin</w:t>
      </w:r>
      <w:proofErr w:type="gramEnd"/>
      <w:r>
        <w:t xml:space="preserve"> commerciale que ce soit sans la permission préalable écrite de la part du Programme des Nations Unies pour l’Environnement.</w:t>
      </w:r>
    </w:p>
    <w:p w14:paraId="0DEA222F" w14:textId="77777777" w:rsidR="00D36020" w:rsidRDefault="00D36020" w:rsidP="00D36020">
      <w:r w:rsidRPr="00736632">
        <w:rPr>
          <w:b/>
        </w:rPr>
        <w:t>Avertissement</w:t>
      </w:r>
      <w:r>
        <w:t xml:space="preserve"> : Les appellations employées dans la présente publication et la présentation des données qui y figurent n’impliquent de la part du Programme des Nations Unies pour l’Environnement aucune prise de position quant au statut juridique des pays, territoires, villes ou zones ou de leurs autorités, ni quant au tracé de leurs frontières ou limites. De plus, les vues exprimées ne reflètent pas nécessairement la décision ou la politique déclarée du Programme des Nations Unies pour l’Environnement, de même que la mention de noms ou processus commerciaux ne constitue en rien une approbation.</w:t>
      </w:r>
    </w:p>
    <w:p w14:paraId="6A2E22E3" w14:textId="237BD8E7" w:rsidR="00D36020" w:rsidRDefault="00D36020" w:rsidP="00D36020">
      <w:r w:rsidRPr="00736632">
        <w:rPr>
          <w:b/>
          <w:lang w:val="fr-CA"/>
        </w:rPr>
        <w:t>Citation</w:t>
      </w:r>
      <w:r w:rsidRPr="00736632">
        <w:rPr>
          <w:lang w:val="fr-CA"/>
        </w:rPr>
        <w:t xml:space="preserve"> : </w:t>
      </w:r>
      <w:r w:rsidRPr="00CB0A35">
        <w:rPr>
          <w:lang w:val="fr-CA"/>
        </w:rPr>
        <w:t xml:space="preserve">PNUE (2016). </w:t>
      </w:r>
      <w:r>
        <w:t>Options pour le financement</w:t>
      </w:r>
      <w:r w:rsidRPr="00CB0A35">
        <w:t xml:space="preserve"> de la </w:t>
      </w:r>
      <w:r>
        <w:t xml:space="preserve">mise en œuvre de la Stratégie Nationale </w:t>
      </w:r>
      <w:r w:rsidRPr="00CB0A35">
        <w:t xml:space="preserve">REDD+ </w:t>
      </w:r>
      <w:r>
        <w:t xml:space="preserve">de la </w:t>
      </w:r>
      <w:r w:rsidRPr="00CB0A35">
        <w:t xml:space="preserve">République du Congo. Préparé </w:t>
      </w:r>
      <w:r>
        <w:t>sous financement du</w:t>
      </w:r>
      <w:r w:rsidRPr="00CB0A35">
        <w:t xml:space="preserve"> Programme ONU-REDD, pour la Coordination National</w:t>
      </w:r>
      <w:r>
        <w:t>e</w:t>
      </w:r>
      <w:r w:rsidRPr="00CB0A35">
        <w:t xml:space="preserve"> REDD+ de la République du Congo.</w:t>
      </w:r>
      <w:r>
        <w:t xml:space="preserve"> </w:t>
      </w:r>
    </w:p>
    <w:p w14:paraId="06FD590D" w14:textId="62569BC4" w:rsidR="00D36020" w:rsidRDefault="00D36020" w:rsidP="00D36020">
      <w:r w:rsidRPr="00736632">
        <w:rPr>
          <w:b/>
        </w:rPr>
        <w:t xml:space="preserve">Remerciements </w:t>
      </w:r>
      <w:r>
        <w:t xml:space="preserve">: Le PNUE tient à remercier particulièrement Christine Langevin pour son travail de grande qualité pendant toute la préparation du rapport. Merci également à Jonathan </w:t>
      </w:r>
      <w:proofErr w:type="spellStart"/>
      <w:r>
        <w:t>Gheyssens</w:t>
      </w:r>
      <w:proofErr w:type="spellEnd"/>
      <w:r>
        <w:t xml:space="preserve">, dont l’expertise a été déterminante pour la réalisation des analyses économiques, ainsi qu’à Edmond </w:t>
      </w:r>
      <w:proofErr w:type="spellStart"/>
      <w:r>
        <w:t>Baouamio</w:t>
      </w:r>
      <w:proofErr w:type="spellEnd"/>
      <w:r>
        <w:t xml:space="preserve"> et </w:t>
      </w:r>
      <w:r>
        <w:t xml:space="preserve">Cyril </w:t>
      </w:r>
      <w:proofErr w:type="spellStart"/>
      <w:r>
        <w:t>Poulopoulos</w:t>
      </w:r>
      <w:proofErr w:type="spellEnd"/>
      <w:r>
        <w:t xml:space="preserve"> </w:t>
      </w:r>
      <w:r>
        <w:t>pour leur</w:t>
      </w:r>
      <w:r>
        <w:t xml:space="preserve"> aide lors de la collecte de données et des consultations avec les parties prenantes congolaises. Finalement, nous souhaitons </w:t>
      </w:r>
      <w:r>
        <w:t>remercier</w:t>
      </w:r>
      <w:r>
        <w:t xml:space="preserve"> Georges Claver</w:t>
      </w:r>
      <w:r>
        <w:t xml:space="preserve"> </w:t>
      </w:r>
      <w:proofErr w:type="spellStart"/>
      <w:r>
        <w:t>Boundzanga</w:t>
      </w:r>
      <w:proofErr w:type="spellEnd"/>
      <w:r>
        <w:t>,</w:t>
      </w:r>
      <w:r>
        <w:t xml:space="preserve"> Roland </w:t>
      </w:r>
      <w:proofErr w:type="spellStart"/>
      <w:r>
        <w:t>Gyscard</w:t>
      </w:r>
      <w:proofErr w:type="spellEnd"/>
      <w:r>
        <w:t xml:space="preserve"> </w:t>
      </w:r>
      <w:proofErr w:type="spellStart"/>
      <w:r>
        <w:t>Ndinga</w:t>
      </w:r>
      <w:proofErr w:type="spellEnd"/>
      <w:r>
        <w:t xml:space="preserve"> et </w:t>
      </w:r>
      <w:r>
        <w:t xml:space="preserve">Henriette </w:t>
      </w:r>
      <w:proofErr w:type="spellStart"/>
      <w:r>
        <w:t>Tsoh-Ikounga</w:t>
      </w:r>
      <w:proofErr w:type="spellEnd"/>
      <w:r>
        <w:t xml:space="preserve"> </w:t>
      </w:r>
      <w:r>
        <w:t xml:space="preserve">pour leur revue </w:t>
      </w:r>
      <w:proofErr w:type="gramStart"/>
      <w:r>
        <w:t>du</w:t>
      </w:r>
      <w:proofErr w:type="gramEnd"/>
      <w:r>
        <w:t xml:space="preserve"> document version </w:t>
      </w:r>
      <w:proofErr w:type="spellStart"/>
      <w:r>
        <w:t>draft</w:t>
      </w:r>
      <w:proofErr w:type="spellEnd"/>
      <w:r>
        <w:t>.</w:t>
      </w:r>
    </w:p>
    <w:p w14:paraId="6CAEC099" w14:textId="77777777" w:rsidR="004231FE" w:rsidRPr="00543416" w:rsidRDefault="004231FE" w:rsidP="00D36020">
      <w:pPr>
        <w:pStyle w:val="TOC4"/>
        <w:sectPr w:rsidR="004231FE" w:rsidRPr="00543416" w:rsidSect="0027358C">
          <w:headerReference w:type="even" r:id="rId17"/>
          <w:headerReference w:type="default" r:id="rId18"/>
          <w:footerReference w:type="default" r:id="rId19"/>
          <w:headerReference w:type="first" r:id="rId20"/>
          <w:pgSz w:w="11907" w:h="16840" w:code="9"/>
          <w:pgMar w:top="1134" w:right="1701" w:bottom="1134" w:left="1701" w:header="709" w:footer="709" w:gutter="0"/>
          <w:cols w:space="720"/>
          <w:docGrid w:linePitch="360"/>
        </w:sectPr>
      </w:pPr>
    </w:p>
    <w:bookmarkStart w:id="0" w:name="_Toc378664609" w:displacedByCustomXml="next"/>
    <w:bookmarkStart w:id="1" w:name="_Toc378757262" w:displacedByCustomXml="next"/>
    <w:bookmarkStart w:id="2" w:name="_Toc378605187" w:displacedByCustomXml="next"/>
    <w:bookmarkStart w:id="3" w:name="_Toc378350720" w:displacedByCustomXml="next"/>
    <w:bookmarkStart w:id="4" w:name="_Toc378350802" w:displacedByCustomXml="next"/>
    <w:sdt>
      <w:sdtPr>
        <w:rPr>
          <w:rFonts w:eastAsia="Times New Roman" w:cs="Times New Roman"/>
          <w:b w:val="0"/>
          <w:bCs w:val="0"/>
          <w:smallCaps w:val="0"/>
          <w:color w:val="auto"/>
          <w:sz w:val="22"/>
          <w:szCs w:val="24"/>
        </w:rPr>
        <w:id w:val="-1676645914"/>
        <w:docPartObj>
          <w:docPartGallery w:val="Table of Contents"/>
          <w:docPartUnique/>
        </w:docPartObj>
      </w:sdtPr>
      <w:sdtEndPr/>
      <w:sdtContent>
        <w:p w14:paraId="268C58DC" w14:textId="3116AD70" w:rsidR="00D3496F" w:rsidRDefault="00D3496F">
          <w:pPr>
            <w:pStyle w:val="TOCHeading"/>
          </w:pPr>
          <w:r>
            <w:t>Table des matières</w:t>
          </w:r>
        </w:p>
        <w:p w14:paraId="46DB6E41" w14:textId="77777777" w:rsidR="0080491D" w:rsidRDefault="00D3496F">
          <w:pPr>
            <w:pStyle w:val="TOC2"/>
            <w:rPr>
              <w:rFonts w:eastAsiaTheme="minorEastAsia" w:cstheme="minorBidi"/>
              <w:b w:val="0"/>
              <w:bCs w:val="0"/>
              <w:color w:val="auto"/>
            </w:rPr>
          </w:pPr>
          <w:r>
            <w:fldChar w:fldCharType="begin"/>
          </w:r>
          <w:r>
            <w:instrText xml:space="preserve"> TOC \o "1-3" \h \z \u </w:instrText>
          </w:r>
          <w:r>
            <w:fldChar w:fldCharType="separate"/>
          </w:r>
          <w:hyperlink w:anchor="_Toc454886777" w:history="1">
            <w:r w:rsidR="0080491D" w:rsidRPr="00825D4D">
              <w:rPr>
                <w:rStyle w:val="Hyperlink"/>
              </w:rPr>
              <w:t>Liste des tableaux</w:t>
            </w:r>
            <w:r w:rsidR="0080491D">
              <w:rPr>
                <w:webHidden/>
              </w:rPr>
              <w:tab/>
            </w:r>
            <w:r w:rsidR="0080491D">
              <w:rPr>
                <w:webHidden/>
              </w:rPr>
              <w:fldChar w:fldCharType="begin"/>
            </w:r>
            <w:r w:rsidR="0080491D">
              <w:rPr>
                <w:webHidden/>
              </w:rPr>
              <w:instrText xml:space="preserve"> PAGEREF _Toc454886777 \h </w:instrText>
            </w:r>
            <w:r w:rsidR="0080491D">
              <w:rPr>
                <w:webHidden/>
              </w:rPr>
            </w:r>
            <w:r w:rsidR="0080491D">
              <w:rPr>
                <w:webHidden/>
              </w:rPr>
              <w:fldChar w:fldCharType="separate"/>
            </w:r>
            <w:r w:rsidR="0080491D">
              <w:rPr>
                <w:webHidden/>
              </w:rPr>
              <w:t>4</w:t>
            </w:r>
            <w:r w:rsidR="0080491D">
              <w:rPr>
                <w:webHidden/>
              </w:rPr>
              <w:fldChar w:fldCharType="end"/>
            </w:r>
          </w:hyperlink>
        </w:p>
        <w:p w14:paraId="6B21856F" w14:textId="77777777" w:rsidR="0080491D" w:rsidRDefault="00D36020">
          <w:pPr>
            <w:pStyle w:val="TOC2"/>
            <w:rPr>
              <w:rFonts w:eastAsiaTheme="minorEastAsia" w:cstheme="minorBidi"/>
              <w:b w:val="0"/>
              <w:bCs w:val="0"/>
              <w:color w:val="auto"/>
            </w:rPr>
          </w:pPr>
          <w:hyperlink w:anchor="_Toc454886778" w:history="1">
            <w:r w:rsidR="0080491D" w:rsidRPr="00825D4D">
              <w:rPr>
                <w:rStyle w:val="Hyperlink"/>
              </w:rPr>
              <w:t>Liste des figures</w:t>
            </w:r>
            <w:r w:rsidR="0080491D">
              <w:rPr>
                <w:webHidden/>
              </w:rPr>
              <w:tab/>
            </w:r>
            <w:r w:rsidR="0080491D">
              <w:rPr>
                <w:webHidden/>
              </w:rPr>
              <w:fldChar w:fldCharType="begin"/>
            </w:r>
            <w:r w:rsidR="0080491D">
              <w:rPr>
                <w:webHidden/>
              </w:rPr>
              <w:instrText xml:space="preserve"> PAGEREF _Toc454886778 \h </w:instrText>
            </w:r>
            <w:r w:rsidR="0080491D">
              <w:rPr>
                <w:webHidden/>
              </w:rPr>
            </w:r>
            <w:r w:rsidR="0080491D">
              <w:rPr>
                <w:webHidden/>
              </w:rPr>
              <w:fldChar w:fldCharType="separate"/>
            </w:r>
            <w:r w:rsidR="0080491D">
              <w:rPr>
                <w:webHidden/>
              </w:rPr>
              <w:t>4</w:t>
            </w:r>
            <w:r w:rsidR="0080491D">
              <w:rPr>
                <w:webHidden/>
              </w:rPr>
              <w:fldChar w:fldCharType="end"/>
            </w:r>
          </w:hyperlink>
        </w:p>
        <w:p w14:paraId="0008DAA8" w14:textId="77777777" w:rsidR="0080491D" w:rsidRDefault="00D36020">
          <w:pPr>
            <w:pStyle w:val="TOC2"/>
            <w:rPr>
              <w:rFonts w:eastAsiaTheme="minorEastAsia" w:cstheme="minorBidi"/>
              <w:b w:val="0"/>
              <w:bCs w:val="0"/>
              <w:color w:val="auto"/>
            </w:rPr>
          </w:pPr>
          <w:hyperlink w:anchor="_Toc454886779" w:history="1">
            <w:r w:rsidR="0080491D" w:rsidRPr="00825D4D">
              <w:rPr>
                <w:rStyle w:val="Hyperlink"/>
              </w:rPr>
              <w:t>Acronymes</w:t>
            </w:r>
            <w:r w:rsidR="0080491D">
              <w:rPr>
                <w:webHidden/>
              </w:rPr>
              <w:tab/>
            </w:r>
            <w:r w:rsidR="0080491D">
              <w:rPr>
                <w:webHidden/>
              </w:rPr>
              <w:fldChar w:fldCharType="begin"/>
            </w:r>
            <w:r w:rsidR="0080491D">
              <w:rPr>
                <w:webHidden/>
              </w:rPr>
              <w:instrText xml:space="preserve"> PAGEREF _Toc454886779 \h </w:instrText>
            </w:r>
            <w:r w:rsidR="0080491D">
              <w:rPr>
                <w:webHidden/>
              </w:rPr>
            </w:r>
            <w:r w:rsidR="0080491D">
              <w:rPr>
                <w:webHidden/>
              </w:rPr>
              <w:fldChar w:fldCharType="separate"/>
            </w:r>
            <w:r w:rsidR="0080491D">
              <w:rPr>
                <w:webHidden/>
              </w:rPr>
              <w:t>5</w:t>
            </w:r>
            <w:r w:rsidR="0080491D">
              <w:rPr>
                <w:webHidden/>
              </w:rPr>
              <w:fldChar w:fldCharType="end"/>
            </w:r>
          </w:hyperlink>
        </w:p>
        <w:p w14:paraId="6EB8FEB9" w14:textId="77777777" w:rsidR="0080491D" w:rsidRDefault="00D36020">
          <w:pPr>
            <w:pStyle w:val="TOC1"/>
            <w:rPr>
              <w:rFonts w:eastAsiaTheme="minorEastAsia" w:cstheme="minorBidi"/>
              <w:b w:val="0"/>
              <w:bCs w:val="0"/>
              <w:caps w:val="0"/>
              <w:noProof/>
              <w:color w:val="auto"/>
              <w:sz w:val="22"/>
            </w:rPr>
          </w:pPr>
          <w:hyperlink w:anchor="_Toc454886780" w:history="1">
            <w:r w:rsidR="0080491D" w:rsidRPr="00825D4D">
              <w:rPr>
                <w:rStyle w:val="Hyperlink"/>
                <w:noProof/>
              </w:rPr>
              <w:t>Introduction</w:t>
            </w:r>
            <w:r w:rsidR="0080491D">
              <w:rPr>
                <w:noProof/>
                <w:webHidden/>
              </w:rPr>
              <w:tab/>
            </w:r>
            <w:r w:rsidR="0080491D">
              <w:rPr>
                <w:noProof/>
                <w:webHidden/>
              </w:rPr>
              <w:fldChar w:fldCharType="begin"/>
            </w:r>
            <w:r w:rsidR="0080491D">
              <w:rPr>
                <w:noProof/>
                <w:webHidden/>
              </w:rPr>
              <w:instrText xml:space="preserve"> PAGEREF _Toc454886780 \h </w:instrText>
            </w:r>
            <w:r w:rsidR="0080491D">
              <w:rPr>
                <w:noProof/>
                <w:webHidden/>
              </w:rPr>
            </w:r>
            <w:r w:rsidR="0080491D">
              <w:rPr>
                <w:noProof/>
                <w:webHidden/>
              </w:rPr>
              <w:fldChar w:fldCharType="separate"/>
            </w:r>
            <w:r w:rsidR="0080491D">
              <w:rPr>
                <w:noProof/>
                <w:webHidden/>
              </w:rPr>
              <w:t>9</w:t>
            </w:r>
            <w:r w:rsidR="0080491D">
              <w:rPr>
                <w:noProof/>
                <w:webHidden/>
              </w:rPr>
              <w:fldChar w:fldCharType="end"/>
            </w:r>
          </w:hyperlink>
        </w:p>
        <w:p w14:paraId="4A10F90B" w14:textId="77777777" w:rsidR="0080491D" w:rsidRDefault="00D36020">
          <w:pPr>
            <w:pStyle w:val="TOC1"/>
            <w:rPr>
              <w:rFonts w:eastAsiaTheme="minorEastAsia" w:cstheme="minorBidi"/>
              <w:b w:val="0"/>
              <w:bCs w:val="0"/>
              <w:caps w:val="0"/>
              <w:noProof/>
              <w:color w:val="auto"/>
              <w:sz w:val="22"/>
            </w:rPr>
          </w:pPr>
          <w:hyperlink w:anchor="_Toc454886781" w:history="1">
            <w:r w:rsidR="0080491D" w:rsidRPr="00825D4D">
              <w:rPr>
                <w:rStyle w:val="Hyperlink"/>
                <w:noProof/>
              </w:rPr>
              <w:t>Nomenclature des sources et types de financements</w:t>
            </w:r>
            <w:r w:rsidR="0080491D">
              <w:rPr>
                <w:noProof/>
                <w:webHidden/>
              </w:rPr>
              <w:tab/>
            </w:r>
            <w:r w:rsidR="0080491D">
              <w:rPr>
                <w:noProof/>
                <w:webHidden/>
              </w:rPr>
              <w:fldChar w:fldCharType="begin"/>
            </w:r>
            <w:r w:rsidR="0080491D">
              <w:rPr>
                <w:noProof/>
                <w:webHidden/>
              </w:rPr>
              <w:instrText xml:space="preserve"> PAGEREF _Toc454886781 \h </w:instrText>
            </w:r>
            <w:r w:rsidR="0080491D">
              <w:rPr>
                <w:noProof/>
                <w:webHidden/>
              </w:rPr>
            </w:r>
            <w:r w:rsidR="0080491D">
              <w:rPr>
                <w:noProof/>
                <w:webHidden/>
              </w:rPr>
              <w:fldChar w:fldCharType="separate"/>
            </w:r>
            <w:r w:rsidR="0080491D">
              <w:rPr>
                <w:noProof/>
                <w:webHidden/>
              </w:rPr>
              <w:t>10</w:t>
            </w:r>
            <w:r w:rsidR="0080491D">
              <w:rPr>
                <w:noProof/>
                <w:webHidden/>
              </w:rPr>
              <w:fldChar w:fldCharType="end"/>
            </w:r>
          </w:hyperlink>
        </w:p>
        <w:p w14:paraId="082EE999" w14:textId="77777777" w:rsidR="0080491D" w:rsidRDefault="00D36020">
          <w:pPr>
            <w:pStyle w:val="TOC1"/>
            <w:rPr>
              <w:rFonts w:eastAsiaTheme="minorEastAsia" w:cstheme="minorBidi"/>
              <w:b w:val="0"/>
              <w:bCs w:val="0"/>
              <w:caps w:val="0"/>
              <w:noProof/>
              <w:color w:val="auto"/>
              <w:sz w:val="22"/>
            </w:rPr>
          </w:pPr>
          <w:hyperlink w:anchor="_Toc454886782" w:history="1">
            <w:r w:rsidR="0080491D" w:rsidRPr="00825D4D">
              <w:rPr>
                <w:rStyle w:val="Hyperlink"/>
                <w:noProof/>
              </w:rPr>
              <w:t>I - Financements internationaux</w:t>
            </w:r>
            <w:r w:rsidR="0080491D">
              <w:rPr>
                <w:noProof/>
                <w:webHidden/>
              </w:rPr>
              <w:tab/>
            </w:r>
            <w:r w:rsidR="0080491D">
              <w:rPr>
                <w:noProof/>
                <w:webHidden/>
              </w:rPr>
              <w:fldChar w:fldCharType="begin"/>
            </w:r>
            <w:r w:rsidR="0080491D">
              <w:rPr>
                <w:noProof/>
                <w:webHidden/>
              </w:rPr>
              <w:instrText xml:space="preserve"> PAGEREF _Toc454886782 \h </w:instrText>
            </w:r>
            <w:r w:rsidR="0080491D">
              <w:rPr>
                <w:noProof/>
                <w:webHidden/>
              </w:rPr>
            </w:r>
            <w:r w:rsidR="0080491D">
              <w:rPr>
                <w:noProof/>
                <w:webHidden/>
              </w:rPr>
              <w:fldChar w:fldCharType="separate"/>
            </w:r>
            <w:r w:rsidR="0080491D">
              <w:rPr>
                <w:noProof/>
                <w:webHidden/>
              </w:rPr>
              <w:t>12</w:t>
            </w:r>
            <w:r w:rsidR="0080491D">
              <w:rPr>
                <w:noProof/>
                <w:webHidden/>
              </w:rPr>
              <w:fldChar w:fldCharType="end"/>
            </w:r>
          </w:hyperlink>
        </w:p>
        <w:p w14:paraId="0AC45AD1" w14:textId="77777777" w:rsidR="0080491D" w:rsidRDefault="00D36020">
          <w:pPr>
            <w:pStyle w:val="TOC2"/>
            <w:rPr>
              <w:rFonts w:eastAsiaTheme="minorEastAsia" w:cstheme="minorBidi"/>
              <w:b w:val="0"/>
              <w:bCs w:val="0"/>
              <w:color w:val="auto"/>
            </w:rPr>
          </w:pPr>
          <w:hyperlink w:anchor="_Toc454886783" w:history="1">
            <w:r w:rsidR="0080491D" w:rsidRPr="00825D4D">
              <w:rPr>
                <w:rStyle w:val="Hyperlink"/>
              </w:rPr>
              <w:t>1.</w:t>
            </w:r>
            <w:r w:rsidR="0080491D">
              <w:rPr>
                <w:rFonts w:eastAsiaTheme="minorEastAsia" w:cstheme="minorBidi"/>
                <w:b w:val="0"/>
                <w:bCs w:val="0"/>
                <w:color w:val="auto"/>
              </w:rPr>
              <w:tab/>
            </w:r>
            <w:r w:rsidR="0080491D" w:rsidRPr="00825D4D">
              <w:rPr>
                <w:rStyle w:val="Hyperlink"/>
              </w:rPr>
              <w:t>Les financements internationaux publics</w:t>
            </w:r>
            <w:r w:rsidR="0080491D">
              <w:rPr>
                <w:webHidden/>
              </w:rPr>
              <w:tab/>
            </w:r>
            <w:r w:rsidR="0080491D">
              <w:rPr>
                <w:webHidden/>
              </w:rPr>
              <w:fldChar w:fldCharType="begin"/>
            </w:r>
            <w:r w:rsidR="0080491D">
              <w:rPr>
                <w:webHidden/>
              </w:rPr>
              <w:instrText xml:space="preserve"> PAGEREF _Toc454886783 \h </w:instrText>
            </w:r>
            <w:r w:rsidR="0080491D">
              <w:rPr>
                <w:webHidden/>
              </w:rPr>
            </w:r>
            <w:r w:rsidR="0080491D">
              <w:rPr>
                <w:webHidden/>
              </w:rPr>
              <w:fldChar w:fldCharType="separate"/>
            </w:r>
            <w:r w:rsidR="0080491D">
              <w:rPr>
                <w:webHidden/>
              </w:rPr>
              <w:t>12</w:t>
            </w:r>
            <w:r w:rsidR="0080491D">
              <w:rPr>
                <w:webHidden/>
              </w:rPr>
              <w:fldChar w:fldCharType="end"/>
            </w:r>
          </w:hyperlink>
        </w:p>
        <w:p w14:paraId="29DCBB4D" w14:textId="77777777" w:rsidR="0080491D" w:rsidRDefault="00D36020">
          <w:pPr>
            <w:pStyle w:val="TOC3"/>
            <w:rPr>
              <w:rFonts w:eastAsiaTheme="minorEastAsia" w:cstheme="minorBidi"/>
              <w:b w:val="0"/>
              <w:color w:val="auto"/>
              <w:sz w:val="22"/>
            </w:rPr>
          </w:pPr>
          <w:hyperlink w:anchor="_Toc454886784" w:history="1">
            <w:r w:rsidR="0080491D" w:rsidRPr="00825D4D">
              <w:rPr>
                <w:rStyle w:val="Hyperlink"/>
              </w:rPr>
              <w:t>1.1</w:t>
            </w:r>
            <w:r w:rsidR="0080491D">
              <w:rPr>
                <w:rFonts w:eastAsiaTheme="minorEastAsia" w:cstheme="minorBidi"/>
                <w:b w:val="0"/>
                <w:color w:val="auto"/>
                <w:sz w:val="22"/>
              </w:rPr>
              <w:tab/>
            </w:r>
            <w:r w:rsidR="0080491D" w:rsidRPr="00825D4D">
              <w:rPr>
                <w:rStyle w:val="Hyperlink"/>
              </w:rPr>
              <w:t>Les financements multilatéraux</w:t>
            </w:r>
            <w:r w:rsidR="0080491D">
              <w:rPr>
                <w:webHidden/>
              </w:rPr>
              <w:tab/>
            </w:r>
            <w:r w:rsidR="0080491D">
              <w:rPr>
                <w:webHidden/>
              </w:rPr>
              <w:fldChar w:fldCharType="begin"/>
            </w:r>
            <w:r w:rsidR="0080491D">
              <w:rPr>
                <w:webHidden/>
              </w:rPr>
              <w:instrText xml:space="preserve"> PAGEREF _Toc454886784 \h </w:instrText>
            </w:r>
            <w:r w:rsidR="0080491D">
              <w:rPr>
                <w:webHidden/>
              </w:rPr>
            </w:r>
            <w:r w:rsidR="0080491D">
              <w:rPr>
                <w:webHidden/>
              </w:rPr>
              <w:fldChar w:fldCharType="separate"/>
            </w:r>
            <w:r w:rsidR="0080491D">
              <w:rPr>
                <w:webHidden/>
              </w:rPr>
              <w:t>13</w:t>
            </w:r>
            <w:r w:rsidR="0080491D">
              <w:rPr>
                <w:webHidden/>
              </w:rPr>
              <w:fldChar w:fldCharType="end"/>
            </w:r>
          </w:hyperlink>
        </w:p>
        <w:p w14:paraId="140A355E" w14:textId="77777777" w:rsidR="0080491D" w:rsidRDefault="00D36020">
          <w:pPr>
            <w:pStyle w:val="TOC3"/>
            <w:rPr>
              <w:rFonts w:eastAsiaTheme="minorEastAsia" w:cstheme="minorBidi"/>
              <w:b w:val="0"/>
              <w:color w:val="auto"/>
              <w:sz w:val="22"/>
            </w:rPr>
          </w:pPr>
          <w:hyperlink w:anchor="_Toc454886785" w:history="1">
            <w:r w:rsidR="0080491D" w:rsidRPr="00825D4D">
              <w:rPr>
                <w:rStyle w:val="Hyperlink"/>
              </w:rPr>
              <w:t>1.2</w:t>
            </w:r>
            <w:r w:rsidR="0080491D">
              <w:rPr>
                <w:rFonts w:eastAsiaTheme="minorEastAsia" w:cstheme="minorBidi"/>
                <w:b w:val="0"/>
                <w:color w:val="auto"/>
                <w:sz w:val="22"/>
              </w:rPr>
              <w:tab/>
            </w:r>
            <w:r w:rsidR="0080491D" w:rsidRPr="00825D4D">
              <w:rPr>
                <w:rStyle w:val="Hyperlink"/>
              </w:rPr>
              <w:t>Les financements bilatéraux</w:t>
            </w:r>
            <w:r w:rsidR="0080491D">
              <w:rPr>
                <w:webHidden/>
              </w:rPr>
              <w:tab/>
            </w:r>
            <w:r w:rsidR="0080491D">
              <w:rPr>
                <w:webHidden/>
              </w:rPr>
              <w:fldChar w:fldCharType="begin"/>
            </w:r>
            <w:r w:rsidR="0080491D">
              <w:rPr>
                <w:webHidden/>
              </w:rPr>
              <w:instrText xml:space="preserve"> PAGEREF _Toc454886785 \h </w:instrText>
            </w:r>
            <w:r w:rsidR="0080491D">
              <w:rPr>
                <w:webHidden/>
              </w:rPr>
            </w:r>
            <w:r w:rsidR="0080491D">
              <w:rPr>
                <w:webHidden/>
              </w:rPr>
              <w:fldChar w:fldCharType="separate"/>
            </w:r>
            <w:r w:rsidR="0080491D">
              <w:rPr>
                <w:webHidden/>
              </w:rPr>
              <w:t>24</w:t>
            </w:r>
            <w:r w:rsidR="0080491D">
              <w:rPr>
                <w:webHidden/>
              </w:rPr>
              <w:fldChar w:fldCharType="end"/>
            </w:r>
          </w:hyperlink>
        </w:p>
        <w:p w14:paraId="66AE1A0F" w14:textId="77777777" w:rsidR="0080491D" w:rsidRDefault="00D36020">
          <w:pPr>
            <w:pStyle w:val="TOC3"/>
            <w:rPr>
              <w:rFonts w:eastAsiaTheme="minorEastAsia" w:cstheme="minorBidi"/>
              <w:b w:val="0"/>
              <w:color w:val="auto"/>
              <w:sz w:val="22"/>
            </w:rPr>
          </w:pPr>
          <w:hyperlink w:anchor="_Toc454886786" w:history="1">
            <w:r w:rsidR="0080491D" w:rsidRPr="00825D4D">
              <w:rPr>
                <w:rStyle w:val="Hyperlink"/>
              </w:rPr>
              <w:t>1.3</w:t>
            </w:r>
            <w:r w:rsidR="0080491D">
              <w:rPr>
                <w:rFonts w:eastAsiaTheme="minorEastAsia" w:cstheme="minorBidi"/>
                <w:b w:val="0"/>
                <w:color w:val="auto"/>
                <w:sz w:val="22"/>
              </w:rPr>
              <w:tab/>
            </w:r>
            <w:r w:rsidR="0080491D" w:rsidRPr="00825D4D">
              <w:rPr>
                <w:rStyle w:val="Hyperlink"/>
              </w:rPr>
              <w:t>Autres sources de financement</w:t>
            </w:r>
            <w:r w:rsidR="0080491D">
              <w:rPr>
                <w:webHidden/>
              </w:rPr>
              <w:tab/>
            </w:r>
            <w:r w:rsidR="0080491D">
              <w:rPr>
                <w:webHidden/>
              </w:rPr>
              <w:fldChar w:fldCharType="begin"/>
            </w:r>
            <w:r w:rsidR="0080491D">
              <w:rPr>
                <w:webHidden/>
              </w:rPr>
              <w:instrText xml:space="preserve"> PAGEREF _Toc454886786 \h </w:instrText>
            </w:r>
            <w:r w:rsidR="0080491D">
              <w:rPr>
                <w:webHidden/>
              </w:rPr>
            </w:r>
            <w:r w:rsidR="0080491D">
              <w:rPr>
                <w:webHidden/>
              </w:rPr>
              <w:fldChar w:fldCharType="separate"/>
            </w:r>
            <w:r w:rsidR="0080491D">
              <w:rPr>
                <w:webHidden/>
              </w:rPr>
              <w:t>35</w:t>
            </w:r>
            <w:r w:rsidR="0080491D">
              <w:rPr>
                <w:webHidden/>
              </w:rPr>
              <w:fldChar w:fldCharType="end"/>
            </w:r>
          </w:hyperlink>
        </w:p>
        <w:p w14:paraId="402A9328" w14:textId="77777777" w:rsidR="0080491D" w:rsidRDefault="00D36020">
          <w:pPr>
            <w:pStyle w:val="TOC2"/>
            <w:rPr>
              <w:rFonts w:eastAsiaTheme="minorEastAsia" w:cstheme="minorBidi"/>
              <w:b w:val="0"/>
              <w:bCs w:val="0"/>
              <w:color w:val="auto"/>
            </w:rPr>
          </w:pPr>
          <w:hyperlink w:anchor="_Toc454886787" w:history="1">
            <w:r w:rsidR="0080491D" w:rsidRPr="00825D4D">
              <w:rPr>
                <w:rStyle w:val="Hyperlink"/>
              </w:rPr>
              <w:t>2</w:t>
            </w:r>
            <w:r w:rsidR="0080491D">
              <w:rPr>
                <w:rFonts w:eastAsiaTheme="minorEastAsia" w:cstheme="minorBidi"/>
                <w:b w:val="0"/>
                <w:bCs w:val="0"/>
                <w:color w:val="auto"/>
              </w:rPr>
              <w:tab/>
            </w:r>
            <w:r w:rsidR="0080491D" w:rsidRPr="00825D4D">
              <w:rPr>
                <w:rStyle w:val="Hyperlink"/>
              </w:rPr>
              <w:t>Les financements internationaux privés</w:t>
            </w:r>
            <w:r w:rsidR="0080491D">
              <w:rPr>
                <w:webHidden/>
              </w:rPr>
              <w:tab/>
            </w:r>
            <w:r w:rsidR="0080491D">
              <w:rPr>
                <w:webHidden/>
              </w:rPr>
              <w:fldChar w:fldCharType="begin"/>
            </w:r>
            <w:r w:rsidR="0080491D">
              <w:rPr>
                <w:webHidden/>
              </w:rPr>
              <w:instrText xml:space="preserve"> PAGEREF _Toc454886787 \h </w:instrText>
            </w:r>
            <w:r w:rsidR="0080491D">
              <w:rPr>
                <w:webHidden/>
              </w:rPr>
            </w:r>
            <w:r w:rsidR="0080491D">
              <w:rPr>
                <w:webHidden/>
              </w:rPr>
              <w:fldChar w:fldCharType="separate"/>
            </w:r>
            <w:r w:rsidR="0080491D">
              <w:rPr>
                <w:webHidden/>
              </w:rPr>
              <w:t>36</w:t>
            </w:r>
            <w:r w:rsidR="0080491D">
              <w:rPr>
                <w:webHidden/>
              </w:rPr>
              <w:fldChar w:fldCharType="end"/>
            </w:r>
          </w:hyperlink>
        </w:p>
        <w:p w14:paraId="3C5C39FA" w14:textId="77777777" w:rsidR="0080491D" w:rsidRDefault="00D36020">
          <w:pPr>
            <w:pStyle w:val="TOC3"/>
            <w:rPr>
              <w:rFonts w:eastAsiaTheme="minorEastAsia" w:cstheme="minorBidi"/>
              <w:b w:val="0"/>
              <w:color w:val="auto"/>
              <w:sz w:val="22"/>
            </w:rPr>
          </w:pPr>
          <w:hyperlink w:anchor="_Toc454886788" w:history="1">
            <w:r w:rsidR="0080491D" w:rsidRPr="00825D4D">
              <w:rPr>
                <w:rStyle w:val="Hyperlink"/>
              </w:rPr>
              <w:t>2.1</w:t>
            </w:r>
            <w:r w:rsidR="0080491D">
              <w:rPr>
                <w:rFonts w:eastAsiaTheme="minorEastAsia" w:cstheme="minorBidi"/>
                <w:b w:val="0"/>
                <w:color w:val="auto"/>
                <w:sz w:val="22"/>
              </w:rPr>
              <w:tab/>
            </w:r>
            <w:r w:rsidR="0080491D" w:rsidRPr="00825D4D">
              <w:rPr>
                <w:rStyle w:val="Hyperlink"/>
              </w:rPr>
              <w:t>Les Investissements Etrangers Directs (IED)</w:t>
            </w:r>
            <w:r w:rsidR="0080491D">
              <w:rPr>
                <w:webHidden/>
              </w:rPr>
              <w:tab/>
            </w:r>
            <w:r w:rsidR="0080491D">
              <w:rPr>
                <w:webHidden/>
              </w:rPr>
              <w:fldChar w:fldCharType="begin"/>
            </w:r>
            <w:r w:rsidR="0080491D">
              <w:rPr>
                <w:webHidden/>
              </w:rPr>
              <w:instrText xml:space="preserve"> PAGEREF _Toc454886788 \h </w:instrText>
            </w:r>
            <w:r w:rsidR="0080491D">
              <w:rPr>
                <w:webHidden/>
              </w:rPr>
            </w:r>
            <w:r w:rsidR="0080491D">
              <w:rPr>
                <w:webHidden/>
              </w:rPr>
              <w:fldChar w:fldCharType="separate"/>
            </w:r>
            <w:r w:rsidR="0080491D">
              <w:rPr>
                <w:webHidden/>
              </w:rPr>
              <w:t>36</w:t>
            </w:r>
            <w:r w:rsidR="0080491D">
              <w:rPr>
                <w:webHidden/>
              </w:rPr>
              <w:fldChar w:fldCharType="end"/>
            </w:r>
          </w:hyperlink>
        </w:p>
        <w:p w14:paraId="3928FA7F" w14:textId="77777777" w:rsidR="0080491D" w:rsidRDefault="00D36020">
          <w:pPr>
            <w:pStyle w:val="TOC3"/>
            <w:rPr>
              <w:rFonts w:eastAsiaTheme="minorEastAsia" w:cstheme="minorBidi"/>
              <w:b w:val="0"/>
              <w:color w:val="auto"/>
              <w:sz w:val="22"/>
            </w:rPr>
          </w:pPr>
          <w:hyperlink w:anchor="_Toc454886789" w:history="1">
            <w:r w:rsidR="0080491D" w:rsidRPr="00825D4D">
              <w:rPr>
                <w:rStyle w:val="Hyperlink"/>
              </w:rPr>
              <w:t>2.2</w:t>
            </w:r>
            <w:r w:rsidR="0080491D">
              <w:rPr>
                <w:rFonts w:eastAsiaTheme="minorEastAsia" w:cstheme="minorBidi"/>
                <w:b w:val="0"/>
                <w:color w:val="auto"/>
                <w:sz w:val="22"/>
              </w:rPr>
              <w:tab/>
            </w:r>
            <w:r w:rsidR="0080491D" w:rsidRPr="00825D4D">
              <w:rPr>
                <w:rStyle w:val="Hyperlink"/>
              </w:rPr>
              <w:t>Les fondations privées</w:t>
            </w:r>
            <w:r w:rsidR="0080491D">
              <w:rPr>
                <w:webHidden/>
              </w:rPr>
              <w:tab/>
            </w:r>
            <w:r w:rsidR="0080491D">
              <w:rPr>
                <w:webHidden/>
              </w:rPr>
              <w:fldChar w:fldCharType="begin"/>
            </w:r>
            <w:r w:rsidR="0080491D">
              <w:rPr>
                <w:webHidden/>
              </w:rPr>
              <w:instrText xml:space="preserve"> PAGEREF _Toc454886789 \h </w:instrText>
            </w:r>
            <w:r w:rsidR="0080491D">
              <w:rPr>
                <w:webHidden/>
              </w:rPr>
            </w:r>
            <w:r w:rsidR="0080491D">
              <w:rPr>
                <w:webHidden/>
              </w:rPr>
              <w:fldChar w:fldCharType="separate"/>
            </w:r>
            <w:r w:rsidR="0080491D">
              <w:rPr>
                <w:webHidden/>
              </w:rPr>
              <w:t>37</w:t>
            </w:r>
            <w:r w:rsidR="0080491D">
              <w:rPr>
                <w:webHidden/>
              </w:rPr>
              <w:fldChar w:fldCharType="end"/>
            </w:r>
          </w:hyperlink>
        </w:p>
        <w:p w14:paraId="741EA955" w14:textId="77777777" w:rsidR="0080491D" w:rsidRDefault="00D36020">
          <w:pPr>
            <w:pStyle w:val="TOC1"/>
            <w:rPr>
              <w:rFonts w:eastAsiaTheme="minorEastAsia" w:cstheme="minorBidi"/>
              <w:b w:val="0"/>
              <w:bCs w:val="0"/>
              <w:caps w:val="0"/>
              <w:noProof/>
              <w:color w:val="auto"/>
              <w:sz w:val="22"/>
            </w:rPr>
          </w:pPr>
          <w:hyperlink w:anchor="_Toc454886790" w:history="1">
            <w:r w:rsidR="0080491D" w:rsidRPr="00825D4D">
              <w:rPr>
                <w:rStyle w:val="Hyperlink"/>
                <w:noProof/>
              </w:rPr>
              <w:t>II- Les financements domestiques</w:t>
            </w:r>
            <w:r w:rsidR="0080491D">
              <w:rPr>
                <w:noProof/>
                <w:webHidden/>
              </w:rPr>
              <w:tab/>
            </w:r>
            <w:r w:rsidR="0080491D">
              <w:rPr>
                <w:noProof/>
                <w:webHidden/>
              </w:rPr>
              <w:fldChar w:fldCharType="begin"/>
            </w:r>
            <w:r w:rsidR="0080491D">
              <w:rPr>
                <w:noProof/>
                <w:webHidden/>
              </w:rPr>
              <w:instrText xml:space="preserve"> PAGEREF _Toc454886790 \h </w:instrText>
            </w:r>
            <w:r w:rsidR="0080491D">
              <w:rPr>
                <w:noProof/>
                <w:webHidden/>
              </w:rPr>
            </w:r>
            <w:r w:rsidR="0080491D">
              <w:rPr>
                <w:noProof/>
                <w:webHidden/>
              </w:rPr>
              <w:fldChar w:fldCharType="separate"/>
            </w:r>
            <w:r w:rsidR="0080491D">
              <w:rPr>
                <w:noProof/>
                <w:webHidden/>
              </w:rPr>
              <w:t>39</w:t>
            </w:r>
            <w:r w:rsidR="0080491D">
              <w:rPr>
                <w:noProof/>
                <w:webHidden/>
              </w:rPr>
              <w:fldChar w:fldCharType="end"/>
            </w:r>
          </w:hyperlink>
        </w:p>
        <w:p w14:paraId="575321DB" w14:textId="77777777" w:rsidR="0080491D" w:rsidRDefault="00D36020">
          <w:pPr>
            <w:pStyle w:val="TOC2"/>
            <w:rPr>
              <w:rFonts w:eastAsiaTheme="minorEastAsia" w:cstheme="minorBidi"/>
              <w:b w:val="0"/>
              <w:bCs w:val="0"/>
              <w:color w:val="auto"/>
            </w:rPr>
          </w:pPr>
          <w:hyperlink w:anchor="_Toc454886791" w:history="1">
            <w:r w:rsidR="0080491D" w:rsidRPr="00825D4D">
              <w:rPr>
                <w:rStyle w:val="Hyperlink"/>
              </w:rPr>
              <w:t>1.</w:t>
            </w:r>
            <w:r w:rsidR="0080491D">
              <w:rPr>
                <w:rFonts w:eastAsiaTheme="minorEastAsia" w:cstheme="minorBidi"/>
                <w:b w:val="0"/>
                <w:bCs w:val="0"/>
                <w:color w:val="auto"/>
              </w:rPr>
              <w:tab/>
            </w:r>
            <w:r w:rsidR="0080491D" w:rsidRPr="00825D4D">
              <w:rPr>
                <w:rStyle w:val="Hyperlink"/>
              </w:rPr>
              <w:t>Les financements domestiques publics</w:t>
            </w:r>
            <w:r w:rsidR="0080491D">
              <w:rPr>
                <w:webHidden/>
              </w:rPr>
              <w:tab/>
            </w:r>
            <w:r w:rsidR="0080491D">
              <w:rPr>
                <w:webHidden/>
              </w:rPr>
              <w:fldChar w:fldCharType="begin"/>
            </w:r>
            <w:r w:rsidR="0080491D">
              <w:rPr>
                <w:webHidden/>
              </w:rPr>
              <w:instrText xml:space="preserve"> PAGEREF _Toc454886791 \h </w:instrText>
            </w:r>
            <w:r w:rsidR="0080491D">
              <w:rPr>
                <w:webHidden/>
              </w:rPr>
            </w:r>
            <w:r w:rsidR="0080491D">
              <w:rPr>
                <w:webHidden/>
              </w:rPr>
              <w:fldChar w:fldCharType="separate"/>
            </w:r>
            <w:r w:rsidR="0080491D">
              <w:rPr>
                <w:webHidden/>
              </w:rPr>
              <w:t>39</w:t>
            </w:r>
            <w:r w:rsidR="0080491D">
              <w:rPr>
                <w:webHidden/>
              </w:rPr>
              <w:fldChar w:fldCharType="end"/>
            </w:r>
          </w:hyperlink>
        </w:p>
        <w:p w14:paraId="2B46B1B1" w14:textId="77777777" w:rsidR="0080491D" w:rsidRDefault="00D36020">
          <w:pPr>
            <w:pStyle w:val="TOC3"/>
            <w:rPr>
              <w:rFonts w:eastAsiaTheme="minorEastAsia" w:cstheme="minorBidi"/>
              <w:b w:val="0"/>
              <w:color w:val="auto"/>
              <w:sz w:val="22"/>
            </w:rPr>
          </w:pPr>
          <w:hyperlink w:anchor="_Toc454886792" w:history="1">
            <w:r w:rsidR="0080491D" w:rsidRPr="00825D4D">
              <w:rPr>
                <w:rStyle w:val="Hyperlink"/>
              </w:rPr>
              <w:t>1.1</w:t>
            </w:r>
            <w:r w:rsidR="0080491D">
              <w:rPr>
                <w:rFonts w:eastAsiaTheme="minorEastAsia" w:cstheme="minorBidi"/>
                <w:b w:val="0"/>
                <w:color w:val="auto"/>
                <w:sz w:val="22"/>
              </w:rPr>
              <w:tab/>
            </w:r>
            <w:r w:rsidR="0080491D" w:rsidRPr="00825D4D">
              <w:rPr>
                <w:rStyle w:val="Hyperlink"/>
              </w:rPr>
              <w:t>Budget général de l’Etat</w:t>
            </w:r>
            <w:r w:rsidR="0080491D">
              <w:rPr>
                <w:webHidden/>
              </w:rPr>
              <w:tab/>
            </w:r>
            <w:r w:rsidR="0080491D">
              <w:rPr>
                <w:webHidden/>
              </w:rPr>
              <w:fldChar w:fldCharType="begin"/>
            </w:r>
            <w:r w:rsidR="0080491D">
              <w:rPr>
                <w:webHidden/>
              </w:rPr>
              <w:instrText xml:space="preserve"> PAGEREF _Toc454886792 \h </w:instrText>
            </w:r>
            <w:r w:rsidR="0080491D">
              <w:rPr>
                <w:webHidden/>
              </w:rPr>
            </w:r>
            <w:r w:rsidR="0080491D">
              <w:rPr>
                <w:webHidden/>
              </w:rPr>
              <w:fldChar w:fldCharType="separate"/>
            </w:r>
            <w:r w:rsidR="0080491D">
              <w:rPr>
                <w:webHidden/>
              </w:rPr>
              <w:t>39</w:t>
            </w:r>
            <w:r w:rsidR="0080491D">
              <w:rPr>
                <w:webHidden/>
              </w:rPr>
              <w:fldChar w:fldCharType="end"/>
            </w:r>
          </w:hyperlink>
        </w:p>
        <w:p w14:paraId="521B92B0" w14:textId="77777777" w:rsidR="0080491D" w:rsidRDefault="00D36020">
          <w:pPr>
            <w:pStyle w:val="TOC3"/>
            <w:rPr>
              <w:rFonts w:eastAsiaTheme="minorEastAsia" w:cstheme="minorBidi"/>
              <w:b w:val="0"/>
              <w:color w:val="auto"/>
              <w:sz w:val="22"/>
            </w:rPr>
          </w:pPr>
          <w:hyperlink w:anchor="_Toc454886793" w:history="1">
            <w:r w:rsidR="0080491D" w:rsidRPr="00825D4D">
              <w:rPr>
                <w:rStyle w:val="Hyperlink"/>
              </w:rPr>
              <w:t>2.1</w:t>
            </w:r>
            <w:r w:rsidR="0080491D">
              <w:rPr>
                <w:rFonts w:eastAsiaTheme="minorEastAsia" w:cstheme="minorBidi"/>
                <w:b w:val="0"/>
                <w:color w:val="auto"/>
                <w:sz w:val="22"/>
              </w:rPr>
              <w:tab/>
            </w:r>
            <w:r w:rsidR="0080491D" w:rsidRPr="00825D4D">
              <w:rPr>
                <w:rStyle w:val="Hyperlink"/>
              </w:rPr>
              <w:t>Les comptes d’affectation spéciaux (CAS)</w:t>
            </w:r>
            <w:r w:rsidR="0080491D">
              <w:rPr>
                <w:webHidden/>
              </w:rPr>
              <w:tab/>
            </w:r>
            <w:r w:rsidR="0080491D">
              <w:rPr>
                <w:webHidden/>
              </w:rPr>
              <w:fldChar w:fldCharType="begin"/>
            </w:r>
            <w:r w:rsidR="0080491D">
              <w:rPr>
                <w:webHidden/>
              </w:rPr>
              <w:instrText xml:space="preserve"> PAGEREF _Toc454886793 \h </w:instrText>
            </w:r>
            <w:r w:rsidR="0080491D">
              <w:rPr>
                <w:webHidden/>
              </w:rPr>
            </w:r>
            <w:r w:rsidR="0080491D">
              <w:rPr>
                <w:webHidden/>
              </w:rPr>
              <w:fldChar w:fldCharType="separate"/>
            </w:r>
            <w:r w:rsidR="0080491D">
              <w:rPr>
                <w:webHidden/>
              </w:rPr>
              <w:t>43</w:t>
            </w:r>
            <w:r w:rsidR="0080491D">
              <w:rPr>
                <w:webHidden/>
              </w:rPr>
              <w:fldChar w:fldCharType="end"/>
            </w:r>
          </w:hyperlink>
        </w:p>
        <w:p w14:paraId="06D75D68" w14:textId="77777777" w:rsidR="0080491D" w:rsidRDefault="00D36020">
          <w:pPr>
            <w:pStyle w:val="TOC3"/>
            <w:rPr>
              <w:rFonts w:eastAsiaTheme="minorEastAsia" w:cstheme="minorBidi"/>
              <w:b w:val="0"/>
              <w:color w:val="auto"/>
              <w:sz w:val="22"/>
            </w:rPr>
          </w:pPr>
          <w:hyperlink w:anchor="_Toc454886794" w:history="1">
            <w:r w:rsidR="0080491D" w:rsidRPr="00825D4D">
              <w:rPr>
                <w:rStyle w:val="Hyperlink"/>
              </w:rPr>
              <w:t>1.2</w:t>
            </w:r>
            <w:r w:rsidR="0080491D">
              <w:rPr>
                <w:rFonts w:eastAsiaTheme="minorEastAsia" w:cstheme="minorBidi"/>
                <w:b w:val="0"/>
                <w:color w:val="auto"/>
                <w:sz w:val="22"/>
              </w:rPr>
              <w:tab/>
            </w:r>
            <w:r w:rsidR="0080491D" w:rsidRPr="00825D4D">
              <w:rPr>
                <w:rStyle w:val="Hyperlink"/>
              </w:rPr>
              <w:t>Les autres fonds nationaux</w:t>
            </w:r>
            <w:r w:rsidR="0080491D">
              <w:rPr>
                <w:webHidden/>
              </w:rPr>
              <w:tab/>
            </w:r>
            <w:r w:rsidR="0080491D">
              <w:rPr>
                <w:webHidden/>
              </w:rPr>
              <w:fldChar w:fldCharType="begin"/>
            </w:r>
            <w:r w:rsidR="0080491D">
              <w:rPr>
                <w:webHidden/>
              </w:rPr>
              <w:instrText xml:space="preserve"> PAGEREF _Toc454886794 \h </w:instrText>
            </w:r>
            <w:r w:rsidR="0080491D">
              <w:rPr>
                <w:webHidden/>
              </w:rPr>
            </w:r>
            <w:r w:rsidR="0080491D">
              <w:rPr>
                <w:webHidden/>
              </w:rPr>
              <w:fldChar w:fldCharType="separate"/>
            </w:r>
            <w:r w:rsidR="0080491D">
              <w:rPr>
                <w:webHidden/>
              </w:rPr>
              <w:t>45</w:t>
            </w:r>
            <w:r w:rsidR="0080491D">
              <w:rPr>
                <w:webHidden/>
              </w:rPr>
              <w:fldChar w:fldCharType="end"/>
            </w:r>
          </w:hyperlink>
        </w:p>
        <w:p w14:paraId="0F270EBD" w14:textId="77777777" w:rsidR="0080491D" w:rsidRDefault="00D36020">
          <w:pPr>
            <w:pStyle w:val="TOC2"/>
            <w:rPr>
              <w:rFonts w:eastAsiaTheme="minorEastAsia" w:cstheme="minorBidi"/>
              <w:b w:val="0"/>
              <w:bCs w:val="0"/>
              <w:color w:val="auto"/>
            </w:rPr>
          </w:pPr>
          <w:hyperlink w:anchor="_Toc454886795" w:history="1">
            <w:r w:rsidR="0080491D" w:rsidRPr="00825D4D">
              <w:rPr>
                <w:rStyle w:val="Hyperlink"/>
              </w:rPr>
              <w:t>2.</w:t>
            </w:r>
            <w:r w:rsidR="0080491D">
              <w:rPr>
                <w:rFonts w:eastAsiaTheme="minorEastAsia" w:cstheme="minorBidi"/>
                <w:b w:val="0"/>
                <w:bCs w:val="0"/>
                <w:color w:val="auto"/>
              </w:rPr>
              <w:tab/>
            </w:r>
            <w:r w:rsidR="0080491D" w:rsidRPr="00825D4D">
              <w:rPr>
                <w:rStyle w:val="Hyperlink"/>
              </w:rPr>
              <w:t>Les financements domestiques privés</w:t>
            </w:r>
            <w:r w:rsidR="0080491D">
              <w:rPr>
                <w:webHidden/>
              </w:rPr>
              <w:tab/>
            </w:r>
            <w:r w:rsidR="0080491D">
              <w:rPr>
                <w:webHidden/>
              </w:rPr>
              <w:fldChar w:fldCharType="begin"/>
            </w:r>
            <w:r w:rsidR="0080491D">
              <w:rPr>
                <w:webHidden/>
              </w:rPr>
              <w:instrText xml:space="preserve"> PAGEREF _Toc454886795 \h </w:instrText>
            </w:r>
            <w:r w:rsidR="0080491D">
              <w:rPr>
                <w:webHidden/>
              </w:rPr>
            </w:r>
            <w:r w:rsidR="0080491D">
              <w:rPr>
                <w:webHidden/>
              </w:rPr>
              <w:fldChar w:fldCharType="separate"/>
            </w:r>
            <w:r w:rsidR="0080491D">
              <w:rPr>
                <w:webHidden/>
              </w:rPr>
              <w:t>47</w:t>
            </w:r>
            <w:r w:rsidR="0080491D">
              <w:rPr>
                <w:webHidden/>
              </w:rPr>
              <w:fldChar w:fldCharType="end"/>
            </w:r>
          </w:hyperlink>
        </w:p>
        <w:p w14:paraId="686D25B9" w14:textId="77777777" w:rsidR="0080491D" w:rsidRDefault="00D36020">
          <w:pPr>
            <w:pStyle w:val="TOC3"/>
            <w:rPr>
              <w:rFonts w:eastAsiaTheme="minorEastAsia" w:cstheme="minorBidi"/>
              <w:b w:val="0"/>
              <w:color w:val="auto"/>
              <w:sz w:val="22"/>
            </w:rPr>
          </w:pPr>
          <w:hyperlink w:anchor="_Toc454886796" w:history="1">
            <w:r w:rsidR="0080491D" w:rsidRPr="00825D4D">
              <w:rPr>
                <w:rStyle w:val="Hyperlink"/>
              </w:rPr>
              <w:t>2.1</w:t>
            </w:r>
            <w:r w:rsidR="0080491D">
              <w:rPr>
                <w:rFonts w:eastAsiaTheme="minorEastAsia" w:cstheme="minorBidi"/>
                <w:b w:val="0"/>
                <w:color w:val="auto"/>
                <w:sz w:val="22"/>
              </w:rPr>
              <w:tab/>
            </w:r>
            <w:r w:rsidR="0080491D" w:rsidRPr="00825D4D">
              <w:rPr>
                <w:rStyle w:val="Hyperlink"/>
              </w:rPr>
              <w:t>Le secteur financier de la République du Congo</w:t>
            </w:r>
            <w:r w:rsidR="0080491D">
              <w:rPr>
                <w:webHidden/>
              </w:rPr>
              <w:tab/>
            </w:r>
            <w:r w:rsidR="0080491D">
              <w:rPr>
                <w:webHidden/>
              </w:rPr>
              <w:fldChar w:fldCharType="begin"/>
            </w:r>
            <w:r w:rsidR="0080491D">
              <w:rPr>
                <w:webHidden/>
              </w:rPr>
              <w:instrText xml:space="preserve"> PAGEREF _Toc454886796 \h </w:instrText>
            </w:r>
            <w:r w:rsidR="0080491D">
              <w:rPr>
                <w:webHidden/>
              </w:rPr>
            </w:r>
            <w:r w:rsidR="0080491D">
              <w:rPr>
                <w:webHidden/>
              </w:rPr>
              <w:fldChar w:fldCharType="separate"/>
            </w:r>
            <w:r w:rsidR="0080491D">
              <w:rPr>
                <w:webHidden/>
              </w:rPr>
              <w:t>47</w:t>
            </w:r>
            <w:r w:rsidR="0080491D">
              <w:rPr>
                <w:webHidden/>
              </w:rPr>
              <w:fldChar w:fldCharType="end"/>
            </w:r>
          </w:hyperlink>
        </w:p>
        <w:p w14:paraId="3E4D2BD5" w14:textId="77777777" w:rsidR="0080491D" w:rsidRDefault="00D36020">
          <w:pPr>
            <w:pStyle w:val="TOC3"/>
            <w:rPr>
              <w:rFonts w:eastAsiaTheme="minorEastAsia" w:cstheme="minorBidi"/>
              <w:b w:val="0"/>
              <w:color w:val="auto"/>
              <w:sz w:val="22"/>
            </w:rPr>
          </w:pPr>
          <w:hyperlink w:anchor="_Toc454886797" w:history="1">
            <w:r w:rsidR="0080491D" w:rsidRPr="00825D4D">
              <w:rPr>
                <w:rStyle w:val="Hyperlink"/>
              </w:rPr>
              <w:t>2.2</w:t>
            </w:r>
            <w:r w:rsidR="0080491D">
              <w:rPr>
                <w:rFonts w:eastAsiaTheme="minorEastAsia" w:cstheme="minorBidi"/>
                <w:b w:val="0"/>
                <w:color w:val="auto"/>
                <w:sz w:val="22"/>
              </w:rPr>
              <w:tab/>
            </w:r>
            <w:r w:rsidR="0080491D" w:rsidRPr="00825D4D">
              <w:rPr>
                <w:rStyle w:val="Hyperlink"/>
              </w:rPr>
              <w:t>Le secteur des entreprises privés</w:t>
            </w:r>
            <w:r w:rsidR="0080491D">
              <w:rPr>
                <w:webHidden/>
              </w:rPr>
              <w:tab/>
            </w:r>
            <w:r w:rsidR="0080491D">
              <w:rPr>
                <w:webHidden/>
              </w:rPr>
              <w:fldChar w:fldCharType="begin"/>
            </w:r>
            <w:r w:rsidR="0080491D">
              <w:rPr>
                <w:webHidden/>
              </w:rPr>
              <w:instrText xml:space="preserve"> PAGEREF _Toc454886797 \h </w:instrText>
            </w:r>
            <w:r w:rsidR="0080491D">
              <w:rPr>
                <w:webHidden/>
              </w:rPr>
            </w:r>
            <w:r w:rsidR="0080491D">
              <w:rPr>
                <w:webHidden/>
              </w:rPr>
              <w:fldChar w:fldCharType="separate"/>
            </w:r>
            <w:r w:rsidR="0080491D">
              <w:rPr>
                <w:webHidden/>
              </w:rPr>
              <w:t>49</w:t>
            </w:r>
            <w:r w:rsidR="0080491D">
              <w:rPr>
                <w:webHidden/>
              </w:rPr>
              <w:fldChar w:fldCharType="end"/>
            </w:r>
          </w:hyperlink>
        </w:p>
        <w:p w14:paraId="31976D5C" w14:textId="77777777" w:rsidR="0080491D" w:rsidRDefault="00D36020">
          <w:pPr>
            <w:pStyle w:val="TOC1"/>
            <w:rPr>
              <w:rFonts w:eastAsiaTheme="minorEastAsia" w:cstheme="minorBidi"/>
              <w:b w:val="0"/>
              <w:bCs w:val="0"/>
              <w:caps w:val="0"/>
              <w:noProof/>
              <w:color w:val="auto"/>
              <w:sz w:val="22"/>
            </w:rPr>
          </w:pPr>
          <w:hyperlink w:anchor="_Toc454886798" w:history="1">
            <w:r w:rsidR="0080491D" w:rsidRPr="00825D4D">
              <w:rPr>
                <w:rStyle w:val="Hyperlink"/>
                <w:noProof/>
              </w:rPr>
              <w:t>III – Bilan : Les Opportunités de financement des activités REDD+</w:t>
            </w:r>
            <w:r w:rsidR="0080491D">
              <w:rPr>
                <w:noProof/>
                <w:webHidden/>
              </w:rPr>
              <w:tab/>
            </w:r>
            <w:r w:rsidR="0080491D">
              <w:rPr>
                <w:noProof/>
                <w:webHidden/>
              </w:rPr>
              <w:fldChar w:fldCharType="begin"/>
            </w:r>
            <w:r w:rsidR="0080491D">
              <w:rPr>
                <w:noProof/>
                <w:webHidden/>
              </w:rPr>
              <w:instrText xml:space="preserve"> PAGEREF _Toc454886798 \h </w:instrText>
            </w:r>
            <w:r w:rsidR="0080491D">
              <w:rPr>
                <w:noProof/>
                <w:webHidden/>
              </w:rPr>
            </w:r>
            <w:r w:rsidR="0080491D">
              <w:rPr>
                <w:noProof/>
                <w:webHidden/>
              </w:rPr>
              <w:fldChar w:fldCharType="separate"/>
            </w:r>
            <w:r w:rsidR="0080491D">
              <w:rPr>
                <w:noProof/>
                <w:webHidden/>
              </w:rPr>
              <w:t>51</w:t>
            </w:r>
            <w:r w:rsidR="0080491D">
              <w:rPr>
                <w:noProof/>
                <w:webHidden/>
              </w:rPr>
              <w:fldChar w:fldCharType="end"/>
            </w:r>
          </w:hyperlink>
        </w:p>
        <w:p w14:paraId="194B3A3E" w14:textId="77777777" w:rsidR="0080491D" w:rsidRDefault="00D36020">
          <w:pPr>
            <w:pStyle w:val="TOC1"/>
            <w:rPr>
              <w:rFonts w:eastAsiaTheme="minorEastAsia" w:cstheme="minorBidi"/>
              <w:b w:val="0"/>
              <w:bCs w:val="0"/>
              <w:caps w:val="0"/>
              <w:noProof/>
              <w:color w:val="auto"/>
              <w:sz w:val="22"/>
            </w:rPr>
          </w:pPr>
          <w:hyperlink w:anchor="_Toc454886799" w:history="1">
            <w:r w:rsidR="0080491D" w:rsidRPr="00825D4D">
              <w:rPr>
                <w:rStyle w:val="Hyperlink"/>
                <w:noProof/>
              </w:rPr>
              <w:t>Bibliographie</w:t>
            </w:r>
            <w:r w:rsidR="0080491D">
              <w:rPr>
                <w:noProof/>
                <w:webHidden/>
              </w:rPr>
              <w:tab/>
            </w:r>
            <w:r w:rsidR="0080491D">
              <w:rPr>
                <w:noProof/>
                <w:webHidden/>
              </w:rPr>
              <w:fldChar w:fldCharType="begin"/>
            </w:r>
            <w:r w:rsidR="0080491D">
              <w:rPr>
                <w:noProof/>
                <w:webHidden/>
              </w:rPr>
              <w:instrText xml:space="preserve"> PAGEREF _Toc454886799 \h </w:instrText>
            </w:r>
            <w:r w:rsidR="0080491D">
              <w:rPr>
                <w:noProof/>
                <w:webHidden/>
              </w:rPr>
            </w:r>
            <w:r w:rsidR="0080491D">
              <w:rPr>
                <w:noProof/>
                <w:webHidden/>
              </w:rPr>
              <w:fldChar w:fldCharType="separate"/>
            </w:r>
            <w:r w:rsidR="0080491D">
              <w:rPr>
                <w:noProof/>
                <w:webHidden/>
              </w:rPr>
              <w:t>62</w:t>
            </w:r>
            <w:r w:rsidR="0080491D">
              <w:rPr>
                <w:noProof/>
                <w:webHidden/>
              </w:rPr>
              <w:fldChar w:fldCharType="end"/>
            </w:r>
          </w:hyperlink>
        </w:p>
        <w:p w14:paraId="7139A69E" w14:textId="15491E28" w:rsidR="00D3496F" w:rsidRDefault="00D3496F">
          <w:r>
            <w:rPr>
              <w:b/>
              <w:bCs/>
            </w:rPr>
            <w:fldChar w:fldCharType="end"/>
          </w:r>
        </w:p>
      </w:sdtContent>
    </w:sdt>
    <w:p w14:paraId="2A4E0189" w14:textId="799EC83F" w:rsidR="00A924DF" w:rsidRDefault="00A924DF" w:rsidP="005834C5">
      <w:pPr>
        <w:rPr>
          <w:color w:val="548AB7" w:themeColor="accent1" w:themeShade="BF"/>
          <w:sz w:val="40"/>
          <w:szCs w:val="28"/>
        </w:rPr>
      </w:pPr>
      <w:r>
        <w:br w:type="page"/>
      </w:r>
    </w:p>
    <w:p w14:paraId="1995A10A" w14:textId="77777777" w:rsidR="00D750EA" w:rsidRDefault="00D750EA" w:rsidP="00990AD4">
      <w:pPr>
        <w:pStyle w:val="Heading2"/>
        <w:numPr>
          <w:ilvl w:val="0"/>
          <w:numId w:val="0"/>
        </w:numPr>
      </w:pPr>
      <w:bookmarkStart w:id="5" w:name="_Toc454886777"/>
      <w:r>
        <w:lastRenderedPageBreak/>
        <w:t>Liste des tableaux</w:t>
      </w:r>
      <w:bookmarkEnd w:id="5"/>
      <w:r>
        <w:t xml:space="preserve"> </w:t>
      </w:r>
    </w:p>
    <w:p w14:paraId="59F86B4A" w14:textId="77777777" w:rsidR="0080491D" w:rsidRDefault="00990AD4">
      <w:pPr>
        <w:pStyle w:val="TableofFigures"/>
        <w:tabs>
          <w:tab w:val="right" w:leader="dot" w:pos="9062"/>
        </w:tabs>
        <w:rPr>
          <w:rFonts w:eastAsiaTheme="minorEastAsia" w:cstheme="minorBidi"/>
          <w:noProof/>
          <w:szCs w:val="22"/>
        </w:rPr>
      </w:pPr>
      <w:r>
        <w:fldChar w:fldCharType="begin"/>
      </w:r>
      <w:r>
        <w:instrText xml:space="preserve"> TOC \h \z \c "Tableau" </w:instrText>
      </w:r>
      <w:r>
        <w:fldChar w:fldCharType="separate"/>
      </w:r>
      <w:hyperlink w:anchor="_Toc454886800" w:history="1">
        <w:r w:rsidR="0080491D" w:rsidRPr="00E64AED">
          <w:rPr>
            <w:rStyle w:val="Hyperlink"/>
            <w:noProof/>
          </w:rPr>
          <w:t>Tableau 1: Recettes d’APD et AASP (en millions d’USD) de la République du Congo entre 2010 et 2014 (source : OCDE, 2016)</w:t>
        </w:r>
        <w:r w:rsidR="0080491D">
          <w:rPr>
            <w:noProof/>
            <w:webHidden/>
          </w:rPr>
          <w:tab/>
        </w:r>
        <w:r w:rsidR="0080491D">
          <w:rPr>
            <w:noProof/>
            <w:webHidden/>
          </w:rPr>
          <w:fldChar w:fldCharType="begin"/>
        </w:r>
        <w:r w:rsidR="0080491D">
          <w:rPr>
            <w:noProof/>
            <w:webHidden/>
          </w:rPr>
          <w:instrText xml:space="preserve"> PAGEREF _Toc454886800 \h </w:instrText>
        </w:r>
        <w:r w:rsidR="0080491D">
          <w:rPr>
            <w:noProof/>
            <w:webHidden/>
          </w:rPr>
        </w:r>
        <w:r w:rsidR="0080491D">
          <w:rPr>
            <w:noProof/>
            <w:webHidden/>
          </w:rPr>
          <w:fldChar w:fldCharType="separate"/>
        </w:r>
        <w:r w:rsidR="0080491D">
          <w:rPr>
            <w:noProof/>
            <w:webHidden/>
          </w:rPr>
          <w:t>12</w:t>
        </w:r>
        <w:r w:rsidR="0080491D">
          <w:rPr>
            <w:noProof/>
            <w:webHidden/>
          </w:rPr>
          <w:fldChar w:fldCharType="end"/>
        </w:r>
      </w:hyperlink>
    </w:p>
    <w:p w14:paraId="2A38DF3C" w14:textId="77777777" w:rsidR="0080491D" w:rsidRDefault="00D36020">
      <w:pPr>
        <w:pStyle w:val="TableofFigures"/>
        <w:tabs>
          <w:tab w:val="right" w:leader="dot" w:pos="9062"/>
        </w:tabs>
        <w:rPr>
          <w:rFonts w:eastAsiaTheme="minorEastAsia" w:cstheme="minorBidi"/>
          <w:noProof/>
          <w:szCs w:val="22"/>
        </w:rPr>
      </w:pPr>
      <w:hyperlink w:anchor="_Toc454886801" w:history="1">
        <w:r w:rsidR="0080491D" w:rsidRPr="00E64AED">
          <w:rPr>
            <w:rStyle w:val="Hyperlink"/>
            <w:noProof/>
          </w:rPr>
          <w:t>Tableau 2 : Projets mis en œuvre en République du Congo avec la facilité UE REDD (source : www.euredd.efi.int/roc)</w:t>
        </w:r>
        <w:r w:rsidR="0080491D">
          <w:rPr>
            <w:noProof/>
            <w:webHidden/>
          </w:rPr>
          <w:tab/>
        </w:r>
        <w:r w:rsidR="0080491D">
          <w:rPr>
            <w:noProof/>
            <w:webHidden/>
          </w:rPr>
          <w:fldChar w:fldCharType="begin"/>
        </w:r>
        <w:r w:rsidR="0080491D">
          <w:rPr>
            <w:noProof/>
            <w:webHidden/>
          </w:rPr>
          <w:instrText xml:space="preserve"> PAGEREF _Toc454886801 \h </w:instrText>
        </w:r>
        <w:r w:rsidR="0080491D">
          <w:rPr>
            <w:noProof/>
            <w:webHidden/>
          </w:rPr>
        </w:r>
        <w:r w:rsidR="0080491D">
          <w:rPr>
            <w:noProof/>
            <w:webHidden/>
          </w:rPr>
          <w:fldChar w:fldCharType="separate"/>
        </w:r>
        <w:r w:rsidR="0080491D">
          <w:rPr>
            <w:noProof/>
            <w:webHidden/>
          </w:rPr>
          <w:t>21</w:t>
        </w:r>
        <w:r w:rsidR="0080491D">
          <w:rPr>
            <w:noProof/>
            <w:webHidden/>
          </w:rPr>
          <w:fldChar w:fldCharType="end"/>
        </w:r>
      </w:hyperlink>
    </w:p>
    <w:p w14:paraId="62D8C31B" w14:textId="77777777" w:rsidR="0080491D" w:rsidRDefault="00D36020">
      <w:pPr>
        <w:pStyle w:val="TableofFigures"/>
        <w:tabs>
          <w:tab w:val="right" w:leader="dot" w:pos="9062"/>
        </w:tabs>
        <w:rPr>
          <w:rFonts w:eastAsiaTheme="minorEastAsia" w:cstheme="minorBidi"/>
          <w:noProof/>
          <w:szCs w:val="22"/>
        </w:rPr>
      </w:pPr>
      <w:hyperlink w:anchor="_Toc454886802" w:history="1">
        <w:r w:rsidR="0080491D" w:rsidRPr="00E64AED">
          <w:rPr>
            <w:rStyle w:val="Hyperlink"/>
            <w:noProof/>
          </w:rPr>
          <w:t>Tableau 3: Projets cofinancés par le FEM en République du Congo et dans la région (source : site du FEM)</w:t>
        </w:r>
        <w:r w:rsidR="0080491D">
          <w:rPr>
            <w:noProof/>
            <w:webHidden/>
          </w:rPr>
          <w:tab/>
        </w:r>
        <w:r w:rsidR="0080491D">
          <w:rPr>
            <w:noProof/>
            <w:webHidden/>
          </w:rPr>
          <w:fldChar w:fldCharType="begin"/>
        </w:r>
        <w:r w:rsidR="0080491D">
          <w:rPr>
            <w:noProof/>
            <w:webHidden/>
          </w:rPr>
          <w:instrText xml:space="preserve"> PAGEREF _Toc454886802 \h </w:instrText>
        </w:r>
        <w:r w:rsidR="0080491D">
          <w:rPr>
            <w:noProof/>
            <w:webHidden/>
          </w:rPr>
        </w:r>
        <w:r w:rsidR="0080491D">
          <w:rPr>
            <w:noProof/>
            <w:webHidden/>
          </w:rPr>
          <w:fldChar w:fldCharType="separate"/>
        </w:r>
        <w:r w:rsidR="0080491D">
          <w:rPr>
            <w:noProof/>
            <w:webHidden/>
          </w:rPr>
          <w:t>23</w:t>
        </w:r>
        <w:r w:rsidR="0080491D">
          <w:rPr>
            <w:noProof/>
            <w:webHidden/>
          </w:rPr>
          <w:fldChar w:fldCharType="end"/>
        </w:r>
      </w:hyperlink>
    </w:p>
    <w:p w14:paraId="30C1D97F" w14:textId="77777777" w:rsidR="0080491D" w:rsidRDefault="00D36020">
      <w:pPr>
        <w:pStyle w:val="TableofFigures"/>
        <w:tabs>
          <w:tab w:val="right" w:leader="dot" w:pos="9062"/>
        </w:tabs>
        <w:rPr>
          <w:rFonts w:eastAsiaTheme="minorEastAsia" w:cstheme="minorBidi"/>
          <w:noProof/>
          <w:szCs w:val="22"/>
        </w:rPr>
      </w:pPr>
      <w:hyperlink w:anchor="_Toc454886803" w:history="1">
        <w:r w:rsidR="0080491D" w:rsidRPr="00E64AED">
          <w:rPr>
            <w:rStyle w:val="Hyperlink"/>
            <w:noProof/>
          </w:rPr>
          <w:t>Tableau 4: APD nette versée par le Royaume Uni à la République du Congo entre 2009 et 2013 (millions de livres sterling) (source : DFID, 2015)</w:t>
        </w:r>
        <w:r w:rsidR="0080491D">
          <w:rPr>
            <w:noProof/>
            <w:webHidden/>
          </w:rPr>
          <w:tab/>
        </w:r>
        <w:r w:rsidR="0080491D">
          <w:rPr>
            <w:noProof/>
            <w:webHidden/>
          </w:rPr>
          <w:fldChar w:fldCharType="begin"/>
        </w:r>
        <w:r w:rsidR="0080491D">
          <w:rPr>
            <w:noProof/>
            <w:webHidden/>
          </w:rPr>
          <w:instrText xml:space="preserve"> PAGEREF _Toc454886803 \h </w:instrText>
        </w:r>
        <w:r w:rsidR="0080491D">
          <w:rPr>
            <w:noProof/>
            <w:webHidden/>
          </w:rPr>
        </w:r>
        <w:r w:rsidR="0080491D">
          <w:rPr>
            <w:noProof/>
            <w:webHidden/>
          </w:rPr>
          <w:fldChar w:fldCharType="separate"/>
        </w:r>
        <w:r w:rsidR="0080491D">
          <w:rPr>
            <w:noProof/>
            <w:webHidden/>
          </w:rPr>
          <w:t>30</w:t>
        </w:r>
        <w:r w:rsidR="0080491D">
          <w:rPr>
            <w:noProof/>
            <w:webHidden/>
          </w:rPr>
          <w:fldChar w:fldCharType="end"/>
        </w:r>
      </w:hyperlink>
    </w:p>
    <w:p w14:paraId="17C1AC30" w14:textId="77777777" w:rsidR="0080491D" w:rsidRDefault="00D36020">
      <w:pPr>
        <w:pStyle w:val="TableofFigures"/>
        <w:tabs>
          <w:tab w:val="right" w:leader="dot" w:pos="9062"/>
        </w:tabs>
        <w:rPr>
          <w:rFonts w:eastAsiaTheme="minorEastAsia" w:cstheme="minorBidi"/>
          <w:noProof/>
          <w:szCs w:val="22"/>
        </w:rPr>
      </w:pPr>
      <w:hyperlink w:anchor="_Toc454886804" w:history="1">
        <w:r w:rsidR="0080491D" w:rsidRPr="00E64AED">
          <w:rPr>
            <w:rStyle w:val="Hyperlink"/>
            <w:noProof/>
          </w:rPr>
          <w:t>Tableau 5: Initiatives FLEGT financées et co-financées par le DFID en République du Congo et au niveau régional (source: facilité UE FLEGT)</w:t>
        </w:r>
        <w:r w:rsidR="0080491D">
          <w:rPr>
            <w:noProof/>
            <w:webHidden/>
          </w:rPr>
          <w:tab/>
        </w:r>
        <w:r w:rsidR="0080491D">
          <w:rPr>
            <w:noProof/>
            <w:webHidden/>
          </w:rPr>
          <w:fldChar w:fldCharType="begin"/>
        </w:r>
        <w:r w:rsidR="0080491D">
          <w:rPr>
            <w:noProof/>
            <w:webHidden/>
          </w:rPr>
          <w:instrText xml:space="preserve"> PAGEREF _Toc454886804 \h </w:instrText>
        </w:r>
        <w:r w:rsidR="0080491D">
          <w:rPr>
            <w:noProof/>
            <w:webHidden/>
          </w:rPr>
        </w:r>
        <w:r w:rsidR="0080491D">
          <w:rPr>
            <w:noProof/>
            <w:webHidden/>
          </w:rPr>
          <w:fldChar w:fldCharType="separate"/>
        </w:r>
        <w:r w:rsidR="0080491D">
          <w:rPr>
            <w:noProof/>
            <w:webHidden/>
          </w:rPr>
          <w:t>31</w:t>
        </w:r>
        <w:r w:rsidR="0080491D">
          <w:rPr>
            <w:noProof/>
            <w:webHidden/>
          </w:rPr>
          <w:fldChar w:fldCharType="end"/>
        </w:r>
      </w:hyperlink>
    </w:p>
    <w:p w14:paraId="7BF7791D" w14:textId="77777777" w:rsidR="0080491D" w:rsidRDefault="00D36020">
      <w:pPr>
        <w:pStyle w:val="TableofFigures"/>
        <w:tabs>
          <w:tab w:val="right" w:leader="dot" w:pos="9062"/>
        </w:tabs>
        <w:rPr>
          <w:rFonts w:eastAsiaTheme="minorEastAsia" w:cstheme="minorBidi"/>
          <w:noProof/>
          <w:szCs w:val="22"/>
        </w:rPr>
      </w:pPr>
      <w:hyperlink w:anchor="_Toc454886805" w:history="1">
        <w:r w:rsidR="0080491D" w:rsidRPr="00E64AED">
          <w:rPr>
            <w:rStyle w:val="Hyperlink"/>
            <w:noProof/>
          </w:rPr>
          <w:t>Tableau 6: Opérations de l'administration centrale de 2013 à 2020 (source: FMI, 2015)</w:t>
        </w:r>
        <w:r w:rsidR="0080491D">
          <w:rPr>
            <w:noProof/>
            <w:webHidden/>
          </w:rPr>
          <w:tab/>
        </w:r>
        <w:r w:rsidR="0080491D">
          <w:rPr>
            <w:noProof/>
            <w:webHidden/>
          </w:rPr>
          <w:fldChar w:fldCharType="begin"/>
        </w:r>
        <w:r w:rsidR="0080491D">
          <w:rPr>
            <w:noProof/>
            <w:webHidden/>
          </w:rPr>
          <w:instrText xml:space="preserve"> PAGEREF _Toc454886805 \h </w:instrText>
        </w:r>
        <w:r w:rsidR="0080491D">
          <w:rPr>
            <w:noProof/>
            <w:webHidden/>
          </w:rPr>
        </w:r>
        <w:r w:rsidR="0080491D">
          <w:rPr>
            <w:noProof/>
            <w:webHidden/>
          </w:rPr>
          <w:fldChar w:fldCharType="separate"/>
        </w:r>
        <w:r w:rsidR="0080491D">
          <w:rPr>
            <w:noProof/>
            <w:webHidden/>
          </w:rPr>
          <w:t>39</w:t>
        </w:r>
        <w:r w:rsidR="0080491D">
          <w:rPr>
            <w:noProof/>
            <w:webHidden/>
          </w:rPr>
          <w:fldChar w:fldCharType="end"/>
        </w:r>
      </w:hyperlink>
    </w:p>
    <w:p w14:paraId="5FEE38E8" w14:textId="77777777" w:rsidR="0080491D" w:rsidRDefault="00D36020">
      <w:pPr>
        <w:pStyle w:val="TableofFigures"/>
        <w:tabs>
          <w:tab w:val="right" w:leader="dot" w:pos="9062"/>
        </w:tabs>
        <w:rPr>
          <w:rFonts w:eastAsiaTheme="minorEastAsia" w:cstheme="minorBidi"/>
          <w:noProof/>
          <w:szCs w:val="22"/>
        </w:rPr>
      </w:pPr>
      <w:hyperlink w:anchor="_Toc454886806" w:history="1">
        <w:r w:rsidR="0080491D" w:rsidRPr="00E64AED">
          <w:rPr>
            <w:rStyle w:val="Hyperlink"/>
            <w:noProof/>
          </w:rPr>
          <w:t>Tableau 7: Orientations budgétaires du PND 2012-2016 en part relative des dépenses (source: CPCMB, 2012)</w:t>
        </w:r>
        <w:r w:rsidR="0080491D">
          <w:rPr>
            <w:noProof/>
            <w:webHidden/>
          </w:rPr>
          <w:tab/>
        </w:r>
        <w:r w:rsidR="0080491D">
          <w:rPr>
            <w:noProof/>
            <w:webHidden/>
          </w:rPr>
          <w:fldChar w:fldCharType="begin"/>
        </w:r>
        <w:r w:rsidR="0080491D">
          <w:rPr>
            <w:noProof/>
            <w:webHidden/>
          </w:rPr>
          <w:instrText xml:space="preserve"> PAGEREF _Toc454886806 \h </w:instrText>
        </w:r>
        <w:r w:rsidR="0080491D">
          <w:rPr>
            <w:noProof/>
            <w:webHidden/>
          </w:rPr>
        </w:r>
        <w:r w:rsidR="0080491D">
          <w:rPr>
            <w:noProof/>
            <w:webHidden/>
          </w:rPr>
          <w:fldChar w:fldCharType="separate"/>
        </w:r>
        <w:r w:rsidR="0080491D">
          <w:rPr>
            <w:noProof/>
            <w:webHidden/>
          </w:rPr>
          <w:t>41</w:t>
        </w:r>
        <w:r w:rsidR="0080491D">
          <w:rPr>
            <w:noProof/>
            <w:webHidden/>
          </w:rPr>
          <w:fldChar w:fldCharType="end"/>
        </w:r>
      </w:hyperlink>
    </w:p>
    <w:p w14:paraId="510A015C" w14:textId="77777777" w:rsidR="0080491D" w:rsidRDefault="00D36020">
      <w:pPr>
        <w:pStyle w:val="TableofFigures"/>
        <w:tabs>
          <w:tab w:val="right" w:leader="dot" w:pos="9062"/>
        </w:tabs>
        <w:rPr>
          <w:rFonts w:eastAsiaTheme="minorEastAsia" w:cstheme="minorBidi"/>
          <w:noProof/>
          <w:szCs w:val="22"/>
        </w:rPr>
      </w:pPr>
      <w:hyperlink w:anchor="_Toc454886807" w:history="1">
        <w:r w:rsidR="0080491D" w:rsidRPr="00E64AED">
          <w:rPr>
            <w:rStyle w:val="Hyperlink"/>
            <w:noProof/>
          </w:rPr>
          <w:t>Tableau 8 : Indicateurs de la Banque Mondiale de facilité de faire des affaires au Congo en 2015 et 2016</w:t>
        </w:r>
        <w:r w:rsidR="0080491D">
          <w:rPr>
            <w:noProof/>
            <w:webHidden/>
          </w:rPr>
          <w:tab/>
        </w:r>
        <w:r w:rsidR="0080491D">
          <w:rPr>
            <w:noProof/>
            <w:webHidden/>
          </w:rPr>
          <w:fldChar w:fldCharType="begin"/>
        </w:r>
        <w:r w:rsidR="0080491D">
          <w:rPr>
            <w:noProof/>
            <w:webHidden/>
          </w:rPr>
          <w:instrText xml:space="preserve"> PAGEREF _Toc454886807 \h </w:instrText>
        </w:r>
        <w:r w:rsidR="0080491D">
          <w:rPr>
            <w:noProof/>
            <w:webHidden/>
          </w:rPr>
        </w:r>
        <w:r w:rsidR="0080491D">
          <w:rPr>
            <w:noProof/>
            <w:webHidden/>
          </w:rPr>
          <w:fldChar w:fldCharType="separate"/>
        </w:r>
        <w:r w:rsidR="0080491D">
          <w:rPr>
            <w:noProof/>
            <w:webHidden/>
          </w:rPr>
          <w:t>47</w:t>
        </w:r>
        <w:r w:rsidR="0080491D">
          <w:rPr>
            <w:noProof/>
            <w:webHidden/>
          </w:rPr>
          <w:fldChar w:fldCharType="end"/>
        </w:r>
      </w:hyperlink>
    </w:p>
    <w:p w14:paraId="07E3018A" w14:textId="77777777" w:rsidR="0080491D" w:rsidRDefault="00D36020">
      <w:pPr>
        <w:pStyle w:val="TableofFigures"/>
        <w:tabs>
          <w:tab w:val="right" w:leader="dot" w:pos="9062"/>
        </w:tabs>
        <w:rPr>
          <w:rFonts w:eastAsiaTheme="minorEastAsia" w:cstheme="minorBidi"/>
          <w:noProof/>
          <w:szCs w:val="22"/>
        </w:rPr>
      </w:pPr>
      <w:hyperlink w:anchor="_Toc454886808" w:history="1">
        <w:r w:rsidR="0080491D" w:rsidRPr="00E64AED">
          <w:rPr>
            <w:rStyle w:val="Hyperlink"/>
            <w:noProof/>
          </w:rPr>
          <w:t>Tableau 9: Banques agrées au Congo au 28/09/2014</w:t>
        </w:r>
        <w:r w:rsidR="0080491D">
          <w:rPr>
            <w:noProof/>
            <w:webHidden/>
          </w:rPr>
          <w:tab/>
        </w:r>
        <w:r w:rsidR="0080491D">
          <w:rPr>
            <w:noProof/>
            <w:webHidden/>
          </w:rPr>
          <w:fldChar w:fldCharType="begin"/>
        </w:r>
        <w:r w:rsidR="0080491D">
          <w:rPr>
            <w:noProof/>
            <w:webHidden/>
          </w:rPr>
          <w:instrText xml:space="preserve"> PAGEREF _Toc454886808 \h </w:instrText>
        </w:r>
        <w:r w:rsidR="0080491D">
          <w:rPr>
            <w:noProof/>
            <w:webHidden/>
          </w:rPr>
        </w:r>
        <w:r w:rsidR="0080491D">
          <w:rPr>
            <w:noProof/>
            <w:webHidden/>
          </w:rPr>
          <w:fldChar w:fldCharType="separate"/>
        </w:r>
        <w:r w:rsidR="0080491D">
          <w:rPr>
            <w:noProof/>
            <w:webHidden/>
          </w:rPr>
          <w:t>47</w:t>
        </w:r>
        <w:r w:rsidR="0080491D">
          <w:rPr>
            <w:noProof/>
            <w:webHidden/>
          </w:rPr>
          <w:fldChar w:fldCharType="end"/>
        </w:r>
      </w:hyperlink>
    </w:p>
    <w:p w14:paraId="2ABEB9D1" w14:textId="77777777" w:rsidR="0080491D" w:rsidRDefault="00D36020">
      <w:pPr>
        <w:pStyle w:val="TableofFigures"/>
        <w:tabs>
          <w:tab w:val="right" w:leader="dot" w:pos="9062"/>
        </w:tabs>
        <w:rPr>
          <w:rFonts w:eastAsiaTheme="minorEastAsia" w:cstheme="minorBidi"/>
          <w:noProof/>
          <w:szCs w:val="22"/>
        </w:rPr>
      </w:pPr>
      <w:hyperlink w:anchor="_Toc454886809" w:history="1">
        <w:r w:rsidR="0080491D" w:rsidRPr="00E64AED">
          <w:rPr>
            <w:rStyle w:val="Hyperlink"/>
            <w:noProof/>
          </w:rPr>
          <w:t>Tableau 10: Accès au financement des entreprises en 2009 (BAD, 2012)</w:t>
        </w:r>
        <w:r w:rsidR="0080491D">
          <w:rPr>
            <w:noProof/>
            <w:webHidden/>
          </w:rPr>
          <w:tab/>
        </w:r>
        <w:r w:rsidR="0080491D">
          <w:rPr>
            <w:noProof/>
            <w:webHidden/>
          </w:rPr>
          <w:fldChar w:fldCharType="begin"/>
        </w:r>
        <w:r w:rsidR="0080491D">
          <w:rPr>
            <w:noProof/>
            <w:webHidden/>
          </w:rPr>
          <w:instrText xml:space="preserve"> PAGEREF _Toc454886809 \h </w:instrText>
        </w:r>
        <w:r w:rsidR="0080491D">
          <w:rPr>
            <w:noProof/>
            <w:webHidden/>
          </w:rPr>
        </w:r>
        <w:r w:rsidR="0080491D">
          <w:rPr>
            <w:noProof/>
            <w:webHidden/>
          </w:rPr>
          <w:fldChar w:fldCharType="separate"/>
        </w:r>
        <w:r w:rsidR="0080491D">
          <w:rPr>
            <w:noProof/>
            <w:webHidden/>
          </w:rPr>
          <w:t>50</w:t>
        </w:r>
        <w:r w:rsidR="0080491D">
          <w:rPr>
            <w:noProof/>
            <w:webHidden/>
          </w:rPr>
          <w:fldChar w:fldCharType="end"/>
        </w:r>
      </w:hyperlink>
    </w:p>
    <w:p w14:paraId="3785D10E" w14:textId="77777777" w:rsidR="00990AD4" w:rsidRPr="00990AD4" w:rsidRDefault="00990AD4" w:rsidP="00990AD4">
      <w:r>
        <w:fldChar w:fldCharType="end"/>
      </w:r>
    </w:p>
    <w:p w14:paraId="334533EE" w14:textId="12094961" w:rsidR="00D750EA" w:rsidRDefault="00D750EA" w:rsidP="00990AD4">
      <w:pPr>
        <w:pStyle w:val="Heading2"/>
        <w:numPr>
          <w:ilvl w:val="0"/>
          <w:numId w:val="0"/>
        </w:numPr>
      </w:pPr>
      <w:bookmarkStart w:id="6" w:name="_Toc454886778"/>
      <w:r>
        <w:t>Liste des figures</w:t>
      </w:r>
      <w:bookmarkEnd w:id="6"/>
    </w:p>
    <w:p w14:paraId="6117F5C8" w14:textId="77777777" w:rsidR="0080491D" w:rsidRDefault="00990AD4">
      <w:pPr>
        <w:pStyle w:val="TableofFigures"/>
        <w:tabs>
          <w:tab w:val="right" w:leader="dot" w:pos="9062"/>
        </w:tabs>
        <w:rPr>
          <w:rFonts w:eastAsiaTheme="minorEastAsia" w:cstheme="minorBidi"/>
          <w:noProof/>
          <w:szCs w:val="22"/>
        </w:rPr>
      </w:pPr>
      <w:r>
        <w:fldChar w:fldCharType="begin"/>
      </w:r>
      <w:r>
        <w:instrText xml:space="preserve"> TOC \h \z \c "Figure" </w:instrText>
      </w:r>
      <w:r>
        <w:fldChar w:fldCharType="separate"/>
      </w:r>
      <w:hyperlink w:anchor="_Toc454886810" w:history="1">
        <w:r w:rsidR="0080491D" w:rsidRPr="00505E0A">
          <w:rPr>
            <w:rStyle w:val="Hyperlink"/>
            <w:noProof/>
          </w:rPr>
          <w:t>Figure 1: Sources et types de financements étudiés pour la mise en œuvre des activités REDD+</w:t>
        </w:r>
        <w:r w:rsidR="0080491D">
          <w:rPr>
            <w:noProof/>
            <w:webHidden/>
          </w:rPr>
          <w:tab/>
        </w:r>
        <w:r w:rsidR="0080491D">
          <w:rPr>
            <w:noProof/>
            <w:webHidden/>
          </w:rPr>
          <w:fldChar w:fldCharType="begin"/>
        </w:r>
        <w:r w:rsidR="0080491D">
          <w:rPr>
            <w:noProof/>
            <w:webHidden/>
          </w:rPr>
          <w:instrText xml:space="preserve"> PAGEREF _Toc454886810 \h </w:instrText>
        </w:r>
        <w:r w:rsidR="0080491D">
          <w:rPr>
            <w:noProof/>
            <w:webHidden/>
          </w:rPr>
        </w:r>
        <w:r w:rsidR="0080491D">
          <w:rPr>
            <w:noProof/>
            <w:webHidden/>
          </w:rPr>
          <w:fldChar w:fldCharType="separate"/>
        </w:r>
        <w:r w:rsidR="0080491D">
          <w:rPr>
            <w:noProof/>
            <w:webHidden/>
          </w:rPr>
          <w:t>10</w:t>
        </w:r>
        <w:r w:rsidR="0080491D">
          <w:rPr>
            <w:noProof/>
            <w:webHidden/>
          </w:rPr>
          <w:fldChar w:fldCharType="end"/>
        </w:r>
      </w:hyperlink>
    </w:p>
    <w:p w14:paraId="6F3CF3A3" w14:textId="77777777" w:rsidR="0080491D" w:rsidRDefault="00D36020">
      <w:pPr>
        <w:pStyle w:val="TableofFigures"/>
        <w:tabs>
          <w:tab w:val="right" w:leader="dot" w:pos="9062"/>
        </w:tabs>
        <w:rPr>
          <w:rFonts w:eastAsiaTheme="minorEastAsia" w:cstheme="minorBidi"/>
          <w:noProof/>
          <w:szCs w:val="22"/>
        </w:rPr>
      </w:pPr>
      <w:hyperlink w:anchor="_Toc454886811" w:history="1">
        <w:r w:rsidR="0080491D" w:rsidRPr="00505E0A">
          <w:rPr>
            <w:rStyle w:val="Hyperlink"/>
            <w:noProof/>
          </w:rPr>
          <w:t>Figure 2: Engagement de la BIRD et de l'AID en République du Congo  (source: www.worldbank.org)</w:t>
        </w:r>
        <w:r w:rsidR="0080491D">
          <w:rPr>
            <w:noProof/>
            <w:webHidden/>
          </w:rPr>
          <w:tab/>
        </w:r>
        <w:r w:rsidR="0080491D">
          <w:rPr>
            <w:noProof/>
            <w:webHidden/>
          </w:rPr>
          <w:fldChar w:fldCharType="begin"/>
        </w:r>
        <w:r w:rsidR="0080491D">
          <w:rPr>
            <w:noProof/>
            <w:webHidden/>
          </w:rPr>
          <w:instrText xml:space="preserve"> PAGEREF _Toc454886811 \h </w:instrText>
        </w:r>
        <w:r w:rsidR="0080491D">
          <w:rPr>
            <w:noProof/>
            <w:webHidden/>
          </w:rPr>
        </w:r>
        <w:r w:rsidR="0080491D">
          <w:rPr>
            <w:noProof/>
            <w:webHidden/>
          </w:rPr>
          <w:fldChar w:fldCharType="separate"/>
        </w:r>
        <w:r w:rsidR="0080491D">
          <w:rPr>
            <w:noProof/>
            <w:webHidden/>
          </w:rPr>
          <w:t>13</w:t>
        </w:r>
        <w:r w:rsidR="0080491D">
          <w:rPr>
            <w:noProof/>
            <w:webHidden/>
          </w:rPr>
          <w:fldChar w:fldCharType="end"/>
        </w:r>
      </w:hyperlink>
    </w:p>
    <w:p w14:paraId="105BA955" w14:textId="77777777" w:rsidR="0080491D" w:rsidRDefault="00D36020">
      <w:pPr>
        <w:pStyle w:val="TableofFigures"/>
        <w:tabs>
          <w:tab w:val="right" w:leader="dot" w:pos="9062"/>
        </w:tabs>
        <w:rPr>
          <w:rFonts w:eastAsiaTheme="minorEastAsia" w:cstheme="minorBidi"/>
          <w:noProof/>
          <w:szCs w:val="22"/>
        </w:rPr>
      </w:pPr>
      <w:hyperlink w:anchor="_Toc454886812" w:history="1">
        <w:r w:rsidR="0080491D" w:rsidRPr="00505E0A">
          <w:rPr>
            <w:rStyle w:val="Hyperlink"/>
            <w:noProof/>
          </w:rPr>
          <w:t>Figure 3: Récapitulatif des prêts en cours, en 2016, BIRD (droite) et AID (gauche) (source: www.worldbank.org)</w:t>
        </w:r>
        <w:r w:rsidR="0080491D">
          <w:rPr>
            <w:noProof/>
            <w:webHidden/>
          </w:rPr>
          <w:tab/>
        </w:r>
        <w:r w:rsidR="0080491D">
          <w:rPr>
            <w:noProof/>
            <w:webHidden/>
          </w:rPr>
          <w:fldChar w:fldCharType="begin"/>
        </w:r>
        <w:r w:rsidR="0080491D">
          <w:rPr>
            <w:noProof/>
            <w:webHidden/>
          </w:rPr>
          <w:instrText xml:space="preserve"> PAGEREF _Toc454886812 \h </w:instrText>
        </w:r>
        <w:r w:rsidR="0080491D">
          <w:rPr>
            <w:noProof/>
            <w:webHidden/>
          </w:rPr>
        </w:r>
        <w:r w:rsidR="0080491D">
          <w:rPr>
            <w:noProof/>
            <w:webHidden/>
          </w:rPr>
          <w:fldChar w:fldCharType="separate"/>
        </w:r>
        <w:r w:rsidR="0080491D">
          <w:rPr>
            <w:noProof/>
            <w:webHidden/>
          </w:rPr>
          <w:t>14</w:t>
        </w:r>
        <w:r w:rsidR="0080491D">
          <w:rPr>
            <w:noProof/>
            <w:webHidden/>
          </w:rPr>
          <w:fldChar w:fldCharType="end"/>
        </w:r>
      </w:hyperlink>
    </w:p>
    <w:p w14:paraId="277BD1C3" w14:textId="77777777" w:rsidR="0080491D" w:rsidRDefault="00D36020">
      <w:pPr>
        <w:pStyle w:val="TableofFigures"/>
        <w:tabs>
          <w:tab w:val="right" w:leader="dot" w:pos="9062"/>
        </w:tabs>
        <w:rPr>
          <w:rFonts w:eastAsiaTheme="minorEastAsia" w:cstheme="minorBidi"/>
          <w:noProof/>
          <w:szCs w:val="22"/>
        </w:rPr>
      </w:pPr>
      <w:hyperlink w:anchor="_Toc454886813" w:history="1">
        <w:r w:rsidR="0080491D" w:rsidRPr="00505E0A">
          <w:rPr>
            <w:rStyle w:val="Hyperlink"/>
            <w:noProof/>
          </w:rPr>
          <w:t>Figure 4: Répartition de l'aide apportée au Congo par l'UE en fonction des thématiques des projets au 6 septembre 2010</w:t>
        </w:r>
        <w:r w:rsidR="0080491D">
          <w:rPr>
            <w:noProof/>
            <w:webHidden/>
          </w:rPr>
          <w:tab/>
        </w:r>
        <w:r w:rsidR="0080491D">
          <w:rPr>
            <w:noProof/>
            <w:webHidden/>
          </w:rPr>
          <w:fldChar w:fldCharType="begin"/>
        </w:r>
        <w:r w:rsidR="0080491D">
          <w:rPr>
            <w:noProof/>
            <w:webHidden/>
          </w:rPr>
          <w:instrText xml:space="preserve"> PAGEREF _Toc454886813 \h </w:instrText>
        </w:r>
        <w:r w:rsidR="0080491D">
          <w:rPr>
            <w:noProof/>
            <w:webHidden/>
          </w:rPr>
        </w:r>
        <w:r w:rsidR="0080491D">
          <w:rPr>
            <w:noProof/>
            <w:webHidden/>
          </w:rPr>
          <w:fldChar w:fldCharType="separate"/>
        </w:r>
        <w:r w:rsidR="0080491D">
          <w:rPr>
            <w:noProof/>
            <w:webHidden/>
          </w:rPr>
          <w:t>20</w:t>
        </w:r>
        <w:r w:rsidR="0080491D">
          <w:rPr>
            <w:noProof/>
            <w:webHidden/>
          </w:rPr>
          <w:fldChar w:fldCharType="end"/>
        </w:r>
      </w:hyperlink>
    </w:p>
    <w:p w14:paraId="542ADBF0" w14:textId="77777777" w:rsidR="0080491D" w:rsidRDefault="00D36020">
      <w:pPr>
        <w:pStyle w:val="TableofFigures"/>
        <w:tabs>
          <w:tab w:val="right" w:leader="dot" w:pos="9062"/>
        </w:tabs>
        <w:rPr>
          <w:rFonts w:eastAsiaTheme="minorEastAsia" w:cstheme="minorBidi"/>
          <w:noProof/>
          <w:szCs w:val="22"/>
        </w:rPr>
      </w:pPr>
      <w:hyperlink w:anchor="_Toc454886814" w:history="1">
        <w:r w:rsidR="0080491D" w:rsidRPr="00505E0A">
          <w:rPr>
            <w:rStyle w:val="Hyperlink"/>
            <w:noProof/>
          </w:rPr>
          <w:t>Figure 5: Ventilation par donneur des versements bilatéraux nets d'APD des pays de l’OCDE en faveur de l'Afrique subsaharienne en 2014</w:t>
        </w:r>
        <w:r w:rsidR="0080491D">
          <w:rPr>
            <w:noProof/>
            <w:webHidden/>
          </w:rPr>
          <w:tab/>
        </w:r>
        <w:r w:rsidR="0080491D">
          <w:rPr>
            <w:noProof/>
            <w:webHidden/>
          </w:rPr>
          <w:fldChar w:fldCharType="begin"/>
        </w:r>
        <w:r w:rsidR="0080491D">
          <w:rPr>
            <w:noProof/>
            <w:webHidden/>
          </w:rPr>
          <w:instrText xml:space="preserve"> PAGEREF _Toc454886814 \h </w:instrText>
        </w:r>
        <w:r w:rsidR="0080491D">
          <w:rPr>
            <w:noProof/>
            <w:webHidden/>
          </w:rPr>
        </w:r>
        <w:r w:rsidR="0080491D">
          <w:rPr>
            <w:noProof/>
            <w:webHidden/>
          </w:rPr>
          <w:fldChar w:fldCharType="separate"/>
        </w:r>
        <w:r w:rsidR="0080491D">
          <w:rPr>
            <w:noProof/>
            <w:webHidden/>
          </w:rPr>
          <w:t>24</w:t>
        </w:r>
        <w:r w:rsidR="0080491D">
          <w:rPr>
            <w:noProof/>
            <w:webHidden/>
          </w:rPr>
          <w:fldChar w:fldCharType="end"/>
        </w:r>
      </w:hyperlink>
    </w:p>
    <w:p w14:paraId="26D5F1F3" w14:textId="4D343062" w:rsidR="00990AD4" w:rsidRDefault="00990AD4" w:rsidP="00B22363">
      <w:r>
        <w:fldChar w:fldCharType="end"/>
      </w:r>
      <w:r>
        <w:br w:type="page"/>
      </w:r>
    </w:p>
    <w:p w14:paraId="5E0C327A" w14:textId="0739832F" w:rsidR="00D750EA" w:rsidRDefault="00D750EA" w:rsidP="00B22363">
      <w:pPr>
        <w:pStyle w:val="Heading2"/>
        <w:numPr>
          <w:ilvl w:val="0"/>
          <w:numId w:val="0"/>
        </w:numPr>
      </w:pPr>
      <w:bookmarkStart w:id="7" w:name="_Toc454886779"/>
      <w:r>
        <w:lastRenderedPageBreak/>
        <w:t>A</w:t>
      </w:r>
      <w:r w:rsidR="00BA6229">
        <w:t>cronymes</w:t>
      </w:r>
      <w:bookmarkEnd w:id="7"/>
    </w:p>
    <w:tbl>
      <w:tblPr>
        <w:tblW w:w="10097" w:type="dxa"/>
        <w:tblCellMar>
          <w:left w:w="0" w:type="dxa"/>
          <w:right w:w="0" w:type="dxa"/>
        </w:tblCellMar>
        <w:tblLook w:val="04A0" w:firstRow="1" w:lastRow="0" w:firstColumn="1" w:lastColumn="0" w:noHBand="0" w:noVBand="1"/>
      </w:tblPr>
      <w:tblGrid>
        <w:gridCol w:w="1291"/>
        <w:gridCol w:w="8806"/>
      </w:tblGrid>
      <w:tr w:rsidR="00B22363" w14:paraId="4DE05FE7"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E56B049" w14:textId="77777777" w:rsidR="00B22363" w:rsidRDefault="00B22363" w:rsidP="00B22363">
            <w:pPr>
              <w:spacing w:after="0"/>
              <w:jc w:val="left"/>
              <w:rPr>
                <w:rFonts w:ascii="Tw Cen MT" w:hAnsi="Tw Cen MT"/>
                <w:sz w:val="20"/>
                <w:szCs w:val="20"/>
              </w:rPr>
            </w:pPr>
            <w:r>
              <w:rPr>
                <w:rFonts w:ascii="Tw Cen MT" w:hAnsi="Tw Cen MT"/>
                <w:sz w:val="20"/>
                <w:szCs w:val="20"/>
              </w:rPr>
              <w:t>AASP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EB5C200" w14:textId="77777777" w:rsidR="00B22363" w:rsidRDefault="00B22363" w:rsidP="00B22363">
            <w:pPr>
              <w:spacing w:after="0"/>
              <w:jc w:val="left"/>
              <w:rPr>
                <w:rFonts w:ascii="Tw Cen MT" w:hAnsi="Tw Cen MT"/>
                <w:sz w:val="20"/>
                <w:szCs w:val="20"/>
              </w:rPr>
            </w:pPr>
            <w:r>
              <w:rPr>
                <w:rFonts w:ascii="Tw Cen MT" w:hAnsi="Tw Cen MT"/>
                <w:sz w:val="20"/>
                <w:szCs w:val="20"/>
              </w:rPr>
              <w:t>Autres Apports du Secteur Public</w:t>
            </w:r>
          </w:p>
        </w:tc>
      </w:tr>
      <w:tr w:rsidR="00B22363" w14:paraId="5E424771"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3CBFBF5" w14:textId="77777777" w:rsidR="00B22363" w:rsidRDefault="00B22363" w:rsidP="00B22363">
            <w:pPr>
              <w:spacing w:after="0"/>
              <w:jc w:val="left"/>
              <w:rPr>
                <w:rFonts w:ascii="Tw Cen MT" w:hAnsi="Tw Cen MT"/>
                <w:sz w:val="20"/>
                <w:szCs w:val="20"/>
              </w:rPr>
            </w:pPr>
            <w:r>
              <w:rPr>
                <w:rFonts w:ascii="Tw Cen MT" w:hAnsi="Tw Cen MT"/>
                <w:sz w:val="20"/>
                <w:szCs w:val="20"/>
              </w:rPr>
              <w:t>ACFAP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38DB415" w14:textId="77777777" w:rsidR="00B22363" w:rsidRDefault="00B22363" w:rsidP="00B22363">
            <w:pPr>
              <w:spacing w:after="0"/>
              <w:jc w:val="left"/>
              <w:rPr>
                <w:rFonts w:ascii="Tw Cen MT" w:hAnsi="Tw Cen MT"/>
                <w:sz w:val="20"/>
                <w:szCs w:val="20"/>
              </w:rPr>
            </w:pPr>
            <w:r>
              <w:rPr>
                <w:rFonts w:ascii="Tw Cen MT" w:hAnsi="Tw Cen MT"/>
                <w:sz w:val="20"/>
                <w:szCs w:val="20"/>
              </w:rPr>
              <w:t>Agence Congolaise de la Faune et des Aires Protégées</w:t>
            </w:r>
          </w:p>
        </w:tc>
      </w:tr>
      <w:tr w:rsidR="00B22363" w14:paraId="5599C11C"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FBBB4A3" w14:textId="77777777" w:rsidR="00B22363" w:rsidRDefault="00B22363" w:rsidP="00B22363">
            <w:pPr>
              <w:spacing w:after="0"/>
              <w:jc w:val="left"/>
              <w:rPr>
                <w:rFonts w:ascii="Tw Cen MT" w:hAnsi="Tw Cen MT"/>
                <w:sz w:val="20"/>
                <w:szCs w:val="20"/>
              </w:rPr>
            </w:pPr>
            <w:r>
              <w:rPr>
                <w:rFonts w:ascii="Tw Cen MT" w:hAnsi="Tw Cen MT"/>
                <w:sz w:val="20"/>
                <w:szCs w:val="20"/>
              </w:rPr>
              <w:t>AF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F0D8AFC" w14:textId="77777777" w:rsidR="00B22363" w:rsidRDefault="00B22363" w:rsidP="00B22363">
            <w:pPr>
              <w:spacing w:after="0"/>
              <w:jc w:val="left"/>
              <w:rPr>
                <w:rFonts w:ascii="Tw Cen MT" w:hAnsi="Tw Cen MT"/>
                <w:sz w:val="20"/>
                <w:szCs w:val="20"/>
              </w:rPr>
            </w:pPr>
            <w:r>
              <w:rPr>
                <w:rFonts w:ascii="Tw Cen MT" w:hAnsi="Tw Cen MT"/>
                <w:sz w:val="20"/>
                <w:szCs w:val="20"/>
              </w:rPr>
              <w:t>Fonds d'adaptation</w:t>
            </w:r>
          </w:p>
        </w:tc>
      </w:tr>
      <w:tr w:rsidR="00B22363" w14:paraId="4E278532"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69227AB" w14:textId="77777777" w:rsidR="00B22363" w:rsidRDefault="00B22363" w:rsidP="00B22363">
            <w:pPr>
              <w:spacing w:after="0"/>
              <w:jc w:val="left"/>
              <w:rPr>
                <w:rFonts w:ascii="Tw Cen MT" w:hAnsi="Tw Cen MT"/>
                <w:sz w:val="20"/>
                <w:szCs w:val="20"/>
              </w:rPr>
            </w:pPr>
            <w:r>
              <w:rPr>
                <w:rFonts w:ascii="Tw Cen MT" w:hAnsi="Tw Cen MT"/>
                <w:sz w:val="20"/>
                <w:szCs w:val="20"/>
              </w:rPr>
              <w:t>AFD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0086C17" w14:textId="77777777" w:rsidR="00B22363" w:rsidRDefault="00B22363" w:rsidP="00B22363">
            <w:pPr>
              <w:spacing w:after="0"/>
              <w:jc w:val="left"/>
              <w:rPr>
                <w:rFonts w:ascii="Tw Cen MT" w:hAnsi="Tw Cen MT"/>
                <w:sz w:val="20"/>
                <w:szCs w:val="20"/>
              </w:rPr>
            </w:pPr>
            <w:r>
              <w:rPr>
                <w:rFonts w:ascii="Tw Cen MT" w:hAnsi="Tw Cen MT"/>
                <w:sz w:val="20"/>
                <w:szCs w:val="20"/>
              </w:rPr>
              <w:t>Agence Française de Développement</w:t>
            </w:r>
          </w:p>
        </w:tc>
      </w:tr>
      <w:tr w:rsidR="00B22363" w14:paraId="54A36C77"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D2DBD02" w14:textId="77777777" w:rsidR="00B22363" w:rsidRDefault="00B22363" w:rsidP="00B22363">
            <w:pPr>
              <w:spacing w:after="0"/>
              <w:jc w:val="left"/>
              <w:rPr>
                <w:rFonts w:ascii="Tw Cen MT" w:hAnsi="Tw Cen MT"/>
                <w:sz w:val="20"/>
                <w:szCs w:val="20"/>
              </w:rPr>
            </w:pPr>
            <w:r>
              <w:rPr>
                <w:rFonts w:ascii="Tw Cen MT" w:hAnsi="Tw Cen MT"/>
                <w:sz w:val="20"/>
                <w:szCs w:val="20"/>
              </w:rPr>
              <w:t>AID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EB8DA81" w14:textId="77777777" w:rsidR="00B22363" w:rsidRDefault="00B22363" w:rsidP="00B22363">
            <w:pPr>
              <w:spacing w:after="0"/>
              <w:jc w:val="left"/>
              <w:rPr>
                <w:rFonts w:ascii="Tw Cen MT" w:hAnsi="Tw Cen MT"/>
                <w:sz w:val="20"/>
                <w:szCs w:val="20"/>
              </w:rPr>
            </w:pPr>
            <w:r>
              <w:rPr>
                <w:rFonts w:ascii="Tw Cen MT" w:hAnsi="Tw Cen MT"/>
                <w:sz w:val="20"/>
                <w:szCs w:val="20"/>
              </w:rPr>
              <w:t>Association internationale de développement</w:t>
            </w:r>
          </w:p>
        </w:tc>
      </w:tr>
      <w:tr w:rsidR="00B22363" w14:paraId="4B13EEF3"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C84F6C3" w14:textId="77777777" w:rsidR="00B22363" w:rsidRDefault="00B22363" w:rsidP="00B22363">
            <w:pPr>
              <w:spacing w:after="0"/>
              <w:jc w:val="left"/>
              <w:rPr>
                <w:rFonts w:ascii="Tw Cen MT" w:hAnsi="Tw Cen MT"/>
                <w:sz w:val="20"/>
                <w:szCs w:val="20"/>
              </w:rPr>
            </w:pPr>
            <w:r>
              <w:rPr>
                <w:rFonts w:ascii="Tw Cen MT" w:hAnsi="Tw Cen MT"/>
                <w:sz w:val="20"/>
                <w:szCs w:val="20"/>
              </w:rPr>
              <w:t>AMCC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3FB4F0A"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Alliance Mondiale contre le Changement Climatique </w:t>
            </w:r>
          </w:p>
        </w:tc>
      </w:tr>
      <w:tr w:rsidR="00B22363" w14:paraId="57979213"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6C2C295" w14:textId="77777777" w:rsidR="00B22363" w:rsidRDefault="00B22363" w:rsidP="00B22363">
            <w:pPr>
              <w:spacing w:after="0"/>
              <w:jc w:val="left"/>
              <w:rPr>
                <w:rFonts w:ascii="Tw Cen MT" w:hAnsi="Tw Cen MT"/>
                <w:sz w:val="20"/>
                <w:szCs w:val="20"/>
              </w:rPr>
            </w:pPr>
            <w:r>
              <w:rPr>
                <w:rFonts w:ascii="Tw Cen MT" w:hAnsi="Tw Cen MT"/>
                <w:sz w:val="20"/>
                <w:szCs w:val="20"/>
              </w:rPr>
              <w:t>ANA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8AFB3F6" w14:textId="77777777" w:rsidR="00B22363" w:rsidRDefault="00B22363" w:rsidP="00B22363">
            <w:pPr>
              <w:spacing w:after="0"/>
              <w:jc w:val="left"/>
              <w:rPr>
                <w:rFonts w:ascii="Tw Cen MT" w:hAnsi="Tw Cen MT"/>
                <w:sz w:val="20"/>
                <w:szCs w:val="20"/>
              </w:rPr>
            </w:pPr>
            <w:r>
              <w:rPr>
                <w:rFonts w:ascii="Tw Cen MT" w:hAnsi="Tw Cen MT"/>
                <w:sz w:val="20"/>
                <w:szCs w:val="20"/>
              </w:rPr>
              <w:t>Agence Nationale de l'Artisanat</w:t>
            </w:r>
          </w:p>
        </w:tc>
      </w:tr>
      <w:tr w:rsidR="00B22363" w14:paraId="43D7D335"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CCBB519" w14:textId="77777777" w:rsidR="00B22363" w:rsidRDefault="00B22363" w:rsidP="00B22363">
            <w:pPr>
              <w:spacing w:after="0"/>
              <w:jc w:val="left"/>
              <w:rPr>
                <w:rFonts w:ascii="Tw Cen MT" w:hAnsi="Tw Cen MT"/>
                <w:sz w:val="20"/>
                <w:szCs w:val="20"/>
              </w:rPr>
            </w:pPr>
            <w:r>
              <w:rPr>
                <w:rFonts w:ascii="Tw Cen MT" w:hAnsi="Tw Cen MT"/>
                <w:sz w:val="20"/>
                <w:szCs w:val="20"/>
              </w:rPr>
              <w:t>APD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DEF63E3" w14:textId="77777777" w:rsidR="00B22363" w:rsidRDefault="00B22363" w:rsidP="00B22363">
            <w:pPr>
              <w:spacing w:after="0"/>
              <w:jc w:val="left"/>
              <w:rPr>
                <w:rFonts w:ascii="Tw Cen MT" w:hAnsi="Tw Cen MT"/>
                <w:sz w:val="20"/>
                <w:szCs w:val="20"/>
              </w:rPr>
            </w:pPr>
            <w:r>
              <w:rPr>
                <w:rFonts w:ascii="Tw Cen MT" w:hAnsi="Tw Cen MT"/>
                <w:sz w:val="20"/>
                <w:szCs w:val="20"/>
              </w:rPr>
              <w:t>Aide Public pour le Développement</w:t>
            </w:r>
          </w:p>
        </w:tc>
      </w:tr>
      <w:tr w:rsidR="00B22363" w14:paraId="62FA9072"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9CE66A1" w14:textId="77777777" w:rsidR="00B22363" w:rsidRDefault="00B22363" w:rsidP="00B22363">
            <w:pPr>
              <w:spacing w:after="0"/>
              <w:jc w:val="left"/>
              <w:rPr>
                <w:rFonts w:ascii="Tw Cen MT" w:hAnsi="Tw Cen MT"/>
                <w:sz w:val="20"/>
                <w:szCs w:val="20"/>
              </w:rPr>
            </w:pPr>
            <w:r>
              <w:rPr>
                <w:rFonts w:ascii="Tw Cen MT" w:hAnsi="Tw Cen MT"/>
                <w:sz w:val="20"/>
                <w:szCs w:val="20"/>
              </w:rPr>
              <w:t>API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E44082E"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Agence de promotion de l’investissement </w:t>
            </w:r>
          </w:p>
        </w:tc>
      </w:tr>
      <w:tr w:rsidR="00B22363" w14:paraId="2C77388A"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184470C" w14:textId="77777777" w:rsidR="00B22363" w:rsidRDefault="00B22363" w:rsidP="00B22363">
            <w:pPr>
              <w:spacing w:after="0"/>
              <w:jc w:val="left"/>
              <w:rPr>
                <w:rFonts w:ascii="Tw Cen MT" w:hAnsi="Tw Cen MT"/>
                <w:sz w:val="20"/>
                <w:szCs w:val="20"/>
              </w:rPr>
            </w:pPr>
            <w:r>
              <w:rPr>
                <w:rFonts w:ascii="Tw Cen MT" w:hAnsi="Tw Cen MT"/>
                <w:sz w:val="20"/>
                <w:szCs w:val="20"/>
              </w:rPr>
              <w:t>APV</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AA664D7" w14:textId="77777777" w:rsidR="00B22363" w:rsidRDefault="00B22363" w:rsidP="00B22363">
            <w:pPr>
              <w:spacing w:after="0"/>
              <w:jc w:val="left"/>
              <w:rPr>
                <w:rFonts w:ascii="Tw Cen MT" w:hAnsi="Tw Cen MT"/>
                <w:sz w:val="20"/>
                <w:szCs w:val="20"/>
              </w:rPr>
            </w:pPr>
            <w:r>
              <w:rPr>
                <w:rFonts w:ascii="Tw Cen MT" w:hAnsi="Tw Cen MT"/>
                <w:sz w:val="20"/>
                <w:szCs w:val="20"/>
              </w:rPr>
              <w:t>Accord de Partenariat Volontaire</w:t>
            </w:r>
          </w:p>
        </w:tc>
      </w:tr>
      <w:tr w:rsidR="00B22363" w14:paraId="0BF76E87"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4C0D4F4" w14:textId="77777777" w:rsidR="00B22363" w:rsidRDefault="00B22363" w:rsidP="00B22363">
            <w:pPr>
              <w:spacing w:after="0"/>
              <w:jc w:val="left"/>
              <w:rPr>
                <w:rFonts w:ascii="Tw Cen MT" w:hAnsi="Tw Cen MT"/>
                <w:sz w:val="20"/>
                <w:szCs w:val="20"/>
              </w:rPr>
            </w:pPr>
            <w:r>
              <w:rPr>
                <w:rFonts w:ascii="Tw Cen MT" w:hAnsi="Tw Cen MT"/>
                <w:sz w:val="20"/>
                <w:szCs w:val="20"/>
              </w:rPr>
              <w:t>ASAP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4B69824"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Programme d’Adaptation pour les petits exploitants agricoles </w:t>
            </w:r>
          </w:p>
        </w:tc>
      </w:tr>
      <w:tr w:rsidR="00B22363" w14:paraId="7D380F7A"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E57F587" w14:textId="77777777" w:rsidR="00B22363" w:rsidRDefault="00B22363" w:rsidP="00B22363">
            <w:pPr>
              <w:spacing w:after="0"/>
              <w:jc w:val="left"/>
              <w:rPr>
                <w:rFonts w:ascii="Tw Cen MT" w:hAnsi="Tw Cen MT"/>
                <w:sz w:val="20"/>
                <w:szCs w:val="20"/>
              </w:rPr>
            </w:pPr>
            <w:r>
              <w:rPr>
                <w:rFonts w:ascii="Tw Cen MT" w:hAnsi="Tw Cen MT"/>
                <w:sz w:val="20"/>
                <w:szCs w:val="20"/>
              </w:rPr>
              <w:t>BAD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F7316A1" w14:textId="77777777" w:rsidR="00B22363" w:rsidRDefault="00B22363" w:rsidP="00B22363">
            <w:pPr>
              <w:spacing w:after="0"/>
              <w:jc w:val="left"/>
              <w:rPr>
                <w:rFonts w:ascii="Tw Cen MT" w:hAnsi="Tw Cen MT"/>
                <w:sz w:val="20"/>
                <w:szCs w:val="20"/>
              </w:rPr>
            </w:pPr>
            <w:r>
              <w:rPr>
                <w:rFonts w:ascii="Tw Cen MT" w:hAnsi="Tw Cen MT"/>
                <w:sz w:val="20"/>
                <w:szCs w:val="20"/>
              </w:rPr>
              <w:t>Banque Africaine de Développement</w:t>
            </w:r>
          </w:p>
        </w:tc>
      </w:tr>
      <w:tr w:rsidR="00B22363" w14:paraId="1AA263C5"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AB6B839" w14:textId="77777777" w:rsidR="00B22363" w:rsidRDefault="00B22363" w:rsidP="00B22363">
            <w:pPr>
              <w:spacing w:after="0"/>
              <w:jc w:val="left"/>
              <w:rPr>
                <w:rFonts w:ascii="Tw Cen MT" w:hAnsi="Tw Cen MT"/>
                <w:sz w:val="20"/>
                <w:szCs w:val="20"/>
              </w:rPr>
            </w:pPr>
            <w:r>
              <w:rPr>
                <w:rFonts w:ascii="Tw Cen MT" w:hAnsi="Tw Cen MT"/>
                <w:sz w:val="20"/>
                <w:szCs w:val="20"/>
              </w:rPr>
              <w:t>BADEA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EC65B1D"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Banque Arabe pour le développement économique en Afrique </w:t>
            </w:r>
          </w:p>
        </w:tc>
      </w:tr>
      <w:tr w:rsidR="00B22363" w14:paraId="46EC2353"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2DA3656" w14:textId="77777777" w:rsidR="00B22363" w:rsidRDefault="00B22363" w:rsidP="00B22363">
            <w:pPr>
              <w:spacing w:after="0"/>
              <w:jc w:val="left"/>
              <w:rPr>
                <w:rFonts w:ascii="Tw Cen MT" w:hAnsi="Tw Cen MT"/>
                <w:sz w:val="20"/>
                <w:szCs w:val="20"/>
              </w:rPr>
            </w:pPr>
            <w:r>
              <w:rPr>
                <w:rFonts w:ascii="Tw Cen MT" w:hAnsi="Tw Cen MT"/>
                <w:sz w:val="20"/>
                <w:szCs w:val="20"/>
              </w:rPr>
              <w:t>BCH</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8635CCD"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Banque Commerciale de l’Habitat </w:t>
            </w:r>
          </w:p>
        </w:tc>
      </w:tr>
      <w:tr w:rsidR="00B22363" w14:paraId="50AA7767"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C1414D8" w14:textId="77777777" w:rsidR="00B22363" w:rsidRDefault="00B22363" w:rsidP="00B22363">
            <w:pPr>
              <w:spacing w:after="0"/>
              <w:jc w:val="left"/>
              <w:rPr>
                <w:rFonts w:ascii="Tw Cen MT" w:hAnsi="Tw Cen MT"/>
                <w:sz w:val="20"/>
                <w:szCs w:val="20"/>
              </w:rPr>
            </w:pPr>
            <w:r>
              <w:rPr>
                <w:rFonts w:ascii="Tw Cen MT" w:hAnsi="Tw Cen MT"/>
                <w:sz w:val="20"/>
                <w:szCs w:val="20"/>
              </w:rPr>
              <w:t>BCI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9709FAC"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Banque Commerciale Internationale </w:t>
            </w:r>
          </w:p>
        </w:tc>
      </w:tr>
      <w:tr w:rsidR="00B22363" w14:paraId="3C66FA90"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6B3962A" w14:textId="77777777" w:rsidR="00B22363" w:rsidRDefault="00B22363" w:rsidP="00B22363">
            <w:pPr>
              <w:spacing w:after="0"/>
              <w:jc w:val="left"/>
              <w:rPr>
                <w:rFonts w:ascii="Tw Cen MT" w:hAnsi="Tw Cen MT"/>
                <w:sz w:val="20"/>
                <w:szCs w:val="20"/>
              </w:rPr>
            </w:pPr>
            <w:r>
              <w:rPr>
                <w:rFonts w:ascii="Tw Cen MT" w:hAnsi="Tw Cen MT"/>
                <w:sz w:val="20"/>
                <w:szCs w:val="20"/>
              </w:rPr>
              <w:t>BDEAC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294AABE" w14:textId="77777777" w:rsidR="00B22363" w:rsidRDefault="00B22363" w:rsidP="00B22363">
            <w:pPr>
              <w:spacing w:after="0"/>
              <w:jc w:val="left"/>
              <w:rPr>
                <w:rFonts w:ascii="Tw Cen MT" w:hAnsi="Tw Cen MT"/>
                <w:sz w:val="20"/>
                <w:szCs w:val="20"/>
              </w:rPr>
            </w:pPr>
            <w:r>
              <w:rPr>
                <w:rFonts w:ascii="Tw Cen MT" w:hAnsi="Tw Cen MT"/>
                <w:sz w:val="20"/>
                <w:szCs w:val="20"/>
              </w:rPr>
              <w:t>Banque de Développement des Etats de l’Afrique Centrale</w:t>
            </w:r>
          </w:p>
        </w:tc>
      </w:tr>
      <w:tr w:rsidR="00B22363" w14:paraId="150254C0"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5A74159" w14:textId="77777777" w:rsidR="00B22363" w:rsidRDefault="00B22363" w:rsidP="00B22363">
            <w:pPr>
              <w:spacing w:after="0"/>
              <w:jc w:val="left"/>
              <w:rPr>
                <w:rFonts w:ascii="Tw Cen MT" w:hAnsi="Tw Cen MT"/>
                <w:sz w:val="20"/>
                <w:szCs w:val="20"/>
              </w:rPr>
            </w:pPr>
            <w:r>
              <w:rPr>
                <w:rFonts w:ascii="Tw Cen MT" w:hAnsi="Tw Cen MT"/>
                <w:sz w:val="20"/>
                <w:szCs w:val="20"/>
              </w:rPr>
              <w:t>BEAC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C82E7C6"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Banque des Etats de l'Afrique Centrale </w:t>
            </w:r>
          </w:p>
        </w:tc>
      </w:tr>
      <w:tr w:rsidR="00B22363" w14:paraId="04352B9E"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579F79C" w14:textId="77777777" w:rsidR="00B22363" w:rsidRDefault="00B22363" w:rsidP="00B22363">
            <w:pPr>
              <w:spacing w:after="0"/>
              <w:jc w:val="left"/>
              <w:rPr>
                <w:rFonts w:ascii="Tw Cen MT" w:hAnsi="Tw Cen MT"/>
                <w:sz w:val="20"/>
                <w:szCs w:val="20"/>
              </w:rPr>
            </w:pPr>
            <w:r>
              <w:rPr>
                <w:rFonts w:ascii="Tw Cen MT" w:hAnsi="Tw Cen MT"/>
                <w:sz w:val="20"/>
                <w:szCs w:val="20"/>
              </w:rPr>
              <w:t>BEI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31CD572"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Banque européenne d’investissement </w:t>
            </w:r>
          </w:p>
        </w:tc>
      </w:tr>
      <w:tr w:rsidR="00B22363" w14:paraId="7A2A7E07"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6D6FE88" w14:textId="77777777" w:rsidR="00B22363" w:rsidRDefault="00B22363" w:rsidP="00B22363">
            <w:pPr>
              <w:spacing w:after="0"/>
              <w:jc w:val="left"/>
              <w:rPr>
                <w:rFonts w:ascii="Tw Cen MT" w:hAnsi="Tw Cen MT"/>
                <w:sz w:val="20"/>
                <w:szCs w:val="20"/>
              </w:rPr>
            </w:pPr>
            <w:r>
              <w:rPr>
                <w:rFonts w:ascii="Tw Cen MT" w:hAnsi="Tw Cen MT"/>
                <w:sz w:val="20"/>
                <w:szCs w:val="20"/>
              </w:rPr>
              <w:t>BIRD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0EF5F5F" w14:textId="77777777" w:rsidR="00B22363" w:rsidRDefault="00B22363" w:rsidP="00B22363">
            <w:pPr>
              <w:spacing w:after="0"/>
              <w:jc w:val="left"/>
              <w:rPr>
                <w:rFonts w:ascii="Tw Cen MT" w:hAnsi="Tw Cen MT"/>
                <w:sz w:val="20"/>
                <w:szCs w:val="20"/>
              </w:rPr>
            </w:pPr>
            <w:r>
              <w:rPr>
                <w:rFonts w:ascii="Tw Cen MT" w:hAnsi="Tw Cen MT"/>
                <w:sz w:val="20"/>
                <w:szCs w:val="20"/>
              </w:rPr>
              <w:t>Banque internationale pour la reconstruction et le développement</w:t>
            </w:r>
          </w:p>
        </w:tc>
      </w:tr>
      <w:tr w:rsidR="00B22363" w14:paraId="5D26668E"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B31C686" w14:textId="77777777" w:rsidR="00B22363" w:rsidRDefault="00B22363" w:rsidP="00B22363">
            <w:pPr>
              <w:spacing w:after="0"/>
              <w:jc w:val="left"/>
              <w:rPr>
                <w:rFonts w:ascii="Tw Cen MT" w:hAnsi="Tw Cen MT"/>
                <w:sz w:val="20"/>
                <w:szCs w:val="20"/>
              </w:rPr>
            </w:pPr>
            <w:r>
              <w:rPr>
                <w:rFonts w:ascii="Tw Cen MT" w:hAnsi="Tw Cen MT"/>
                <w:sz w:val="20"/>
                <w:szCs w:val="20"/>
              </w:rPr>
              <w:t>BMU</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F99DFAA"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ministère fédéral de l'Environnement, de la Protection de la nature, de la Construction et de la sûreté nucléaire </w:t>
            </w:r>
          </w:p>
        </w:tc>
      </w:tr>
      <w:tr w:rsidR="00B22363" w14:paraId="662E2FC7"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53941B6" w14:textId="77777777" w:rsidR="00B22363" w:rsidRDefault="00B22363" w:rsidP="00B22363">
            <w:pPr>
              <w:spacing w:after="0"/>
              <w:jc w:val="left"/>
              <w:rPr>
                <w:rFonts w:ascii="Tw Cen MT" w:hAnsi="Tw Cen MT"/>
                <w:sz w:val="20"/>
                <w:szCs w:val="20"/>
              </w:rPr>
            </w:pPr>
            <w:r>
              <w:rPr>
                <w:rFonts w:ascii="Tw Cen MT" w:hAnsi="Tw Cen MT"/>
                <w:sz w:val="20"/>
                <w:szCs w:val="20"/>
              </w:rPr>
              <w:t>BMZ</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09A9AB7" w14:textId="77777777" w:rsidR="00B22363" w:rsidRDefault="00B22363" w:rsidP="00B22363">
            <w:pPr>
              <w:spacing w:after="0"/>
              <w:jc w:val="left"/>
              <w:rPr>
                <w:rFonts w:ascii="Tw Cen MT" w:hAnsi="Tw Cen MT"/>
                <w:sz w:val="20"/>
                <w:szCs w:val="20"/>
              </w:rPr>
            </w:pPr>
            <w:r>
              <w:rPr>
                <w:rFonts w:ascii="Tw Cen MT" w:hAnsi="Tw Cen MT"/>
                <w:sz w:val="20"/>
                <w:szCs w:val="20"/>
              </w:rPr>
              <w:t>ministère fédéral de la coopération économique et du développement</w:t>
            </w:r>
          </w:p>
        </w:tc>
      </w:tr>
      <w:tr w:rsidR="00B22363" w14:paraId="3CAEAE16"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4EBC235" w14:textId="77777777" w:rsidR="00B22363" w:rsidRDefault="00B22363" w:rsidP="00B22363">
            <w:pPr>
              <w:spacing w:after="0"/>
              <w:jc w:val="left"/>
              <w:rPr>
                <w:rFonts w:ascii="Tw Cen MT" w:hAnsi="Tw Cen MT"/>
                <w:sz w:val="20"/>
                <w:szCs w:val="20"/>
              </w:rPr>
            </w:pPr>
            <w:r>
              <w:rPr>
                <w:rFonts w:ascii="Tw Cen MT" w:hAnsi="Tw Cen MT"/>
                <w:sz w:val="20"/>
                <w:szCs w:val="20"/>
              </w:rPr>
              <w:t>BSCA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38627B9"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Banque sino-congolaise pour l’Afrique </w:t>
            </w:r>
          </w:p>
        </w:tc>
      </w:tr>
      <w:tr w:rsidR="00B22363" w14:paraId="7F7596A4"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4595F95" w14:textId="77777777" w:rsidR="00B22363" w:rsidRDefault="00B22363" w:rsidP="00B22363">
            <w:pPr>
              <w:spacing w:after="0"/>
              <w:jc w:val="left"/>
              <w:rPr>
                <w:rFonts w:ascii="Tw Cen MT" w:hAnsi="Tw Cen MT"/>
                <w:sz w:val="20"/>
                <w:szCs w:val="20"/>
              </w:rPr>
            </w:pPr>
            <w:r>
              <w:rPr>
                <w:rFonts w:ascii="Tw Cen MT" w:hAnsi="Tw Cen MT"/>
                <w:sz w:val="20"/>
                <w:szCs w:val="20"/>
              </w:rPr>
              <w:t>BTP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3B48596" w14:textId="7A9801F7" w:rsidR="00B22363" w:rsidRDefault="00B22363" w:rsidP="00B22363">
            <w:pPr>
              <w:spacing w:after="0"/>
              <w:jc w:val="left"/>
              <w:rPr>
                <w:rFonts w:ascii="Tw Cen MT" w:hAnsi="Tw Cen MT"/>
                <w:sz w:val="20"/>
                <w:szCs w:val="20"/>
              </w:rPr>
            </w:pPr>
            <w:r>
              <w:rPr>
                <w:rFonts w:ascii="Tw Cen MT" w:hAnsi="Tw Cen MT"/>
                <w:sz w:val="20"/>
                <w:szCs w:val="20"/>
              </w:rPr>
              <w:t>Bâtiment et Travaux Publics</w:t>
            </w:r>
          </w:p>
        </w:tc>
      </w:tr>
      <w:tr w:rsidR="00B22363" w14:paraId="774B3642"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D2118E6" w14:textId="77777777" w:rsidR="00B22363" w:rsidRDefault="00B22363" w:rsidP="00B22363">
            <w:pPr>
              <w:spacing w:after="0"/>
              <w:jc w:val="left"/>
              <w:rPr>
                <w:rFonts w:ascii="Tw Cen MT" w:hAnsi="Tw Cen MT"/>
                <w:sz w:val="20"/>
                <w:szCs w:val="20"/>
              </w:rPr>
            </w:pPr>
            <w:r>
              <w:rPr>
                <w:rFonts w:ascii="Tw Cen MT" w:hAnsi="Tw Cen MT"/>
                <w:sz w:val="20"/>
                <w:szCs w:val="20"/>
              </w:rPr>
              <w:t>C2D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9C50B31"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contrats désendettement-développement </w:t>
            </w:r>
          </w:p>
        </w:tc>
      </w:tr>
      <w:tr w:rsidR="00B22363" w14:paraId="272FADE2"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B6D6B8E" w14:textId="77777777" w:rsidR="00B22363" w:rsidRDefault="00B22363" w:rsidP="00B22363">
            <w:pPr>
              <w:spacing w:after="0"/>
              <w:jc w:val="left"/>
              <w:rPr>
                <w:rFonts w:ascii="Tw Cen MT" w:hAnsi="Tw Cen MT"/>
                <w:sz w:val="20"/>
                <w:szCs w:val="20"/>
              </w:rPr>
            </w:pPr>
            <w:r>
              <w:rPr>
                <w:rFonts w:ascii="Tw Cen MT" w:hAnsi="Tw Cen MT"/>
                <w:sz w:val="20"/>
                <w:szCs w:val="20"/>
              </w:rPr>
              <w:t>CAD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FC3D783" w14:textId="77777777" w:rsidR="00B22363" w:rsidRDefault="00B22363" w:rsidP="00B22363">
            <w:pPr>
              <w:spacing w:after="0"/>
              <w:jc w:val="left"/>
              <w:rPr>
                <w:rFonts w:ascii="Tw Cen MT" w:hAnsi="Tw Cen MT"/>
                <w:sz w:val="20"/>
                <w:szCs w:val="20"/>
              </w:rPr>
            </w:pPr>
            <w:r>
              <w:rPr>
                <w:rFonts w:ascii="Tw Cen MT" w:hAnsi="Tw Cen MT"/>
                <w:sz w:val="20"/>
                <w:szCs w:val="20"/>
              </w:rPr>
              <w:t>Comité d'Aide au Développement</w:t>
            </w:r>
          </w:p>
        </w:tc>
      </w:tr>
      <w:tr w:rsidR="00B22363" w14:paraId="74992B5D"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B2E8327" w14:textId="77777777" w:rsidR="00B22363" w:rsidRDefault="00B22363" w:rsidP="00B22363">
            <w:pPr>
              <w:spacing w:after="0"/>
              <w:jc w:val="left"/>
              <w:rPr>
                <w:rFonts w:ascii="Tw Cen MT" w:hAnsi="Tw Cen MT"/>
                <w:sz w:val="20"/>
                <w:szCs w:val="20"/>
              </w:rPr>
            </w:pPr>
            <w:r>
              <w:rPr>
                <w:rFonts w:ascii="Tw Cen MT" w:hAnsi="Tw Cen MT"/>
                <w:sz w:val="20"/>
                <w:szCs w:val="20"/>
              </w:rPr>
              <w:t>CADF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26A5704" w14:textId="77777777" w:rsidR="00B22363" w:rsidRDefault="00B22363" w:rsidP="00B22363">
            <w:pPr>
              <w:spacing w:after="0"/>
              <w:jc w:val="left"/>
              <w:rPr>
                <w:rFonts w:ascii="Tw Cen MT" w:hAnsi="Tw Cen MT"/>
                <w:sz w:val="20"/>
                <w:szCs w:val="20"/>
              </w:rPr>
            </w:pPr>
            <w:r>
              <w:rPr>
                <w:rFonts w:ascii="Tw Cen MT" w:hAnsi="Tw Cen MT"/>
                <w:sz w:val="20"/>
                <w:szCs w:val="20"/>
              </w:rPr>
              <w:t>Fonds de développement Chine-Afrique</w:t>
            </w:r>
          </w:p>
        </w:tc>
      </w:tr>
      <w:tr w:rsidR="00B22363" w14:paraId="6A18F37F"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32172D1" w14:textId="77777777" w:rsidR="00B22363" w:rsidRDefault="00B22363" w:rsidP="00B22363">
            <w:pPr>
              <w:spacing w:after="0"/>
              <w:jc w:val="left"/>
              <w:rPr>
                <w:rFonts w:ascii="Tw Cen MT" w:hAnsi="Tw Cen MT"/>
                <w:sz w:val="20"/>
                <w:szCs w:val="20"/>
              </w:rPr>
            </w:pPr>
            <w:r>
              <w:rPr>
                <w:rFonts w:ascii="Tw Cen MT" w:hAnsi="Tw Cen MT"/>
                <w:sz w:val="20"/>
                <w:szCs w:val="20"/>
              </w:rPr>
              <w:t>CAFEC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53E8249"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Projet de conservation des écosystèmes forestiers de l’Afrique Centrale </w:t>
            </w:r>
          </w:p>
        </w:tc>
      </w:tr>
      <w:tr w:rsidR="00B22363" w14:paraId="75D3B3C6"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A424C31" w14:textId="77777777" w:rsidR="00B22363" w:rsidRDefault="00B22363" w:rsidP="00B22363">
            <w:pPr>
              <w:spacing w:after="0"/>
              <w:jc w:val="left"/>
              <w:rPr>
                <w:rFonts w:ascii="Tw Cen MT" w:hAnsi="Tw Cen MT"/>
                <w:sz w:val="20"/>
                <w:szCs w:val="20"/>
              </w:rPr>
            </w:pPr>
            <w:r>
              <w:rPr>
                <w:rFonts w:ascii="Tw Cen MT" w:hAnsi="Tw Cen MT"/>
                <w:sz w:val="20"/>
                <w:szCs w:val="20"/>
              </w:rPr>
              <w:t>CAFI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C71D3B6"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Initiative pour la forêt de l’Afrique Centrale </w:t>
            </w:r>
          </w:p>
        </w:tc>
      </w:tr>
      <w:tr w:rsidR="00B22363" w14:paraId="42641238"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5A497C8" w14:textId="77777777" w:rsidR="00B22363" w:rsidRDefault="00B22363" w:rsidP="00B22363">
            <w:pPr>
              <w:spacing w:after="0"/>
              <w:jc w:val="left"/>
              <w:rPr>
                <w:rFonts w:ascii="Tw Cen MT" w:hAnsi="Tw Cen MT"/>
                <w:sz w:val="20"/>
                <w:szCs w:val="20"/>
              </w:rPr>
            </w:pPr>
            <w:r>
              <w:rPr>
                <w:rFonts w:ascii="Tw Cen MT" w:hAnsi="Tw Cen MT"/>
                <w:sz w:val="20"/>
                <w:szCs w:val="20"/>
              </w:rPr>
              <w:t>CARPE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65FC061"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programme régional de l'Afrique Centrale pour l'Environnement </w:t>
            </w:r>
          </w:p>
        </w:tc>
      </w:tr>
      <w:tr w:rsidR="00B22363" w14:paraId="50F30D5E"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41BC50A"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CAS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862CA2E"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Compte d’Affectation Spéciale </w:t>
            </w:r>
          </w:p>
        </w:tc>
      </w:tr>
      <w:tr w:rsidR="00B22363" w14:paraId="0041D273"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754B401" w14:textId="77777777" w:rsidR="00B22363" w:rsidRDefault="00B22363" w:rsidP="00B22363">
            <w:pPr>
              <w:spacing w:after="0"/>
              <w:jc w:val="left"/>
              <w:rPr>
                <w:rFonts w:ascii="Tw Cen MT" w:hAnsi="Tw Cen MT"/>
                <w:sz w:val="20"/>
                <w:szCs w:val="20"/>
              </w:rPr>
            </w:pPr>
            <w:r>
              <w:rPr>
                <w:rFonts w:ascii="Tw Cen MT" w:hAnsi="Tw Cen MT"/>
                <w:sz w:val="20"/>
                <w:szCs w:val="20"/>
              </w:rPr>
              <w:t>CBSP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78A5093" w14:textId="77777777" w:rsidR="00B22363" w:rsidRDefault="00B22363" w:rsidP="00B22363">
            <w:pPr>
              <w:spacing w:after="0"/>
              <w:jc w:val="left"/>
              <w:rPr>
                <w:rFonts w:ascii="Tw Cen MT" w:hAnsi="Tw Cen MT"/>
                <w:sz w:val="20"/>
                <w:szCs w:val="20"/>
              </w:rPr>
            </w:pPr>
            <w:r>
              <w:rPr>
                <w:rFonts w:ascii="Tw Cen MT" w:hAnsi="Tw Cen MT"/>
                <w:sz w:val="20"/>
                <w:szCs w:val="20"/>
              </w:rPr>
              <w:t>programme stratégique pour la gestion durable des forêts du Bassin du Congo</w:t>
            </w:r>
          </w:p>
        </w:tc>
      </w:tr>
      <w:tr w:rsidR="00B22363" w14:paraId="4E84ACDC"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8333E58" w14:textId="77777777" w:rsidR="00B22363" w:rsidRDefault="00B22363" w:rsidP="00B22363">
            <w:pPr>
              <w:spacing w:after="0"/>
              <w:jc w:val="left"/>
              <w:rPr>
                <w:rFonts w:ascii="Tw Cen MT" w:hAnsi="Tw Cen MT"/>
                <w:sz w:val="20"/>
                <w:szCs w:val="20"/>
              </w:rPr>
            </w:pPr>
            <w:r>
              <w:rPr>
                <w:rFonts w:ascii="Tw Cen MT" w:hAnsi="Tw Cen MT"/>
                <w:sz w:val="20"/>
                <w:szCs w:val="20"/>
              </w:rPr>
              <w:t>CCNUCC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0EBBB7E" w14:textId="77777777" w:rsidR="00B22363" w:rsidRDefault="00B22363" w:rsidP="00B22363">
            <w:pPr>
              <w:spacing w:after="0"/>
              <w:jc w:val="left"/>
              <w:rPr>
                <w:rFonts w:ascii="Tw Cen MT" w:hAnsi="Tw Cen MT"/>
                <w:sz w:val="20"/>
                <w:szCs w:val="20"/>
              </w:rPr>
            </w:pPr>
            <w:r>
              <w:rPr>
                <w:rFonts w:ascii="Tw Cen MT" w:hAnsi="Tw Cen MT"/>
                <w:sz w:val="20"/>
                <w:szCs w:val="20"/>
              </w:rPr>
              <w:t>Convention-Cadre des Nations Unies sur les Changements Climatiques</w:t>
            </w:r>
          </w:p>
        </w:tc>
      </w:tr>
      <w:tr w:rsidR="00B22363" w14:paraId="62679EBF"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2E856D4" w14:textId="77777777" w:rsidR="00B22363" w:rsidRDefault="00B22363" w:rsidP="00B22363">
            <w:pPr>
              <w:spacing w:after="0"/>
              <w:jc w:val="left"/>
              <w:rPr>
                <w:rFonts w:ascii="Tw Cen MT" w:hAnsi="Tw Cen MT"/>
                <w:sz w:val="20"/>
                <w:szCs w:val="20"/>
              </w:rPr>
            </w:pPr>
            <w:r>
              <w:rPr>
                <w:rFonts w:ascii="Tw Cen MT" w:hAnsi="Tw Cen MT"/>
                <w:sz w:val="20"/>
                <w:szCs w:val="20"/>
              </w:rPr>
              <w:t>CDB</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657D3DD" w14:textId="77777777" w:rsidR="00B22363" w:rsidRDefault="00B22363" w:rsidP="00B22363">
            <w:pPr>
              <w:spacing w:after="0"/>
              <w:jc w:val="left"/>
              <w:rPr>
                <w:rFonts w:ascii="Tw Cen MT" w:hAnsi="Tw Cen MT"/>
                <w:sz w:val="20"/>
                <w:szCs w:val="20"/>
              </w:rPr>
            </w:pPr>
            <w:r>
              <w:rPr>
                <w:rFonts w:ascii="Tw Cen MT" w:hAnsi="Tw Cen MT"/>
                <w:sz w:val="20"/>
                <w:szCs w:val="20"/>
              </w:rPr>
              <w:t>Convention sur la Diversité Biologique</w:t>
            </w:r>
          </w:p>
        </w:tc>
      </w:tr>
      <w:tr w:rsidR="00B22363" w14:paraId="4D66C636"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C4200F2" w14:textId="77777777" w:rsidR="00B22363" w:rsidRDefault="00B22363" w:rsidP="00B22363">
            <w:pPr>
              <w:spacing w:after="0"/>
              <w:jc w:val="left"/>
              <w:rPr>
                <w:rFonts w:ascii="Tw Cen MT" w:hAnsi="Tw Cen MT"/>
                <w:sz w:val="20"/>
                <w:szCs w:val="20"/>
              </w:rPr>
            </w:pPr>
            <w:r>
              <w:rPr>
                <w:rFonts w:ascii="Tw Cen MT" w:hAnsi="Tw Cen MT"/>
                <w:sz w:val="20"/>
                <w:szCs w:val="20"/>
              </w:rPr>
              <w:t>CDC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B2B0B8C" w14:textId="77777777" w:rsidR="00B22363" w:rsidRDefault="00B22363" w:rsidP="00B22363">
            <w:pPr>
              <w:spacing w:after="0"/>
              <w:jc w:val="left"/>
              <w:rPr>
                <w:rFonts w:ascii="Tw Cen MT" w:hAnsi="Tw Cen MT"/>
                <w:sz w:val="20"/>
                <w:szCs w:val="20"/>
              </w:rPr>
            </w:pPr>
            <w:r>
              <w:rPr>
                <w:rFonts w:ascii="Tw Cen MT" w:hAnsi="Tw Cen MT"/>
                <w:sz w:val="20"/>
                <w:szCs w:val="20"/>
                <w:lang w:val="en-US"/>
              </w:rPr>
              <w:t xml:space="preserve">Commonwealth Development Corporation </w:t>
            </w:r>
          </w:p>
        </w:tc>
      </w:tr>
      <w:tr w:rsidR="00B22363" w14:paraId="3D73D1AC"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ACEE2F9" w14:textId="77777777" w:rsidR="00B22363" w:rsidRDefault="00B22363" w:rsidP="00B22363">
            <w:pPr>
              <w:spacing w:after="0"/>
              <w:jc w:val="left"/>
              <w:rPr>
                <w:rFonts w:ascii="Tw Cen MT" w:hAnsi="Tw Cen MT"/>
                <w:sz w:val="20"/>
                <w:szCs w:val="20"/>
              </w:rPr>
            </w:pPr>
            <w:r>
              <w:rPr>
                <w:rFonts w:ascii="Tw Cen MT" w:hAnsi="Tw Cen MT"/>
                <w:sz w:val="20"/>
                <w:szCs w:val="20"/>
              </w:rPr>
              <w:t>CE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DE67718" w14:textId="598222DA" w:rsidR="00B22363" w:rsidRDefault="00B22363" w:rsidP="00B22363">
            <w:pPr>
              <w:spacing w:after="0"/>
              <w:jc w:val="left"/>
              <w:rPr>
                <w:rFonts w:ascii="Tw Cen MT" w:hAnsi="Tw Cen MT"/>
                <w:sz w:val="20"/>
                <w:szCs w:val="20"/>
              </w:rPr>
            </w:pPr>
            <w:r>
              <w:rPr>
                <w:rFonts w:ascii="Tw Cen MT" w:hAnsi="Tw Cen MT"/>
                <w:sz w:val="20"/>
                <w:szCs w:val="20"/>
              </w:rPr>
              <w:t>Commission Européenne</w:t>
            </w:r>
          </w:p>
        </w:tc>
      </w:tr>
      <w:tr w:rsidR="00B22363" w14:paraId="4DD9C304"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F3F9A5D" w14:textId="77777777" w:rsidR="00B22363" w:rsidRDefault="00B22363" w:rsidP="00B22363">
            <w:pPr>
              <w:spacing w:after="0"/>
              <w:jc w:val="left"/>
              <w:rPr>
                <w:rFonts w:ascii="Tw Cen MT" w:hAnsi="Tw Cen MT"/>
                <w:sz w:val="20"/>
                <w:szCs w:val="20"/>
              </w:rPr>
            </w:pPr>
            <w:r>
              <w:rPr>
                <w:rFonts w:ascii="Tw Cen MT" w:hAnsi="Tw Cen MT"/>
                <w:sz w:val="20"/>
                <w:szCs w:val="20"/>
              </w:rPr>
              <w:t>CEEAC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611A452" w14:textId="77777777" w:rsidR="00B22363" w:rsidRDefault="00B22363" w:rsidP="00B22363">
            <w:pPr>
              <w:spacing w:after="0"/>
              <w:jc w:val="left"/>
              <w:rPr>
                <w:rFonts w:ascii="Tw Cen MT" w:hAnsi="Tw Cen MT"/>
                <w:sz w:val="20"/>
                <w:szCs w:val="20"/>
              </w:rPr>
            </w:pPr>
            <w:r>
              <w:rPr>
                <w:rFonts w:ascii="Tw Cen MT" w:hAnsi="Tw Cen MT"/>
                <w:sz w:val="20"/>
                <w:szCs w:val="20"/>
              </w:rPr>
              <w:t>Communauté Economique des Etats de l’Afrique Centrale</w:t>
            </w:r>
          </w:p>
        </w:tc>
      </w:tr>
      <w:tr w:rsidR="00B22363" w14:paraId="4DE63891"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61B5981" w14:textId="77777777" w:rsidR="00B22363" w:rsidRDefault="00B22363" w:rsidP="00B22363">
            <w:pPr>
              <w:spacing w:after="0"/>
              <w:jc w:val="left"/>
              <w:rPr>
                <w:rFonts w:ascii="Tw Cen MT" w:hAnsi="Tw Cen MT"/>
                <w:sz w:val="20"/>
                <w:szCs w:val="20"/>
              </w:rPr>
            </w:pPr>
            <w:r>
              <w:rPr>
                <w:rFonts w:ascii="Tw Cen MT" w:hAnsi="Tw Cen MT"/>
                <w:sz w:val="20"/>
                <w:szCs w:val="20"/>
              </w:rPr>
              <w:t>CEMAC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24576AA"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Communauté Economique et Monétaire d'Afrique Centrale </w:t>
            </w:r>
          </w:p>
        </w:tc>
      </w:tr>
      <w:tr w:rsidR="00B22363" w14:paraId="723FDE71"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414E03B" w14:textId="77777777" w:rsidR="00B22363" w:rsidRDefault="00B22363" w:rsidP="00B22363">
            <w:pPr>
              <w:spacing w:after="0"/>
              <w:jc w:val="left"/>
              <w:rPr>
                <w:rFonts w:ascii="Tw Cen MT" w:hAnsi="Tw Cen MT"/>
                <w:sz w:val="20"/>
                <w:szCs w:val="20"/>
              </w:rPr>
            </w:pPr>
            <w:r>
              <w:rPr>
                <w:rFonts w:ascii="Tw Cen MT" w:hAnsi="Tw Cen MT"/>
                <w:sz w:val="20"/>
                <w:szCs w:val="20"/>
              </w:rPr>
              <w:t>CFE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FEAEAD5"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Centre des formalités administratives des entreprises </w:t>
            </w:r>
          </w:p>
        </w:tc>
      </w:tr>
      <w:tr w:rsidR="00B22363" w14:paraId="24EA4851"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7459901" w14:textId="77777777" w:rsidR="00B22363" w:rsidRDefault="00B22363" w:rsidP="00B22363">
            <w:pPr>
              <w:spacing w:after="0"/>
              <w:jc w:val="left"/>
              <w:rPr>
                <w:rFonts w:ascii="Tw Cen MT" w:hAnsi="Tw Cen MT"/>
                <w:sz w:val="20"/>
                <w:szCs w:val="20"/>
              </w:rPr>
            </w:pPr>
            <w:r>
              <w:rPr>
                <w:rFonts w:ascii="Tw Cen MT" w:hAnsi="Tw Cen MT"/>
                <w:sz w:val="20"/>
                <w:szCs w:val="20"/>
              </w:rPr>
              <w:t>CGAP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40B69E4"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Groupe consultatif pour l'aide aux plus pauvres </w:t>
            </w:r>
          </w:p>
        </w:tc>
      </w:tr>
      <w:tr w:rsidR="00B22363" w14:paraId="202AC6E0"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AE501E6" w14:textId="77777777" w:rsidR="00B22363" w:rsidRDefault="00B22363" w:rsidP="00B22363">
            <w:pPr>
              <w:spacing w:after="0"/>
              <w:jc w:val="left"/>
              <w:rPr>
                <w:rFonts w:ascii="Tw Cen MT" w:hAnsi="Tw Cen MT"/>
                <w:sz w:val="20"/>
                <w:szCs w:val="20"/>
              </w:rPr>
            </w:pPr>
            <w:r>
              <w:rPr>
                <w:rFonts w:ascii="Tw Cen MT" w:hAnsi="Tw Cen MT"/>
                <w:sz w:val="20"/>
                <w:szCs w:val="20"/>
              </w:rPr>
              <w:t>CIB</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E86B06B" w14:textId="77777777" w:rsidR="00B22363" w:rsidRDefault="00B22363" w:rsidP="00B22363">
            <w:pPr>
              <w:spacing w:after="0"/>
              <w:jc w:val="left"/>
              <w:rPr>
                <w:rFonts w:ascii="Tw Cen MT" w:hAnsi="Tw Cen MT"/>
                <w:sz w:val="20"/>
                <w:szCs w:val="20"/>
              </w:rPr>
            </w:pPr>
            <w:r>
              <w:rPr>
                <w:rFonts w:ascii="Tw Cen MT" w:hAnsi="Tw Cen MT"/>
                <w:sz w:val="20"/>
                <w:szCs w:val="20"/>
              </w:rPr>
              <w:t>Congolaise Industrielle des Bois</w:t>
            </w:r>
          </w:p>
        </w:tc>
      </w:tr>
      <w:tr w:rsidR="00B22363" w14:paraId="168A091F"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41C3639" w14:textId="77777777" w:rsidR="00B22363" w:rsidRDefault="00B22363" w:rsidP="00B22363">
            <w:pPr>
              <w:spacing w:after="0"/>
              <w:jc w:val="left"/>
              <w:rPr>
                <w:rFonts w:ascii="Tw Cen MT" w:hAnsi="Tw Cen MT"/>
                <w:sz w:val="20"/>
                <w:szCs w:val="20"/>
              </w:rPr>
            </w:pPr>
            <w:r>
              <w:rPr>
                <w:rFonts w:ascii="Tw Cen MT" w:hAnsi="Tw Cen MT"/>
                <w:sz w:val="20"/>
                <w:szCs w:val="20"/>
              </w:rPr>
              <w:t>CN REDD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959010C" w14:textId="35D2709A" w:rsidR="00B22363" w:rsidRDefault="00B22363" w:rsidP="00B22363">
            <w:pPr>
              <w:spacing w:after="0"/>
              <w:jc w:val="left"/>
              <w:rPr>
                <w:rFonts w:ascii="Tw Cen MT" w:hAnsi="Tw Cen MT"/>
                <w:sz w:val="20"/>
                <w:szCs w:val="20"/>
              </w:rPr>
            </w:pPr>
            <w:r>
              <w:rPr>
                <w:rFonts w:ascii="Tw Cen MT" w:hAnsi="Tw Cen MT"/>
                <w:sz w:val="20"/>
                <w:szCs w:val="20"/>
              </w:rPr>
              <w:t>Coordination Nationale REDD</w:t>
            </w:r>
          </w:p>
        </w:tc>
      </w:tr>
      <w:tr w:rsidR="00B22363" w14:paraId="24F4E39E"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88CA2FB" w14:textId="77777777" w:rsidR="00B22363" w:rsidRDefault="00B22363" w:rsidP="00B22363">
            <w:pPr>
              <w:spacing w:after="0"/>
              <w:jc w:val="left"/>
              <w:rPr>
                <w:rFonts w:ascii="Tw Cen MT" w:hAnsi="Tw Cen MT"/>
                <w:sz w:val="20"/>
                <w:szCs w:val="20"/>
              </w:rPr>
            </w:pPr>
            <w:r>
              <w:rPr>
                <w:rFonts w:ascii="Tw Cen MT" w:hAnsi="Tw Cen MT"/>
                <w:sz w:val="20"/>
                <w:szCs w:val="20"/>
              </w:rPr>
              <w:t>CNDD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6556447" w14:textId="77777777" w:rsidR="00B22363" w:rsidRDefault="00B22363" w:rsidP="00B22363">
            <w:pPr>
              <w:spacing w:after="0"/>
              <w:jc w:val="left"/>
              <w:rPr>
                <w:rFonts w:ascii="Tw Cen MT" w:hAnsi="Tw Cen MT"/>
                <w:sz w:val="20"/>
                <w:szCs w:val="20"/>
              </w:rPr>
            </w:pPr>
            <w:r>
              <w:rPr>
                <w:rFonts w:ascii="Tw Cen MT" w:hAnsi="Tw Cen MT"/>
                <w:sz w:val="20"/>
                <w:szCs w:val="20"/>
              </w:rPr>
              <w:t>Commission Nationale du Développement Durable</w:t>
            </w:r>
          </w:p>
        </w:tc>
      </w:tr>
      <w:tr w:rsidR="00B22363" w14:paraId="4ACD146E"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1CCE67C" w14:textId="77777777" w:rsidR="00B22363" w:rsidRDefault="00B22363" w:rsidP="00B22363">
            <w:pPr>
              <w:spacing w:after="0"/>
              <w:jc w:val="left"/>
              <w:rPr>
                <w:rFonts w:ascii="Tw Cen MT" w:hAnsi="Tw Cen MT"/>
                <w:sz w:val="20"/>
                <w:szCs w:val="20"/>
              </w:rPr>
            </w:pPr>
            <w:r>
              <w:rPr>
                <w:rFonts w:ascii="Tw Cen MT" w:hAnsi="Tw Cen MT"/>
                <w:sz w:val="20"/>
                <w:szCs w:val="20"/>
              </w:rPr>
              <w:lastRenderedPageBreak/>
              <w:t>CNES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CB304D5" w14:textId="77777777" w:rsidR="00B22363" w:rsidRDefault="00B22363" w:rsidP="00B22363">
            <w:pPr>
              <w:spacing w:after="0"/>
              <w:jc w:val="left"/>
              <w:rPr>
                <w:rFonts w:ascii="Tw Cen MT" w:hAnsi="Tw Cen MT"/>
                <w:sz w:val="20"/>
                <w:szCs w:val="20"/>
              </w:rPr>
            </w:pPr>
            <w:r>
              <w:rPr>
                <w:rFonts w:ascii="Tw Cen MT" w:hAnsi="Tw Cen MT"/>
                <w:sz w:val="20"/>
                <w:szCs w:val="20"/>
              </w:rPr>
              <w:t>Centre National d’Etude des Sols</w:t>
            </w:r>
          </w:p>
        </w:tc>
      </w:tr>
      <w:tr w:rsidR="00B22363" w14:paraId="16AD4623"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8958A84" w14:textId="77777777" w:rsidR="00B22363" w:rsidRDefault="00B22363" w:rsidP="00B22363">
            <w:pPr>
              <w:spacing w:after="0"/>
              <w:jc w:val="left"/>
              <w:rPr>
                <w:rFonts w:ascii="Tw Cen MT" w:hAnsi="Tw Cen MT"/>
                <w:sz w:val="20"/>
                <w:szCs w:val="20"/>
              </w:rPr>
            </w:pPr>
            <w:r>
              <w:rPr>
                <w:rFonts w:ascii="Tw Cen MT" w:hAnsi="Tw Cen MT"/>
                <w:sz w:val="20"/>
                <w:szCs w:val="20"/>
              </w:rPr>
              <w:t>CNIAF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BEFB987"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Centre National d’Inventaire et d’Aménagement des ressources Forestières et fauniques </w:t>
            </w:r>
          </w:p>
        </w:tc>
      </w:tr>
      <w:tr w:rsidR="00B22363" w14:paraId="01A692E1"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0687B3E" w14:textId="77777777" w:rsidR="00B22363" w:rsidRDefault="00B22363" w:rsidP="00B22363">
            <w:pPr>
              <w:spacing w:after="0"/>
              <w:jc w:val="left"/>
              <w:rPr>
                <w:rFonts w:ascii="Tw Cen MT" w:hAnsi="Tw Cen MT"/>
                <w:sz w:val="20"/>
                <w:szCs w:val="20"/>
              </w:rPr>
            </w:pPr>
            <w:r>
              <w:rPr>
                <w:rFonts w:ascii="Tw Cen MT" w:hAnsi="Tw Cen MT"/>
                <w:sz w:val="20"/>
                <w:szCs w:val="20"/>
              </w:rPr>
              <w:t>CNI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34CBACA"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Commission Nationale des Investissement </w:t>
            </w:r>
          </w:p>
        </w:tc>
      </w:tr>
      <w:tr w:rsidR="00B22363" w14:paraId="1F236322"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E5D7DC1" w14:textId="77777777" w:rsidR="00B22363" w:rsidRDefault="00B22363" w:rsidP="00B22363">
            <w:pPr>
              <w:spacing w:after="0"/>
              <w:jc w:val="left"/>
              <w:rPr>
                <w:rFonts w:ascii="Tw Cen MT" w:hAnsi="Tw Cen MT"/>
                <w:sz w:val="20"/>
                <w:szCs w:val="20"/>
              </w:rPr>
            </w:pPr>
            <w:r>
              <w:rPr>
                <w:rFonts w:ascii="Tw Cen MT" w:hAnsi="Tw Cen MT"/>
                <w:sz w:val="20"/>
                <w:szCs w:val="20"/>
              </w:rPr>
              <w:t>CNSS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3AE41EA"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Caisse Nationale de Sécurité Sociale </w:t>
            </w:r>
          </w:p>
        </w:tc>
      </w:tr>
      <w:tr w:rsidR="00B22363" w14:paraId="07C9E77D"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B9EE0E0" w14:textId="77777777" w:rsidR="00B22363" w:rsidRDefault="00B22363" w:rsidP="00B22363">
            <w:pPr>
              <w:spacing w:after="0"/>
              <w:jc w:val="left"/>
              <w:rPr>
                <w:rFonts w:ascii="Tw Cen MT" w:hAnsi="Tw Cen MT"/>
                <w:sz w:val="20"/>
                <w:szCs w:val="20"/>
              </w:rPr>
            </w:pPr>
            <w:r>
              <w:rPr>
                <w:rFonts w:ascii="Tw Cen MT" w:hAnsi="Tw Cen MT"/>
                <w:sz w:val="20"/>
                <w:szCs w:val="20"/>
              </w:rPr>
              <w:t>CNUCED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925BCD5" w14:textId="77777777" w:rsidR="00B22363" w:rsidRDefault="00B22363" w:rsidP="00B22363">
            <w:pPr>
              <w:spacing w:after="0"/>
              <w:jc w:val="left"/>
              <w:rPr>
                <w:rFonts w:ascii="Tw Cen MT" w:hAnsi="Tw Cen MT"/>
                <w:sz w:val="20"/>
                <w:szCs w:val="20"/>
              </w:rPr>
            </w:pPr>
            <w:r>
              <w:rPr>
                <w:rFonts w:ascii="Tw Cen MT" w:hAnsi="Tw Cen MT"/>
                <w:sz w:val="20"/>
                <w:szCs w:val="20"/>
              </w:rPr>
              <w:t>Conférence des Nations unies sur le Commerce et le Développement</w:t>
            </w:r>
          </w:p>
        </w:tc>
      </w:tr>
      <w:tr w:rsidR="00B22363" w14:paraId="7EB0D0C0"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7C24B0C" w14:textId="77777777" w:rsidR="00B22363" w:rsidRDefault="00B22363" w:rsidP="00B22363">
            <w:pPr>
              <w:spacing w:after="0"/>
              <w:jc w:val="left"/>
              <w:rPr>
                <w:rFonts w:ascii="Tw Cen MT" w:hAnsi="Tw Cen MT"/>
                <w:sz w:val="20"/>
                <w:szCs w:val="20"/>
              </w:rPr>
            </w:pPr>
            <w:r>
              <w:rPr>
                <w:rFonts w:ascii="Tw Cen MT" w:hAnsi="Tw Cen MT"/>
                <w:sz w:val="20"/>
                <w:szCs w:val="20"/>
              </w:rPr>
              <w:t>COBAC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3C604BF" w14:textId="77777777" w:rsidR="00B22363" w:rsidRDefault="00B22363" w:rsidP="00B22363">
            <w:pPr>
              <w:spacing w:after="0"/>
              <w:jc w:val="left"/>
              <w:rPr>
                <w:rFonts w:ascii="Tw Cen MT" w:hAnsi="Tw Cen MT"/>
                <w:sz w:val="20"/>
                <w:szCs w:val="20"/>
              </w:rPr>
            </w:pPr>
            <w:r>
              <w:rPr>
                <w:rFonts w:ascii="Tw Cen MT" w:hAnsi="Tw Cen MT"/>
                <w:sz w:val="20"/>
                <w:szCs w:val="20"/>
              </w:rPr>
              <w:t>Commission Bancaire de l'Afrique Centrale</w:t>
            </w:r>
          </w:p>
        </w:tc>
      </w:tr>
      <w:tr w:rsidR="00B22363" w14:paraId="6283E06C"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0454CE2" w14:textId="77777777" w:rsidR="00B22363" w:rsidRDefault="00B22363" w:rsidP="00B22363">
            <w:pPr>
              <w:spacing w:after="0"/>
              <w:jc w:val="left"/>
              <w:rPr>
                <w:rFonts w:ascii="Tw Cen MT" w:hAnsi="Tw Cen MT"/>
                <w:sz w:val="20"/>
                <w:szCs w:val="20"/>
              </w:rPr>
            </w:pPr>
            <w:r>
              <w:rPr>
                <w:rFonts w:ascii="Tw Cen MT" w:hAnsi="Tw Cen MT"/>
                <w:sz w:val="20"/>
                <w:szCs w:val="20"/>
              </w:rPr>
              <w:t>COMIFAC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DA3731C" w14:textId="77777777" w:rsidR="00B22363" w:rsidRDefault="00B22363" w:rsidP="00B22363">
            <w:pPr>
              <w:spacing w:after="0"/>
              <w:jc w:val="left"/>
              <w:rPr>
                <w:rFonts w:ascii="Tw Cen MT" w:hAnsi="Tw Cen MT"/>
                <w:sz w:val="20"/>
                <w:szCs w:val="20"/>
              </w:rPr>
            </w:pPr>
            <w:r>
              <w:rPr>
                <w:rFonts w:ascii="Tw Cen MT" w:hAnsi="Tw Cen MT"/>
                <w:sz w:val="20"/>
                <w:szCs w:val="20"/>
              </w:rPr>
              <w:t>Commission des Forêts d'Afrique Centrale</w:t>
            </w:r>
          </w:p>
        </w:tc>
      </w:tr>
      <w:tr w:rsidR="00B22363" w14:paraId="1D6FC6F5"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845749C" w14:textId="77777777" w:rsidR="00B22363" w:rsidRDefault="00B22363" w:rsidP="00B22363">
            <w:pPr>
              <w:spacing w:after="0"/>
              <w:jc w:val="left"/>
              <w:rPr>
                <w:rFonts w:ascii="Tw Cen MT" w:hAnsi="Tw Cen MT"/>
                <w:sz w:val="20"/>
                <w:szCs w:val="20"/>
              </w:rPr>
            </w:pPr>
            <w:r>
              <w:rPr>
                <w:rFonts w:ascii="Tw Cen MT" w:hAnsi="Tw Cen MT"/>
                <w:sz w:val="20"/>
                <w:szCs w:val="20"/>
              </w:rPr>
              <w:t>COSOP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B977BA9"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Programme d’options stratégiques pour le pays </w:t>
            </w:r>
          </w:p>
        </w:tc>
      </w:tr>
      <w:tr w:rsidR="00B22363" w14:paraId="7A366F2F"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4306032" w14:textId="77777777" w:rsidR="00B22363" w:rsidRDefault="00B22363" w:rsidP="00B22363">
            <w:pPr>
              <w:spacing w:after="0"/>
              <w:jc w:val="left"/>
              <w:rPr>
                <w:rFonts w:ascii="Tw Cen MT" w:hAnsi="Tw Cen MT"/>
                <w:sz w:val="20"/>
                <w:szCs w:val="20"/>
              </w:rPr>
            </w:pPr>
            <w:r>
              <w:rPr>
                <w:rFonts w:ascii="Tw Cen MT" w:hAnsi="Tw Cen MT"/>
                <w:sz w:val="20"/>
                <w:szCs w:val="20"/>
              </w:rPr>
              <w:t>CPCMB</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EE74B09"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Comité Permanent de Cadrage Macroéconomique et Budgétaire </w:t>
            </w:r>
          </w:p>
        </w:tc>
      </w:tr>
      <w:tr w:rsidR="00B22363" w14:paraId="1ED9FE1D"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55452E4" w14:textId="77777777" w:rsidR="00B22363" w:rsidRDefault="00B22363" w:rsidP="00B22363">
            <w:pPr>
              <w:spacing w:after="0"/>
              <w:jc w:val="left"/>
              <w:rPr>
                <w:rFonts w:ascii="Tw Cen MT" w:hAnsi="Tw Cen MT"/>
                <w:sz w:val="20"/>
                <w:szCs w:val="20"/>
              </w:rPr>
            </w:pPr>
            <w:r>
              <w:rPr>
                <w:rFonts w:ascii="Tw Cen MT" w:hAnsi="Tw Cen MT"/>
                <w:sz w:val="20"/>
                <w:szCs w:val="20"/>
              </w:rPr>
              <w:t>CREF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EFCAF32"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Caisse de Retraite des Fonctionnaires </w:t>
            </w:r>
          </w:p>
        </w:tc>
      </w:tr>
      <w:tr w:rsidR="00B22363" w14:paraId="36DE7E53"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BF6560F" w14:textId="77777777" w:rsidR="00B22363" w:rsidRDefault="00B22363" w:rsidP="00B22363">
            <w:pPr>
              <w:spacing w:after="0"/>
              <w:jc w:val="left"/>
              <w:rPr>
                <w:rFonts w:ascii="Tw Cen MT" w:hAnsi="Tw Cen MT"/>
                <w:sz w:val="20"/>
                <w:szCs w:val="20"/>
              </w:rPr>
            </w:pPr>
            <w:r>
              <w:rPr>
                <w:rFonts w:ascii="Tw Cen MT" w:hAnsi="Tw Cen MT"/>
                <w:sz w:val="20"/>
                <w:szCs w:val="20"/>
              </w:rPr>
              <w:t>CTF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45047C8"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pour les Technologies Propres </w:t>
            </w:r>
          </w:p>
        </w:tc>
      </w:tr>
      <w:tr w:rsidR="00B22363" w14:paraId="3B3C32BB"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0A1189D" w14:textId="77777777" w:rsidR="00B22363" w:rsidRDefault="00B22363" w:rsidP="00B22363">
            <w:pPr>
              <w:spacing w:after="0"/>
              <w:jc w:val="left"/>
              <w:rPr>
                <w:rFonts w:ascii="Tw Cen MT" w:hAnsi="Tw Cen MT"/>
                <w:sz w:val="20"/>
                <w:szCs w:val="20"/>
              </w:rPr>
            </w:pPr>
            <w:r>
              <w:rPr>
                <w:rFonts w:ascii="Tw Cen MT" w:hAnsi="Tw Cen MT"/>
                <w:sz w:val="20"/>
                <w:szCs w:val="20"/>
              </w:rPr>
              <w:t>CVTA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F39E613" w14:textId="77777777" w:rsidR="00B22363" w:rsidRDefault="00B22363" w:rsidP="00B22363">
            <w:pPr>
              <w:spacing w:after="0"/>
              <w:jc w:val="left"/>
              <w:rPr>
                <w:rFonts w:ascii="Tw Cen MT" w:hAnsi="Tw Cen MT"/>
                <w:sz w:val="20"/>
                <w:szCs w:val="20"/>
              </w:rPr>
            </w:pPr>
            <w:r>
              <w:rPr>
                <w:rFonts w:ascii="Tw Cen MT" w:hAnsi="Tw Cen MT"/>
                <w:sz w:val="20"/>
                <w:szCs w:val="20"/>
              </w:rPr>
              <w:t>Centre de Vulgarisation des Techniques Agricoles</w:t>
            </w:r>
          </w:p>
        </w:tc>
      </w:tr>
      <w:tr w:rsidR="00B22363" w14:paraId="6CCA5964"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F7302E2"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DEG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A424E80" w14:textId="77777777" w:rsidR="00B22363" w:rsidRDefault="00B22363" w:rsidP="00B22363">
            <w:pPr>
              <w:spacing w:after="0"/>
              <w:jc w:val="left"/>
              <w:rPr>
                <w:rFonts w:ascii="Tw Cen MT" w:hAnsi="Tw Cen MT"/>
                <w:sz w:val="20"/>
                <w:szCs w:val="20"/>
              </w:rPr>
            </w:pPr>
            <w:r>
              <w:rPr>
                <w:rFonts w:ascii="Tw Cen MT" w:hAnsi="Tw Cen MT"/>
                <w:sz w:val="20"/>
                <w:szCs w:val="20"/>
              </w:rPr>
              <w:t>Agence allemande</w:t>
            </w:r>
            <w:r>
              <w:rPr>
                <w:rFonts w:ascii="Tw Cen MT" w:hAnsi="Tw Cen MT"/>
                <w:b/>
                <w:bCs/>
                <w:sz w:val="20"/>
                <w:szCs w:val="20"/>
              </w:rPr>
              <w:t xml:space="preserve"> </w:t>
            </w:r>
            <w:r>
              <w:rPr>
                <w:rFonts w:ascii="Tw Cen MT" w:hAnsi="Tw Cen MT"/>
                <w:sz w:val="20"/>
                <w:szCs w:val="20"/>
              </w:rPr>
              <w:t xml:space="preserve">d'investissement et de développement </w:t>
            </w:r>
          </w:p>
        </w:tc>
      </w:tr>
      <w:tr w:rsidR="00B22363" w14:paraId="0BDD5DEC"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9D449D1" w14:textId="77777777" w:rsidR="00B22363" w:rsidRDefault="00B22363" w:rsidP="00B22363">
            <w:pPr>
              <w:spacing w:after="0"/>
              <w:jc w:val="left"/>
              <w:rPr>
                <w:rFonts w:ascii="Tw Cen MT" w:hAnsi="Tw Cen MT"/>
                <w:sz w:val="20"/>
                <w:szCs w:val="20"/>
              </w:rPr>
            </w:pPr>
            <w:r>
              <w:rPr>
                <w:rFonts w:ascii="Tw Cen MT" w:hAnsi="Tw Cen MT"/>
                <w:sz w:val="20"/>
                <w:szCs w:val="20"/>
              </w:rPr>
              <w:t>DEP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0208D66"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Direction des Etudes et de la Planification </w:t>
            </w:r>
          </w:p>
        </w:tc>
      </w:tr>
      <w:tr w:rsidR="00B22363" w14:paraId="5416648C"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668CE5F" w14:textId="77777777" w:rsidR="00B22363" w:rsidRDefault="00B22363" w:rsidP="00B22363">
            <w:pPr>
              <w:spacing w:after="0"/>
              <w:jc w:val="left"/>
              <w:rPr>
                <w:rFonts w:ascii="Tw Cen MT" w:hAnsi="Tw Cen MT"/>
                <w:sz w:val="20"/>
                <w:szCs w:val="20"/>
              </w:rPr>
            </w:pPr>
            <w:r>
              <w:rPr>
                <w:rFonts w:ascii="Tw Cen MT" w:hAnsi="Tw Cen MT"/>
                <w:sz w:val="20"/>
                <w:szCs w:val="20"/>
              </w:rPr>
              <w:t>DGIFN</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DC1EFB9"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Direction Générale des Institutions Financières Nationales </w:t>
            </w:r>
          </w:p>
        </w:tc>
      </w:tr>
      <w:tr w:rsidR="00B22363" w14:paraId="644455DA"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A1C2E9D" w14:textId="77777777" w:rsidR="00B22363" w:rsidRDefault="00B22363" w:rsidP="00B22363">
            <w:pPr>
              <w:spacing w:after="0"/>
              <w:jc w:val="left"/>
              <w:rPr>
                <w:rFonts w:ascii="Tw Cen MT" w:hAnsi="Tw Cen MT"/>
                <w:sz w:val="20"/>
                <w:szCs w:val="20"/>
              </w:rPr>
            </w:pPr>
            <w:r>
              <w:rPr>
                <w:rFonts w:ascii="Tw Cen MT" w:hAnsi="Tw Cen MT"/>
                <w:sz w:val="20"/>
                <w:szCs w:val="20"/>
              </w:rPr>
              <w:t>DGRST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635427C"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Direction Générale de la Recherche Scientifique </w:t>
            </w:r>
          </w:p>
        </w:tc>
      </w:tr>
      <w:tr w:rsidR="00B22363" w14:paraId="0ED60C89"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C9E7EFD" w14:textId="77777777" w:rsidR="00B22363" w:rsidRDefault="00B22363" w:rsidP="00B22363">
            <w:pPr>
              <w:spacing w:after="0"/>
              <w:jc w:val="left"/>
              <w:rPr>
                <w:rFonts w:ascii="Tw Cen MT" w:hAnsi="Tw Cen MT"/>
                <w:sz w:val="20"/>
                <w:szCs w:val="20"/>
              </w:rPr>
            </w:pPr>
            <w:r>
              <w:rPr>
                <w:rFonts w:ascii="Tw Cen MT" w:hAnsi="Tw Cen MT"/>
                <w:sz w:val="20"/>
                <w:szCs w:val="20"/>
              </w:rPr>
              <w:t>EFI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77A6DE0" w14:textId="77777777" w:rsidR="00B22363" w:rsidRDefault="00B22363" w:rsidP="00B22363">
            <w:pPr>
              <w:spacing w:after="0"/>
              <w:jc w:val="left"/>
              <w:rPr>
                <w:rFonts w:ascii="Tw Cen MT" w:hAnsi="Tw Cen MT"/>
                <w:i/>
                <w:iCs/>
                <w:sz w:val="20"/>
                <w:szCs w:val="20"/>
              </w:rPr>
            </w:pPr>
            <w:proofErr w:type="spellStart"/>
            <w:r>
              <w:rPr>
                <w:rFonts w:ascii="Tw Cen MT" w:hAnsi="Tw Cen MT"/>
                <w:i/>
                <w:iCs/>
                <w:sz w:val="20"/>
                <w:szCs w:val="20"/>
              </w:rPr>
              <w:t>European</w:t>
            </w:r>
            <w:proofErr w:type="spellEnd"/>
            <w:r>
              <w:rPr>
                <w:rFonts w:ascii="Tw Cen MT" w:hAnsi="Tw Cen MT"/>
                <w:i/>
                <w:iCs/>
                <w:sz w:val="20"/>
                <w:szCs w:val="20"/>
              </w:rPr>
              <w:t xml:space="preserve"> Forest Institute</w:t>
            </w:r>
          </w:p>
        </w:tc>
      </w:tr>
      <w:tr w:rsidR="00B22363" w14:paraId="4F120F2E"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4AB954C" w14:textId="77777777" w:rsidR="00B22363" w:rsidRDefault="00B22363" w:rsidP="00B22363">
            <w:pPr>
              <w:spacing w:after="0"/>
              <w:jc w:val="left"/>
              <w:rPr>
                <w:rFonts w:ascii="Tw Cen MT" w:hAnsi="Tw Cen MT"/>
                <w:sz w:val="20"/>
                <w:szCs w:val="20"/>
              </w:rPr>
            </w:pPr>
            <w:r>
              <w:rPr>
                <w:rFonts w:ascii="Tw Cen MT" w:hAnsi="Tw Cen MT"/>
                <w:sz w:val="20"/>
                <w:szCs w:val="20"/>
              </w:rPr>
              <w:t>EFIR</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58B60ED" w14:textId="77777777" w:rsidR="00B22363" w:rsidRDefault="00B22363" w:rsidP="00B22363">
            <w:pPr>
              <w:spacing w:after="0"/>
              <w:jc w:val="left"/>
              <w:rPr>
                <w:rFonts w:ascii="Tw Cen MT" w:hAnsi="Tw Cen MT"/>
                <w:sz w:val="20"/>
                <w:szCs w:val="20"/>
              </w:rPr>
            </w:pPr>
            <w:r>
              <w:rPr>
                <w:rFonts w:ascii="Tw Cen MT" w:hAnsi="Tw Cen MT"/>
                <w:sz w:val="20"/>
                <w:szCs w:val="20"/>
              </w:rPr>
              <w:t>Exploitation Forestière à Faible Impact</w:t>
            </w:r>
          </w:p>
        </w:tc>
      </w:tr>
      <w:tr w:rsidR="00B22363" w14:paraId="64B872C3"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2DD4290" w14:textId="77777777" w:rsidR="00B22363" w:rsidRDefault="00B22363" w:rsidP="00B22363">
            <w:pPr>
              <w:spacing w:after="0"/>
              <w:jc w:val="left"/>
              <w:rPr>
                <w:rFonts w:ascii="Tw Cen MT" w:hAnsi="Tw Cen MT"/>
                <w:sz w:val="20"/>
                <w:szCs w:val="20"/>
              </w:rPr>
            </w:pPr>
            <w:r>
              <w:rPr>
                <w:rFonts w:ascii="Tw Cen MT" w:hAnsi="Tw Cen MT"/>
                <w:sz w:val="20"/>
                <w:szCs w:val="20"/>
              </w:rPr>
              <w:t>EMAPS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D4F4289" w14:textId="77777777" w:rsidR="00B22363" w:rsidRDefault="00B22363" w:rsidP="00B22363">
            <w:pPr>
              <w:spacing w:after="0"/>
              <w:jc w:val="left"/>
              <w:rPr>
                <w:rFonts w:ascii="Tw Cen MT" w:hAnsi="Tw Cen MT"/>
                <w:sz w:val="20"/>
                <w:szCs w:val="20"/>
              </w:rPr>
            </w:pPr>
            <w:r>
              <w:rPr>
                <w:rFonts w:ascii="Tw Cen MT" w:hAnsi="Tw Cen MT"/>
                <w:sz w:val="20"/>
                <w:szCs w:val="20"/>
              </w:rPr>
              <w:t>Projet de suivi environnemental et d’appui institutionnel</w:t>
            </w:r>
          </w:p>
        </w:tc>
      </w:tr>
      <w:tr w:rsidR="00B22363" w14:paraId="4EC11AA0"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3179077" w14:textId="77777777" w:rsidR="00B22363" w:rsidRDefault="00B22363" w:rsidP="00B22363">
            <w:pPr>
              <w:spacing w:after="0"/>
              <w:jc w:val="left"/>
              <w:rPr>
                <w:rFonts w:ascii="Tw Cen MT" w:hAnsi="Tw Cen MT"/>
                <w:sz w:val="20"/>
                <w:szCs w:val="20"/>
              </w:rPr>
            </w:pPr>
            <w:r>
              <w:rPr>
                <w:rFonts w:ascii="Tw Cen MT" w:hAnsi="Tw Cen MT"/>
                <w:sz w:val="20"/>
                <w:szCs w:val="20"/>
              </w:rPr>
              <w:t>EMF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A0DCEBF"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Etablissement de Microfinance </w:t>
            </w:r>
          </w:p>
        </w:tc>
      </w:tr>
      <w:tr w:rsidR="00B22363" w14:paraId="5F632964"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1275087" w14:textId="77777777" w:rsidR="00B22363" w:rsidRDefault="00B22363" w:rsidP="00B22363">
            <w:pPr>
              <w:spacing w:after="0"/>
              <w:jc w:val="left"/>
              <w:rPr>
                <w:rFonts w:ascii="Tw Cen MT" w:hAnsi="Tw Cen MT"/>
                <w:sz w:val="20"/>
                <w:szCs w:val="20"/>
              </w:rPr>
            </w:pPr>
            <w:r>
              <w:rPr>
                <w:rFonts w:ascii="Tw Cen MT" w:hAnsi="Tw Cen MT"/>
                <w:sz w:val="20"/>
                <w:szCs w:val="20"/>
              </w:rPr>
              <w:t>ERP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C49342B"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Programme de Réduction d’Emissions </w:t>
            </w:r>
          </w:p>
        </w:tc>
      </w:tr>
      <w:tr w:rsidR="00B22363" w14:paraId="4B4DF87B"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A37BE03" w14:textId="77777777" w:rsidR="00B22363" w:rsidRDefault="00B22363" w:rsidP="00B22363">
            <w:pPr>
              <w:spacing w:after="0"/>
              <w:jc w:val="left"/>
              <w:rPr>
                <w:rFonts w:ascii="Tw Cen MT" w:hAnsi="Tw Cen MT"/>
                <w:sz w:val="20"/>
                <w:szCs w:val="20"/>
              </w:rPr>
            </w:pPr>
            <w:r>
              <w:rPr>
                <w:rFonts w:ascii="Tw Cen MT" w:hAnsi="Tw Cen MT"/>
                <w:sz w:val="20"/>
                <w:szCs w:val="20"/>
              </w:rPr>
              <w:t>FAD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7816D61" w14:textId="77777777" w:rsidR="00B22363" w:rsidRDefault="00B22363" w:rsidP="00B22363">
            <w:pPr>
              <w:spacing w:after="0"/>
              <w:jc w:val="left"/>
              <w:rPr>
                <w:rFonts w:ascii="Tw Cen MT" w:hAnsi="Tw Cen MT"/>
                <w:color w:val="000000"/>
                <w:sz w:val="20"/>
                <w:szCs w:val="20"/>
              </w:rPr>
            </w:pPr>
            <w:r>
              <w:rPr>
                <w:rFonts w:ascii="Tw Cen MT" w:eastAsiaTheme="majorEastAsia" w:hAnsi="Tw Cen MT"/>
                <w:color w:val="000000"/>
                <w:sz w:val="20"/>
                <w:szCs w:val="20"/>
              </w:rPr>
              <w:t>Fonds africain de développement</w:t>
            </w:r>
          </w:p>
        </w:tc>
      </w:tr>
      <w:tr w:rsidR="00B22363" w14:paraId="51CFBE42"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9426326" w14:textId="77777777" w:rsidR="00B22363" w:rsidRDefault="00B22363" w:rsidP="00B22363">
            <w:pPr>
              <w:spacing w:after="0"/>
              <w:jc w:val="left"/>
              <w:rPr>
                <w:rFonts w:ascii="Tw Cen MT" w:hAnsi="Tw Cen MT"/>
                <w:sz w:val="20"/>
                <w:szCs w:val="20"/>
              </w:rPr>
            </w:pPr>
            <w:r>
              <w:rPr>
                <w:rFonts w:ascii="Tw Cen MT" w:hAnsi="Tw Cen MT"/>
                <w:sz w:val="20"/>
                <w:szCs w:val="20"/>
              </w:rPr>
              <w:t>FAO</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2E261D3" w14:textId="77777777" w:rsidR="00B22363" w:rsidRDefault="00B22363" w:rsidP="00B22363">
            <w:pPr>
              <w:spacing w:after="0"/>
              <w:jc w:val="left"/>
              <w:rPr>
                <w:rFonts w:ascii="Tw Cen MT" w:hAnsi="Tw Cen MT"/>
                <w:sz w:val="20"/>
                <w:szCs w:val="20"/>
              </w:rPr>
            </w:pPr>
            <w:r>
              <w:rPr>
                <w:rFonts w:ascii="Tw Cen MT" w:hAnsi="Tw Cen MT"/>
                <w:sz w:val="20"/>
                <w:szCs w:val="20"/>
              </w:rPr>
              <w:t>Food and Agriculture Organisation</w:t>
            </w:r>
          </w:p>
        </w:tc>
      </w:tr>
      <w:tr w:rsidR="0039319C" w14:paraId="1A993F75"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tcPr>
          <w:p w14:paraId="0D835A88" w14:textId="04242DBF" w:rsidR="0039319C" w:rsidRDefault="0039319C" w:rsidP="00B22363">
            <w:pPr>
              <w:spacing w:after="0"/>
              <w:jc w:val="left"/>
              <w:rPr>
                <w:rFonts w:ascii="Tw Cen MT" w:hAnsi="Tw Cen MT"/>
                <w:sz w:val="20"/>
                <w:szCs w:val="20"/>
              </w:rPr>
            </w:pPr>
            <w:r>
              <w:rPr>
                <w:rFonts w:ascii="Tw Cen MT" w:hAnsi="Tw Cen MT"/>
                <w:sz w:val="20"/>
                <w:szCs w:val="20"/>
              </w:rPr>
              <w:t>FASEP</w:t>
            </w:r>
          </w:p>
        </w:tc>
        <w:tc>
          <w:tcPr>
            <w:tcW w:w="0" w:type="auto"/>
            <w:tcBorders>
              <w:top w:val="nil"/>
              <w:left w:val="nil"/>
              <w:bottom w:val="nil"/>
              <w:right w:val="nil"/>
            </w:tcBorders>
            <w:shd w:val="clear" w:color="auto" w:fill="auto"/>
            <w:noWrap/>
            <w:tcMar>
              <w:top w:w="15" w:type="dxa"/>
              <w:left w:w="15" w:type="dxa"/>
              <w:bottom w:w="0" w:type="dxa"/>
              <w:right w:w="15" w:type="dxa"/>
            </w:tcMar>
          </w:tcPr>
          <w:p w14:paraId="0334C5E9" w14:textId="4BE3670F" w:rsidR="0039319C" w:rsidRDefault="0039319C" w:rsidP="00B22363">
            <w:pPr>
              <w:spacing w:after="0"/>
              <w:jc w:val="left"/>
              <w:rPr>
                <w:rFonts w:ascii="Tw Cen MT" w:hAnsi="Tw Cen MT"/>
                <w:sz w:val="20"/>
                <w:szCs w:val="20"/>
              </w:rPr>
            </w:pPr>
            <w:r>
              <w:rPr>
                <w:rFonts w:ascii="Tw Cen MT" w:hAnsi="Tw Cen MT"/>
                <w:sz w:val="20"/>
                <w:szCs w:val="20"/>
              </w:rPr>
              <w:t>Fonds d’Etude et d’Aide au Secteur Privé</w:t>
            </w:r>
          </w:p>
        </w:tc>
      </w:tr>
      <w:tr w:rsidR="00B22363" w14:paraId="35C0DEC9"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9C2C551" w14:textId="77777777" w:rsidR="00B22363" w:rsidRDefault="00B22363" w:rsidP="00B22363">
            <w:pPr>
              <w:spacing w:after="0"/>
              <w:jc w:val="left"/>
              <w:rPr>
                <w:rFonts w:ascii="Tw Cen MT" w:hAnsi="Tw Cen MT"/>
                <w:sz w:val="20"/>
                <w:szCs w:val="20"/>
              </w:rPr>
            </w:pPr>
            <w:r>
              <w:rPr>
                <w:rFonts w:ascii="Tw Cen MT" w:hAnsi="Tw Cen MT"/>
                <w:sz w:val="20"/>
                <w:szCs w:val="20"/>
              </w:rPr>
              <w:t>FCFA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0187803" w14:textId="77777777" w:rsidR="00B22363" w:rsidRDefault="00B22363" w:rsidP="00B22363">
            <w:pPr>
              <w:spacing w:after="0"/>
              <w:jc w:val="left"/>
              <w:rPr>
                <w:rFonts w:ascii="Tw Cen MT" w:hAnsi="Tw Cen MT"/>
                <w:sz w:val="20"/>
                <w:szCs w:val="20"/>
              </w:rPr>
            </w:pPr>
            <w:r>
              <w:rPr>
                <w:rFonts w:ascii="Tw Cen MT" w:hAnsi="Tw Cen MT"/>
                <w:sz w:val="20"/>
                <w:szCs w:val="20"/>
              </w:rPr>
              <w:t>Franc de la Communauté Financière Africaine</w:t>
            </w:r>
          </w:p>
        </w:tc>
      </w:tr>
      <w:tr w:rsidR="00B22363" w14:paraId="5F83F39F"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32F9ABD" w14:textId="77777777" w:rsidR="00B22363" w:rsidRDefault="00B22363" w:rsidP="00B22363">
            <w:pPr>
              <w:spacing w:after="0"/>
              <w:jc w:val="left"/>
              <w:rPr>
                <w:rFonts w:ascii="Tw Cen MT" w:hAnsi="Tw Cen MT"/>
                <w:sz w:val="20"/>
                <w:szCs w:val="20"/>
              </w:rPr>
            </w:pPr>
            <w:r>
              <w:rPr>
                <w:rFonts w:ascii="Tw Cen MT" w:hAnsi="Tw Cen MT"/>
                <w:sz w:val="20"/>
                <w:szCs w:val="20"/>
              </w:rPr>
              <w:t>FCPF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45016B6"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de Partenariat pour le Carbone Forestier </w:t>
            </w:r>
          </w:p>
        </w:tc>
      </w:tr>
      <w:tr w:rsidR="00B22363" w14:paraId="50AB36D2"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425FABE"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FDL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0113F04"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de Développement Local </w:t>
            </w:r>
          </w:p>
        </w:tc>
      </w:tr>
      <w:tr w:rsidR="00B22363" w14:paraId="7F8DEDE6"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363033C" w14:textId="77777777" w:rsidR="00B22363" w:rsidRDefault="00B22363" w:rsidP="00B22363">
            <w:pPr>
              <w:spacing w:after="0"/>
              <w:jc w:val="left"/>
              <w:rPr>
                <w:rFonts w:ascii="Tw Cen MT" w:hAnsi="Tw Cen MT"/>
                <w:sz w:val="20"/>
                <w:szCs w:val="20"/>
              </w:rPr>
            </w:pPr>
            <w:r>
              <w:rPr>
                <w:rFonts w:ascii="Tw Cen MT" w:hAnsi="Tw Cen MT"/>
                <w:sz w:val="20"/>
                <w:szCs w:val="20"/>
              </w:rPr>
              <w:t>FDSEL</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87FF2AF"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de Développement du Secteur de l’Electricité </w:t>
            </w:r>
          </w:p>
        </w:tc>
      </w:tr>
      <w:tr w:rsidR="00B22363" w14:paraId="6D9A0492"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2EC97F4" w14:textId="77777777" w:rsidR="00B22363" w:rsidRDefault="00B22363" w:rsidP="00B22363">
            <w:pPr>
              <w:spacing w:after="0"/>
              <w:jc w:val="left"/>
              <w:rPr>
                <w:rFonts w:ascii="Tw Cen MT" w:hAnsi="Tw Cen MT"/>
                <w:sz w:val="20"/>
                <w:szCs w:val="20"/>
              </w:rPr>
            </w:pPr>
            <w:r>
              <w:rPr>
                <w:rFonts w:ascii="Tw Cen MT" w:hAnsi="Tw Cen MT"/>
                <w:sz w:val="20"/>
                <w:szCs w:val="20"/>
              </w:rPr>
              <w:t>FED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98E27CF"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de Développement Européen </w:t>
            </w:r>
          </w:p>
        </w:tc>
      </w:tr>
      <w:tr w:rsidR="00B22363" w14:paraId="5DF35B6D"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8AE33C0" w14:textId="77777777" w:rsidR="00B22363" w:rsidRDefault="00B22363" w:rsidP="00B22363">
            <w:pPr>
              <w:spacing w:after="0"/>
              <w:jc w:val="left"/>
              <w:rPr>
                <w:rFonts w:ascii="Tw Cen MT" w:hAnsi="Tw Cen MT"/>
                <w:sz w:val="20"/>
                <w:szCs w:val="20"/>
              </w:rPr>
            </w:pPr>
            <w:r>
              <w:rPr>
                <w:rFonts w:ascii="Tw Cen MT" w:hAnsi="Tw Cen MT"/>
                <w:sz w:val="20"/>
                <w:szCs w:val="20"/>
              </w:rPr>
              <w:t>FEM</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E041701" w14:textId="77777777" w:rsidR="00B22363" w:rsidRDefault="00B22363" w:rsidP="00B22363">
            <w:pPr>
              <w:spacing w:after="0"/>
              <w:jc w:val="left"/>
              <w:rPr>
                <w:rFonts w:ascii="Tw Cen MT" w:hAnsi="Tw Cen MT"/>
                <w:sz w:val="20"/>
                <w:szCs w:val="20"/>
              </w:rPr>
            </w:pPr>
            <w:r>
              <w:rPr>
                <w:rFonts w:ascii="Tw Cen MT" w:hAnsi="Tw Cen MT"/>
                <w:sz w:val="20"/>
                <w:szCs w:val="20"/>
              </w:rPr>
              <w:t>Fonds Mondial pour l'Environnement</w:t>
            </w:r>
          </w:p>
        </w:tc>
      </w:tr>
      <w:tr w:rsidR="00B22363" w14:paraId="70EF9439"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C074B2C" w14:textId="77777777" w:rsidR="00B22363" w:rsidRDefault="00B22363" w:rsidP="00B22363">
            <w:pPr>
              <w:spacing w:after="0"/>
              <w:jc w:val="left"/>
              <w:rPr>
                <w:rFonts w:ascii="Tw Cen MT" w:hAnsi="Tw Cen MT"/>
                <w:sz w:val="20"/>
                <w:szCs w:val="20"/>
              </w:rPr>
            </w:pPr>
            <w:r>
              <w:rPr>
                <w:rFonts w:ascii="Tw Cen MT" w:hAnsi="Tw Cen MT"/>
                <w:sz w:val="20"/>
                <w:szCs w:val="20"/>
              </w:rPr>
              <w:t>FERN</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EDBCA60"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d’Etude pour le Renforcement des capacités </w:t>
            </w:r>
          </w:p>
        </w:tc>
      </w:tr>
      <w:tr w:rsidR="00B22363" w14:paraId="55F93087"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2163642" w14:textId="77777777" w:rsidR="00B22363" w:rsidRDefault="00B22363" w:rsidP="00B22363">
            <w:pPr>
              <w:spacing w:after="0"/>
              <w:jc w:val="left"/>
              <w:rPr>
                <w:rFonts w:ascii="Tw Cen MT" w:hAnsi="Tw Cen MT"/>
                <w:sz w:val="20"/>
                <w:szCs w:val="20"/>
              </w:rPr>
            </w:pPr>
            <w:r>
              <w:rPr>
                <w:rFonts w:ascii="Tw Cen MT" w:hAnsi="Tw Cen MT"/>
                <w:sz w:val="20"/>
                <w:szCs w:val="20"/>
              </w:rPr>
              <w:t>FEVAC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92C5D04"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de l’économie verte en Afrique Centrale </w:t>
            </w:r>
          </w:p>
        </w:tc>
      </w:tr>
      <w:tr w:rsidR="00B22363" w14:paraId="2D69C310"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E4C9FFF" w14:textId="77777777" w:rsidR="00B22363" w:rsidRDefault="00B22363" w:rsidP="00B22363">
            <w:pPr>
              <w:spacing w:after="0"/>
              <w:jc w:val="left"/>
              <w:rPr>
                <w:rFonts w:ascii="Tw Cen MT" w:hAnsi="Tw Cen MT"/>
                <w:sz w:val="20"/>
                <w:szCs w:val="20"/>
              </w:rPr>
            </w:pPr>
            <w:r>
              <w:rPr>
                <w:rFonts w:ascii="Tw Cen MT" w:hAnsi="Tw Cen MT"/>
                <w:sz w:val="20"/>
                <w:szCs w:val="20"/>
              </w:rPr>
              <w:t>FFEM</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CA2D248"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Français pour l’Environnement Mondial </w:t>
            </w:r>
          </w:p>
        </w:tc>
      </w:tr>
      <w:tr w:rsidR="00B22363" w14:paraId="368B9565"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D6D0B69" w14:textId="77777777" w:rsidR="00B22363" w:rsidRDefault="00B22363" w:rsidP="00B22363">
            <w:pPr>
              <w:spacing w:after="0"/>
              <w:jc w:val="left"/>
              <w:rPr>
                <w:rFonts w:ascii="Tw Cen MT" w:hAnsi="Tw Cen MT"/>
                <w:sz w:val="20"/>
                <w:szCs w:val="20"/>
              </w:rPr>
            </w:pPr>
            <w:r>
              <w:rPr>
                <w:rFonts w:ascii="Tw Cen MT" w:hAnsi="Tw Cen MT"/>
                <w:sz w:val="20"/>
                <w:szCs w:val="20"/>
              </w:rPr>
              <w:t>FFN</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B5BA9BD"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Forestier National </w:t>
            </w:r>
          </w:p>
        </w:tc>
      </w:tr>
      <w:tr w:rsidR="00B22363" w14:paraId="76D9C788"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3EF2686" w14:textId="77777777" w:rsidR="00B22363" w:rsidRDefault="00B22363" w:rsidP="00B22363">
            <w:pPr>
              <w:spacing w:after="0"/>
              <w:jc w:val="left"/>
              <w:rPr>
                <w:rFonts w:ascii="Tw Cen MT" w:hAnsi="Tw Cen MT"/>
                <w:sz w:val="20"/>
                <w:szCs w:val="20"/>
              </w:rPr>
            </w:pPr>
            <w:r>
              <w:rPr>
                <w:rFonts w:ascii="Tw Cen MT" w:hAnsi="Tw Cen MT"/>
                <w:sz w:val="20"/>
                <w:szCs w:val="20"/>
              </w:rPr>
              <w:t>FIC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8A5AC90"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d’Investissement pour le Climat </w:t>
            </w:r>
          </w:p>
        </w:tc>
      </w:tr>
      <w:tr w:rsidR="00B22363" w14:paraId="45C988AF"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BC8A797" w14:textId="77777777" w:rsidR="00B22363" w:rsidRDefault="00B22363" w:rsidP="00B22363">
            <w:pPr>
              <w:spacing w:after="0"/>
              <w:jc w:val="left"/>
              <w:rPr>
                <w:rFonts w:ascii="Tw Cen MT" w:hAnsi="Tw Cen MT"/>
                <w:sz w:val="20"/>
                <w:szCs w:val="20"/>
              </w:rPr>
            </w:pPr>
            <w:r>
              <w:rPr>
                <w:rFonts w:ascii="Tw Cen MT" w:hAnsi="Tw Cen MT"/>
                <w:sz w:val="20"/>
                <w:szCs w:val="20"/>
              </w:rPr>
              <w:t>FIDA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BD21701"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International de Développement Agricole </w:t>
            </w:r>
          </w:p>
        </w:tc>
      </w:tr>
      <w:tr w:rsidR="00B22363" w14:paraId="4CB7A27A"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F8D7D36" w14:textId="77777777" w:rsidR="00B22363" w:rsidRDefault="00B22363" w:rsidP="00B22363">
            <w:pPr>
              <w:spacing w:after="0"/>
              <w:jc w:val="left"/>
              <w:rPr>
                <w:rFonts w:ascii="Tw Cen MT" w:hAnsi="Tw Cen MT"/>
                <w:sz w:val="20"/>
                <w:szCs w:val="20"/>
              </w:rPr>
            </w:pPr>
            <w:r>
              <w:rPr>
                <w:rFonts w:ascii="Tw Cen MT" w:hAnsi="Tw Cen MT"/>
                <w:sz w:val="20"/>
                <w:szCs w:val="20"/>
              </w:rPr>
              <w:t>FINFORTROP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2096013" w14:textId="77777777" w:rsidR="00B22363" w:rsidRDefault="00B22363" w:rsidP="00B22363">
            <w:pPr>
              <w:spacing w:after="0"/>
              <w:jc w:val="left"/>
              <w:rPr>
                <w:rFonts w:ascii="Tw Cen MT" w:hAnsi="Tw Cen MT"/>
                <w:sz w:val="20"/>
                <w:szCs w:val="20"/>
              </w:rPr>
            </w:pPr>
            <w:r>
              <w:rPr>
                <w:rFonts w:ascii="Tw Cen MT" w:hAnsi="Tw Cen MT"/>
                <w:sz w:val="20"/>
                <w:szCs w:val="20"/>
              </w:rPr>
              <w:t>Financement des initiatives en faveur de la gestion durable des forêts tropicales humides</w:t>
            </w:r>
          </w:p>
        </w:tc>
      </w:tr>
      <w:tr w:rsidR="00B22363" w14:paraId="4F9B53E4"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BE0F98A" w14:textId="77777777" w:rsidR="00B22363" w:rsidRDefault="00B22363" w:rsidP="00B22363">
            <w:pPr>
              <w:spacing w:after="0"/>
              <w:jc w:val="left"/>
              <w:rPr>
                <w:rFonts w:ascii="Tw Cen MT" w:hAnsi="Tw Cen MT"/>
                <w:sz w:val="20"/>
                <w:szCs w:val="20"/>
              </w:rPr>
            </w:pPr>
            <w:r>
              <w:rPr>
                <w:rFonts w:ascii="Tw Cen MT" w:hAnsi="Tw Cen MT"/>
                <w:sz w:val="20"/>
                <w:szCs w:val="20"/>
              </w:rPr>
              <w:t>FIP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0D1E718"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Programme d’Investissement pour la Forêt </w:t>
            </w:r>
          </w:p>
        </w:tc>
      </w:tr>
      <w:tr w:rsidR="00B22363" w:rsidRPr="00630427" w14:paraId="6CB65D3C"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4EE394F"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FLEGT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2193942" w14:textId="77777777" w:rsidR="00B22363" w:rsidRPr="00B22363" w:rsidRDefault="00B22363" w:rsidP="00B22363">
            <w:pPr>
              <w:spacing w:after="0"/>
              <w:jc w:val="left"/>
              <w:rPr>
                <w:rFonts w:ascii="Tw Cen MT" w:hAnsi="Tw Cen MT"/>
                <w:i/>
                <w:iCs/>
                <w:sz w:val="20"/>
                <w:szCs w:val="20"/>
                <w:lang w:val="en-US"/>
              </w:rPr>
            </w:pPr>
            <w:r w:rsidRPr="00B22363">
              <w:rPr>
                <w:rFonts w:ascii="Tw Cen MT" w:hAnsi="Tw Cen MT"/>
                <w:i/>
                <w:iCs/>
                <w:sz w:val="20"/>
                <w:szCs w:val="20"/>
                <w:lang w:val="en-US"/>
              </w:rPr>
              <w:t>Forest Law Enforcement, Governance and Trade</w:t>
            </w:r>
          </w:p>
        </w:tc>
      </w:tr>
      <w:tr w:rsidR="00B22363" w14:paraId="37DF4707"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B23B2D8" w14:textId="77777777" w:rsidR="00B22363" w:rsidRDefault="00B22363" w:rsidP="00B22363">
            <w:pPr>
              <w:spacing w:after="0"/>
              <w:jc w:val="left"/>
              <w:rPr>
                <w:rFonts w:ascii="Tw Cen MT" w:hAnsi="Tw Cen MT"/>
                <w:sz w:val="20"/>
                <w:szCs w:val="20"/>
              </w:rPr>
            </w:pPr>
            <w:r>
              <w:rPr>
                <w:rFonts w:ascii="Tw Cen MT" w:hAnsi="Tw Cen MT"/>
                <w:sz w:val="20"/>
                <w:szCs w:val="20"/>
              </w:rPr>
              <w:t>FMI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390DF9D" w14:textId="77777777" w:rsidR="00B22363" w:rsidRDefault="00B22363" w:rsidP="00B22363">
            <w:pPr>
              <w:spacing w:after="0"/>
              <w:jc w:val="left"/>
              <w:rPr>
                <w:rFonts w:ascii="Tw Cen MT" w:hAnsi="Tw Cen MT"/>
                <w:sz w:val="20"/>
                <w:szCs w:val="20"/>
              </w:rPr>
            </w:pPr>
            <w:r>
              <w:rPr>
                <w:rFonts w:ascii="Tw Cen MT" w:hAnsi="Tw Cen MT"/>
                <w:sz w:val="20"/>
                <w:szCs w:val="20"/>
              </w:rPr>
              <w:t>Fonds Monétaire International</w:t>
            </w:r>
          </w:p>
        </w:tc>
      </w:tr>
      <w:tr w:rsidR="00B22363" w14:paraId="4F6C90E9"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BB4ABD7" w14:textId="77777777" w:rsidR="00B22363" w:rsidRDefault="00B22363" w:rsidP="00B22363">
            <w:pPr>
              <w:spacing w:after="0"/>
              <w:jc w:val="left"/>
              <w:rPr>
                <w:rFonts w:ascii="Tw Cen MT" w:hAnsi="Tw Cen MT"/>
                <w:sz w:val="20"/>
                <w:szCs w:val="20"/>
              </w:rPr>
            </w:pPr>
            <w:r>
              <w:rPr>
                <w:rFonts w:ascii="Tw Cen MT" w:hAnsi="Tw Cen MT"/>
                <w:sz w:val="20"/>
                <w:szCs w:val="20"/>
              </w:rPr>
              <w:t>FNST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D3117D8"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National de la Science et de la Technologie </w:t>
            </w:r>
          </w:p>
        </w:tc>
      </w:tr>
      <w:tr w:rsidR="00B22363" w14:paraId="6AF4CDA7"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3001383" w14:textId="77777777" w:rsidR="00B22363" w:rsidRDefault="00B22363" w:rsidP="00B22363">
            <w:pPr>
              <w:spacing w:after="0"/>
              <w:jc w:val="left"/>
              <w:rPr>
                <w:rFonts w:ascii="Tw Cen MT" w:hAnsi="Tw Cen MT"/>
                <w:sz w:val="20"/>
                <w:szCs w:val="20"/>
              </w:rPr>
            </w:pPr>
            <w:r>
              <w:rPr>
                <w:rFonts w:ascii="Tw Cen MT" w:hAnsi="Tw Cen MT"/>
                <w:sz w:val="20"/>
                <w:szCs w:val="20"/>
              </w:rPr>
              <w:t>FODI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4F94C67"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de l’OPEP pour le développement international </w:t>
            </w:r>
          </w:p>
        </w:tc>
      </w:tr>
      <w:tr w:rsidR="00B22363" w14:paraId="3E9375E4"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C826F63" w14:textId="77777777" w:rsidR="00B22363" w:rsidRDefault="00B22363" w:rsidP="00B22363">
            <w:pPr>
              <w:spacing w:after="0"/>
              <w:jc w:val="left"/>
              <w:rPr>
                <w:rFonts w:ascii="Tw Cen MT" w:hAnsi="Tw Cen MT"/>
                <w:sz w:val="20"/>
                <w:szCs w:val="20"/>
              </w:rPr>
            </w:pPr>
            <w:r>
              <w:rPr>
                <w:rFonts w:ascii="Tw Cen MT" w:hAnsi="Tw Cen MT"/>
                <w:sz w:val="20"/>
                <w:szCs w:val="20"/>
              </w:rPr>
              <w:t>FPD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2F7FC36"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Financements Publics du Développement </w:t>
            </w:r>
          </w:p>
        </w:tc>
      </w:tr>
      <w:tr w:rsidR="00B22363" w14:paraId="5F657267"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A1E703D" w14:textId="77777777" w:rsidR="00B22363" w:rsidRDefault="00B22363" w:rsidP="00B22363">
            <w:pPr>
              <w:spacing w:after="0"/>
              <w:jc w:val="left"/>
              <w:rPr>
                <w:rFonts w:ascii="Tw Cen MT" w:hAnsi="Tw Cen MT"/>
                <w:sz w:val="20"/>
                <w:szCs w:val="20"/>
              </w:rPr>
            </w:pPr>
            <w:r>
              <w:rPr>
                <w:rFonts w:ascii="Tw Cen MT" w:hAnsi="Tw Cen MT"/>
                <w:sz w:val="20"/>
                <w:szCs w:val="20"/>
              </w:rPr>
              <w:t>FPE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CC4A7C8"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de Protection de l’Environnement </w:t>
            </w:r>
          </w:p>
        </w:tc>
      </w:tr>
      <w:tr w:rsidR="00B22363" w14:paraId="78C28911"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1E2D5F3" w14:textId="77777777" w:rsidR="00B22363" w:rsidRDefault="00B22363" w:rsidP="00B22363">
            <w:pPr>
              <w:spacing w:after="0"/>
              <w:jc w:val="left"/>
              <w:rPr>
                <w:rFonts w:ascii="Tw Cen MT" w:hAnsi="Tw Cen MT"/>
                <w:sz w:val="20"/>
                <w:szCs w:val="20"/>
              </w:rPr>
            </w:pPr>
            <w:r>
              <w:rPr>
                <w:rFonts w:ascii="Tw Cen MT" w:hAnsi="Tw Cen MT"/>
                <w:sz w:val="20"/>
                <w:szCs w:val="20"/>
              </w:rPr>
              <w:lastRenderedPageBreak/>
              <w:t>FSA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636A0C6" w14:textId="77777777" w:rsidR="00B22363" w:rsidRDefault="00B22363" w:rsidP="00B22363">
            <w:pPr>
              <w:spacing w:after="0"/>
              <w:jc w:val="left"/>
              <w:rPr>
                <w:rFonts w:ascii="Tw Cen MT" w:hAnsi="Tw Cen MT"/>
                <w:sz w:val="20"/>
                <w:szCs w:val="20"/>
              </w:rPr>
            </w:pPr>
            <w:r>
              <w:rPr>
                <w:rFonts w:ascii="Tw Cen MT" w:hAnsi="Tw Cen MT"/>
                <w:sz w:val="20"/>
                <w:szCs w:val="20"/>
              </w:rPr>
              <w:t>Fond de Soutien à l'Agriculture</w:t>
            </w:r>
          </w:p>
        </w:tc>
      </w:tr>
      <w:tr w:rsidR="00B22363" w14:paraId="31B242A9"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A1159C5" w14:textId="77777777" w:rsidR="00B22363" w:rsidRDefault="00B22363" w:rsidP="00B22363">
            <w:pPr>
              <w:spacing w:after="0"/>
              <w:jc w:val="left"/>
              <w:rPr>
                <w:rFonts w:ascii="Tw Cen MT" w:hAnsi="Tw Cen MT"/>
                <w:sz w:val="20"/>
                <w:szCs w:val="20"/>
              </w:rPr>
            </w:pPr>
            <w:r>
              <w:rPr>
                <w:rFonts w:ascii="Tw Cen MT" w:hAnsi="Tw Cen MT"/>
                <w:sz w:val="20"/>
                <w:szCs w:val="20"/>
              </w:rPr>
              <w:t>FSC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6ADB980" w14:textId="77777777" w:rsidR="00B22363" w:rsidRDefault="00B22363" w:rsidP="00B22363">
            <w:pPr>
              <w:spacing w:after="0"/>
              <w:jc w:val="left"/>
              <w:rPr>
                <w:rFonts w:ascii="Tw Cen MT" w:hAnsi="Tw Cen MT"/>
                <w:i/>
                <w:iCs/>
                <w:sz w:val="20"/>
                <w:szCs w:val="20"/>
              </w:rPr>
            </w:pPr>
            <w:r>
              <w:rPr>
                <w:rFonts w:ascii="Tw Cen MT" w:hAnsi="Tw Cen MT"/>
                <w:i/>
                <w:iCs/>
                <w:sz w:val="20"/>
                <w:szCs w:val="20"/>
              </w:rPr>
              <w:t xml:space="preserve">Forest </w:t>
            </w:r>
            <w:proofErr w:type="spellStart"/>
            <w:r>
              <w:rPr>
                <w:rFonts w:ascii="Tw Cen MT" w:hAnsi="Tw Cen MT"/>
                <w:i/>
                <w:iCs/>
                <w:sz w:val="20"/>
                <w:szCs w:val="20"/>
              </w:rPr>
              <w:t>Stewardship</w:t>
            </w:r>
            <w:proofErr w:type="spellEnd"/>
            <w:r>
              <w:rPr>
                <w:rFonts w:ascii="Tw Cen MT" w:hAnsi="Tw Cen MT"/>
                <w:i/>
                <w:iCs/>
                <w:sz w:val="20"/>
                <w:szCs w:val="20"/>
              </w:rPr>
              <w:t xml:space="preserve"> Council</w:t>
            </w:r>
          </w:p>
        </w:tc>
      </w:tr>
      <w:tr w:rsidR="00B22363" w14:paraId="1B73A4B3"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EB41B19" w14:textId="77777777" w:rsidR="00B22363" w:rsidRDefault="00B22363" w:rsidP="00B22363">
            <w:pPr>
              <w:spacing w:after="0"/>
              <w:jc w:val="left"/>
              <w:rPr>
                <w:rFonts w:ascii="Tw Cen MT" w:hAnsi="Tw Cen MT"/>
                <w:sz w:val="20"/>
                <w:szCs w:val="20"/>
              </w:rPr>
            </w:pPr>
            <w:r>
              <w:rPr>
                <w:rFonts w:ascii="Tw Cen MT" w:hAnsi="Tw Cen MT"/>
                <w:sz w:val="20"/>
                <w:szCs w:val="20"/>
              </w:rPr>
              <w:t>FTNS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E804F6A"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Fondation pour le Tri-national de la Sangha </w:t>
            </w:r>
          </w:p>
        </w:tc>
      </w:tr>
      <w:tr w:rsidR="00B22363" w14:paraId="1B4C6A9A"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E821F00"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FVC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0EC10C7" w14:textId="77777777" w:rsidR="00B22363" w:rsidRDefault="00B22363" w:rsidP="00B22363">
            <w:pPr>
              <w:spacing w:after="0"/>
              <w:jc w:val="left"/>
              <w:rPr>
                <w:rFonts w:ascii="Tw Cen MT" w:hAnsi="Tw Cen MT"/>
                <w:sz w:val="20"/>
                <w:szCs w:val="20"/>
              </w:rPr>
            </w:pPr>
            <w:r>
              <w:rPr>
                <w:rFonts w:ascii="Tw Cen MT" w:hAnsi="Tw Cen MT"/>
                <w:sz w:val="20"/>
                <w:szCs w:val="20"/>
              </w:rPr>
              <w:t>Fonds Vert Climat</w:t>
            </w:r>
          </w:p>
        </w:tc>
      </w:tr>
      <w:tr w:rsidR="00B22363" w14:paraId="03EAE8D2"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DA25449" w14:textId="77777777" w:rsidR="00B22363" w:rsidRDefault="00B22363" w:rsidP="00B22363">
            <w:pPr>
              <w:spacing w:after="0"/>
              <w:jc w:val="left"/>
              <w:rPr>
                <w:rFonts w:ascii="Tw Cen MT" w:hAnsi="Tw Cen MT"/>
                <w:sz w:val="20"/>
                <w:szCs w:val="20"/>
              </w:rPr>
            </w:pPr>
            <w:r>
              <w:rPr>
                <w:rFonts w:ascii="Tw Cen MT" w:hAnsi="Tw Cen MT"/>
                <w:sz w:val="20"/>
                <w:szCs w:val="20"/>
              </w:rPr>
              <w:t>GCCI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7885328" w14:textId="77777777" w:rsidR="00B22363" w:rsidRDefault="00B22363" w:rsidP="00B22363">
            <w:pPr>
              <w:spacing w:after="0"/>
              <w:jc w:val="left"/>
              <w:rPr>
                <w:rFonts w:ascii="Tw Cen MT" w:hAnsi="Tw Cen MT"/>
                <w:i/>
                <w:iCs/>
                <w:sz w:val="20"/>
                <w:szCs w:val="20"/>
              </w:rPr>
            </w:pPr>
            <w:r>
              <w:rPr>
                <w:rFonts w:ascii="Tw Cen MT" w:hAnsi="Tw Cen MT"/>
                <w:i/>
                <w:iCs/>
                <w:sz w:val="20"/>
                <w:szCs w:val="20"/>
              </w:rPr>
              <w:t xml:space="preserve">Global </w:t>
            </w:r>
            <w:proofErr w:type="spellStart"/>
            <w:r>
              <w:rPr>
                <w:rFonts w:ascii="Tw Cen MT" w:hAnsi="Tw Cen MT"/>
                <w:i/>
                <w:iCs/>
                <w:sz w:val="20"/>
                <w:szCs w:val="20"/>
              </w:rPr>
              <w:t>Climate</w:t>
            </w:r>
            <w:proofErr w:type="spellEnd"/>
            <w:r>
              <w:rPr>
                <w:rFonts w:ascii="Tw Cen MT" w:hAnsi="Tw Cen MT"/>
                <w:i/>
                <w:iCs/>
                <w:sz w:val="20"/>
                <w:szCs w:val="20"/>
              </w:rPr>
              <w:t xml:space="preserve"> Change Initiative </w:t>
            </w:r>
          </w:p>
        </w:tc>
      </w:tr>
      <w:tr w:rsidR="00B22363" w14:paraId="0FD9236D"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5F2781C" w14:textId="77777777" w:rsidR="00B22363" w:rsidRDefault="00B22363" w:rsidP="00B22363">
            <w:pPr>
              <w:spacing w:after="0"/>
              <w:jc w:val="left"/>
              <w:rPr>
                <w:rFonts w:ascii="Tw Cen MT" w:hAnsi="Tw Cen MT"/>
                <w:sz w:val="20"/>
                <w:szCs w:val="20"/>
              </w:rPr>
            </w:pPr>
            <w:r>
              <w:rPr>
                <w:rFonts w:ascii="Tw Cen MT" w:hAnsi="Tw Cen MT"/>
                <w:sz w:val="20"/>
                <w:szCs w:val="20"/>
              </w:rPr>
              <w:t>GCPF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1F6B060" w14:textId="77777777" w:rsidR="00B22363" w:rsidRDefault="00B22363" w:rsidP="00B22363">
            <w:pPr>
              <w:spacing w:after="0"/>
              <w:jc w:val="left"/>
              <w:rPr>
                <w:rFonts w:ascii="Tw Cen MT" w:hAnsi="Tw Cen MT"/>
                <w:i/>
                <w:iCs/>
                <w:sz w:val="20"/>
                <w:szCs w:val="20"/>
              </w:rPr>
            </w:pPr>
            <w:r>
              <w:rPr>
                <w:rFonts w:ascii="Tw Cen MT" w:hAnsi="Tw Cen MT"/>
                <w:i/>
                <w:iCs/>
                <w:sz w:val="20"/>
                <w:szCs w:val="20"/>
                <w:lang w:val="en-US"/>
              </w:rPr>
              <w:t xml:space="preserve">Global Climate Partnership Fund </w:t>
            </w:r>
          </w:p>
        </w:tc>
      </w:tr>
      <w:tr w:rsidR="00B22363" w14:paraId="26383A09"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830CA31"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GES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2C9791E" w14:textId="77777777" w:rsidR="00B22363" w:rsidRDefault="00B22363" w:rsidP="00B22363">
            <w:pPr>
              <w:spacing w:after="0"/>
              <w:jc w:val="left"/>
              <w:rPr>
                <w:rFonts w:ascii="Tw Cen MT" w:hAnsi="Tw Cen MT"/>
                <w:sz w:val="20"/>
                <w:szCs w:val="20"/>
              </w:rPr>
            </w:pPr>
            <w:r>
              <w:rPr>
                <w:rFonts w:ascii="Tw Cen MT" w:hAnsi="Tw Cen MT"/>
                <w:sz w:val="20"/>
                <w:szCs w:val="20"/>
              </w:rPr>
              <w:t>Gaz à Effet de Serre</w:t>
            </w:r>
          </w:p>
        </w:tc>
      </w:tr>
      <w:tr w:rsidR="00B22363" w14:paraId="1D6302F7"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6171F58" w14:textId="77777777" w:rsidR="00B22363" w:rsidRDefault="00B22363" w:rsidP="00B22363">
            <w:pPr>
              <w:spacing w:after="0"/>
              <w:jc w:val="left"/>
              <w:rPr>
                <w:rFonts w:ascii="Tw Cen MT" w:hAnsi="Tw Cen MT"/>
                <w:sz w:val="20"/>
                <w:szCs w:val="20"/>
              </w:rPr>
            </w:pPr>
            <w:r>
              <w:rPr>
                <w:rFonts w:ascii="Tw Cen MT" w:hAnsi="Tw Cen MT"/>
                <w:sz w:val="20"/>
                <w:szCs w:val="20"/>
              </w:rPr>
              <w:t>GIZ</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01A5606" w14:textId="77777777" w:rsidR="00B22363" w:rsidRDefault="00B22363" w:rsidP="00B22363">
            <w:pPr>
              <w:spacing w:after="0"/>
              <w:jc w:val="left"/>
              <w:rPr>
                <w:rFonts w:ascii="Tw Cen MT" w:hAnsi="Tw Cen MT"/>
                <w:i/>
                <w:iCs/>
                <w:sz w:val="20"/>
                <w:szCs w:val="20"/>
              </w:rPr>
            </w:pPr>
            <w:r>
              <w:rPr>
                <w:rFonts w:ascii="Tw Cen MT" w:hAnsi="Tw Cen MT"/>
                <w:i/>
                <w:iCs/>
                <w:sz w:val="20"/>
                <w:szCs w:val="20"/>
              </w:rPr>
              <w:t xml:space="preserve">Deutsche Gesellschaft </w:t>
            </w:r>
            <w:proofErr w:type="spellStart"/>
            <w:r>
              <w:rPr>
                <w:rFonts w:ascii="Tw Cen MT" w:hAnsi="Tw Cen MT"/>
                <w:i/>
                <w:iCs/>
                <w:sz w:val="20"/>
                <w:szCs w:val="20"/>
              </w:rPr>
              <w:t>für</w:t>
            </w:r>
            <w:proofErr w:type="spellEnd"/>
            <w:r>
              <w:rPr>
                <w:rFonts w:ascii="Tw Cen MT" w:hAnsi="Tw Cen MT"/>
                <w:i/>
                <w:iCs/>
                <w:sz w:val="20"/>
                <w:szCs w:val="20"/>
              </w:rPr>
              <w:t xml:space="preserve"> Internationale </w:t>
            </w:r>
            <w:proofErr w:type="spellStart"/>
            <w:r>
              <w:rPr>
                <w:rFonts w:ascii="Tw Cen MT" w:hAnsi="Tw Cen MT"/>
                <w:i/>
                <w:iCs/>
                <w:sz w:val="20"/>
                <w:szCs w:val="20"/>
              </w:rPr>
              <w:t>Zusammenarbeit</w:t>
            </w:r>
            <w:proofErr w:type="spellEnd"/>
            <w:r>
              <w:rPr>
                <w:rFonts w:ascii="Tw Cen MT" w:hAnsi="Tw Cen MT"/>
                <w:i/>
                <w:iCs/>
                <w:sz w:val="20"/>
                <w:szCs w:val="20"/>
              </w:rPr>
              <w:t xml:space="preserve"> </w:t>
            </w:r>
          </w:p>
        </w:tc>
      </w:tr>
      <w:tr w:rsidR="00B22363" w14:paraId="335BC728"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A758EF3" w14:textId="77777777" w:rsidR="00B22363" w:rsidRDefault="00B22363" w:rsidP="00B22363">
            <w:pPr>
              <w:spacing w:after="0"/>
              <w:jc w:val="left"/>
              <w:rPr>
                <w:rFonts w:ascii="Tw Cen MT" w:hAnsi="Tw Cen MT"/>
                <w:sz w:val="20"/>
                <w:szCs w:val="20"/>
              </w:rPr>
            </w:pPr>
            <w:r>
              <w:rPr>
                <w:rFonts w:ascii="Tw Cen MT" w:hAnsi="Tw Cen MT"/>
                <w:sz w:val="20"/>
                <w:szCs w:val="20"/>
              </w:rPr>
              <w:t>ICCF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AF9FC96" w14:textId="77777777" w:rsidR="00B22363" w:rsidRDefault="00B22363" w:rsidP="00B22363">
            <w:pPr>
              <w:spacing w:after="0"/>
              <w:jc w:val="left"/>
              <w:rPr>
                <w:rFonts w:ascii="Tw Cen MT" w:hAnsi="Tw Cen MT"/>
                <w:i/>
                <w:iCs/>
                <w:sz w:val="20"/>
                <w:szCs w:val="20"/>
              </w:rPr>
            </w:pPr>
            <w:proofErr w:type="spellStart"/>
            <w:r>
              <w:rPr>
                <w:rFonts w:ascii="Tw Cen MT" w:hAnsi="Tw Cen MT"/>
                <w:i/>
                <w:iCs/>
                <w:sz w:val="20"/>
                <w:szCs w:val="20"/>
              </w:rPr>
              <w:t>Interact</w:t>
            </w:r>
            <w:proofErr w:type="spellEnd"/>
            <w:r>
              <w:rPr>
                <w:rFonts w:ascii="Tw Cen MT" w:hAnsi="Tw Cen MT"/>
                <w:i/>
                <w:iCs/>
                <w:sz w:val="20"/>
                <w:szCs w:val="20"/>
              </w:rPr>
              <w:t xml:space="preserve"> </w:t>
            </w:r>
            <w:proofErr w:type="spellStart"/>
            <w:r>
              <w:rPr>
                <w:rFonts w:ascii="Tw Cen MT" w:hAnsi="Tw Cen MT"/>
                <w:i/>
                <w:iCs/>
                <w:sz w:val="20"/>
                <w:szCs w:val="20"/>
              </w:rPr>
              <w:t>Climate</w:t>
            </w:r>
            <w:proofErr w:type="spellEnd"/>
            <w:r>
              <w:rPr>
                <w:rFonts w:ascii="Tw Cen MT" w:hAnsi="Tw Cen MT"/>
                <w:i/>
                <w:iCs/>
                <w:sz w:val="20"/>
                <w:szCs w:val="20"/>
              </w:rPr>
              <w:t xml:space="preserve"> Change Facility </w:t>
            </w:r>
          </w:p>
        </w:tc>
      </w:tr>
      <w:tr w:rsidR="00B22363" w14:paraId="2C20C122"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2F41A01" w14:textId="77777777" w:rsidR="00B22363" w:rsidRDefault="00B22363" w:rsidP="00B22363">
            <w:pPr>
              <w:spacing w:after="0"/>
              <w:jc w:val="left"/>
              <w:rPr>
                <w:rFonts w:ascii="Tw Cen MT" w:hAnsi="Tw Cen MT"/>
                <w:sz w:val="20"/>
                <w:szCs w:val="20"/>
              </w:rPr>
            </w:pPr>
            <w:r>
              <w:rPr>
                <w:rFonts w:ascii="Tw Cen MT" w:hAnsi="Tw Cen MT"/>
                <w:sz w:val="20"/>
                <w:szCs w:val="20"/>
              </w:rPr>
              <w:t>ICF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9967559"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international pour le climat </w:t>
            </w:r>
          </w:p>
        </w:tc>
      </w:tr>
      <w:tr w:rsidR="00B22363" w14:paraId="12FDCCCD"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F9DFB1B" w14:textId="00383BFB" w:rsidR="00B22363" w:rsidRDefault="00307598" w:rsidP="00B22363">
            <w:pPr>
              <w:spacing w:after="0"/>
              <w:jc w:val="left"/>
              <w:rPr>
                <w:rFonts w:ascii="Tw Cen MT" w:hAnsi="Tw Cen MT"/>
                <w:sz w:val="20"/>
                <w:szCs w:val="20"/>
              </w:rPr>
            </w:pPr>
            <w:r>
              <w:rPr>
                <w:rFonts w:ascii="Tw Cen MT" w:hAnsi="Tw Cen MT"/>
                <w:sz w:val="20"/>
                <w:szCs w:val="20"/>
              </w:rPr>
              <w:t>I</w:t>
            </w:r>
            <w:r w:rsidR="00B22363">
              <w:rPr>
                <w:rFonts w:ascii="Tw Cen MT" w:hAnsi="Tw Cen MT"/>
                <w:sz w:val="20"/>
                <w:szCs w:val="20"/>
              </w:rPr>
              <w:t>E</w:t>
            </w:r>
            <w:r>
              <w:rPr>
                <w:rFonts w:ascii="Tw Cen MT" w:hAnsi="Tw Cen MT"/>
                <w:sz w:val="20"/>
                <w:szCs w:val="20"/>
              </w:rPr>
              <w:t>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AB73F21" w14:textId="47F4D2AF" w:rsidR="00B22363" w:rsidRDefault="00307598" w:rsidP="00B22363">
            <w:pPr>
              <w:spacing w:after="0"/>
              <w:jc w:val="left"/>
              <w:rPr>
                <w:rFonts w:ascii="Tw Cen MT" w:hAnsi="Tw Cen MT"/>
                <w:sz w:val="20"/>
                <w:szCs w:val="20"/>
              </w:rPr>
            </w:pPr>
            <w:r>
              <w:rPr>
                <w:rFonts w:ascii="Tw Cen MT" w:hAnsi="Tw Cen MT"/>
                <w:sz w:val="20"/>
                <w:szCs w:val="20"/>
              </w:rPr>
              <w:t>Investissements</w:t>
            </w:r>
            <w:r w:rsidR="00B22363">
              <w:rPr>
                <w:rFonts w:ascii="Tw Cen MT" w:hAnsi="Tw Cen MT"/>
                <w:sz w:val="20"/>
                <w:szCs w:val="20"/>
              </w:rPr>
              <w:t xml:space="preserve"> Etrangers </w:t>
            </w:r>
            <w:r>
              <w:rPr>
                <w:rFonts w:ascii="Tw Cen MT" w:hAnsi="Tw Cen MT"/>
                <w:sz w:val="20"/>
                <w:szCs w:val="20"/>
              </w:rPr>
              <w:t>Directs</w:t>
            </w:r>
          </w:p>
        </w:tc>
      </w:tr>
      <w:tr w:rsidR="00B22363" w14:paraId="15B096DA"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DA698F5" w14:textId="77777777" w:rsidR="00B22363" w:rsidRDefault="00B22363" w:rsidP="00B22363">
            <w:pPr>
              <w:spacing w:after="0"/>
              <w:jc w:val="left"/>
              <w:rPr>
                <w:rFonts w:ascii="Tw Cen MT" w:hAnsi="Tw Cen MT"/>
                <w:sz w:val="20"/>
                <w:szCs w:val="20"/>
              </w:rPr>
            </w:pPr>
            <w:r>
              <w:rPr>
                <w:rFonts w:ascii="Tw Cen MT" w:hAnsi="Tw Cen MT"/>
                <w:sz w:val="20"/>
                <w:szCs w:val="20"/>
              </w:rPr>
              <w:t>IFI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B46C997" w14:textId="77777777" w:rsidR="00B22363" w:rsidRDefault="00B22363" w:rsidP="00B22363">
            <w:pPr>
              <w:spacing w:after="0"/>
              <w:jc w:val="left"/>
              <w:rPr>
                <w:rFonts w:ascii="Tw Cen MT" w:hAnsi="Tw Cen MT"/>
                <w:sz w:val="20"/>
                <w:szCs w:val="20"/>
              </w:rPr>
            </w:pPr>
            <w:r>
              <w:rPr>
                <w:rFonts w:ascii="Tw Cen MT" w:hAnsi="Tw Cen MT"/>
                <w:sz w:val="20"/>
                <w:szCs w:val="20"/>
              </w:rPr>
              <w:t>Institution Financière Internationale</w:t>
            </w:r>
          </w:p>
        </w:tc>
      </w:tr>
      <w:tr w:rsidR="00B22363" w14:paraId="393598BB"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297D960" w14:textId="77777777" w:rsidR="00B22363" w:rsidRDefault="00B22363" w:rsidP="00B22363">
            <w:pPr>
              <w:spacing w:after="0"/>
              <w:jc w:val="left"/>
              <w:rPr>
                <w:rFonts w:ascii="Tw Cen MT" w:hAnsi="Tw Cen MT"/>
                <w:sz w:val="20"/>
                <w:szCs w:val="20"/>
              </w:rPr>
            </w:pPr>
            <w:r>
              <w:rPr>
                <w:rFonts w:ascii="Tw Cen MT" w:hAnsi="Tw Cen MT"/>
                <w:sz w:val="20"/>
                <w:szCs w:val="20"/>
              </w:rPr>
              <w:t>IKI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67B09DA"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Initiative Climat Internationale </w:t>
            </w:r>
          </w:p>
        </w:tc>
      </w:tr>
      <w:tr w:rsidR="00B22363" w14:paraId="7156105A"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8312209" w14:textId="77777777" w:rsidR="00B22363" w:rsidRDefault="00B22363" w:rsidP="00B22363">
            <w:pPr>
              <w:spacing w:after="0"/>
              <w:jc w:val="left"/>
              <w:rPr>
                <w:rFonts w:ascii="Tw Cen MT" w:hAnsi="Tw Cen MT"/>
                <w:sz w:val="20"/>
                <w:szCs w:val="20"/>
              </w:rPr>
            </w:pPr>
            <w:r>
              <w:rPr>
                <w:rFonts w:ascii="Tw Cen MT" w:hAnsi="Tw Cen MT"/>
                <w:sz w:val="20"/>
                <w:szCs w:val="20"/>
              </w:rPr>
              <w:t>INRSEN</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FF3A6E2"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Institut national de recherche sur les sciences exactes et naturelles </w:t>
            </w:r>
          </w:p>
        </w:tc>
      </w:tr>
      <w:tr w:rsidR="00B22363" w14:paraId="1A21E125"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DBE4E66" w14:textId="77777777" w:rsidR="00B22363" w:rsidRDefault="00B22363" w:rsidP="00B22363">
            <w:pPr>
              <w:spacing w:after="0"/>
              <w:jc w:val="left"/>
              <w:rPr>
                <w:rFonts w:ascii="Tw Cen MT" w:hAnsi="Tw Cen MT"/>
                <w:sz w:val="20"/>
                <w:szCs w:val="20"/>
              </w:rPr>
            </w:pPr>
            <w:r>
              <w:rPr>
                <w:rFonts w:ascii="Tw Cen MT" w:hAnsi="Tw Cen MT"/>
                <w:sz w:val="20"/>
                <w:szCs w:val="20"/>
              </w:rPr>
              <w:t>IRA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8D262B7"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Institut de recherche agronomique </w:t>
            </w:r>
          </w:p>
        </w:tc>
      </w:tr>
      <w:tr w:rsidR="00B22363" w14:paraId="2FF41F6F"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0C71A0A" w14:textId="77777777" w:rsidR="00B22363" w:rsidRDefault="00B22363" w:rsidP="00B22363">
            <w:pPr>
              <w:spacing w:after="0"/>
              <w:jc w:val="left"/>
              <w:rPr>
                <w:rFonts w:ascii="Tw Cen MT" w:hAnsi="Tw Cen MT"/>
                <w:sz w:val="20"/>
                <w:szCs w:val="20"/>
              </w:rPr>
            </w:pPr>
            <w:r>
              <w:rPr>
                <w:rFonts w:ascii="Tw Cen MT" w:hAnsi="Tw Cen MT"/>
                <w:sz w:val="20"/>
                <w:szCs w:val="20"/>
              </w:rPr>
              <w:t>ITIE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13EC40F"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Initiative pour la Transparence des Industries Extractives </w:t>
            </w:r>
          </w:p>
        </w:tc>
      </w:tr>
      <w:tr w:rsidR="00B22363" w14:paraId="6BE2D1F3"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366B0B4" w14:textId="77777777" w:rsidR="00B22363" w:rsidRDefault="00B22363" w:rsidP="00B22363">
            <w:pPr>
              <w:spacing w:after="0"/>
              <w:jc w:val="left"/>
              <w:rPr>
                <w:rFonts w:ascii="Tw Cen MT" w:hAnsi="Tw Cen MT"/>
                <w:sz w:val="20"/>
                <w:szCs w:val="20"/>
              </w:rPr>
            </w:pPr>
            <w:r>
              <w:rPr>
                <w:rFonts w:ascii="Tw Cen MT" w:hAnsi="Tw Cen MT"/>
                <w:sz w:val="20"/>
                <w:szCs w:val="20"/>
              </w:rPr>
              <w:t>JICA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595B8E3"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Agence Japonaise de Coopération Internationale </w:t>
            </w:r>
          </w:p>
        </w:tc>
      </w:tr>
      <w:tr w:rsidR="00B22363" w14:paraId="3B5435E4"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79D5049" w14:textId="77777777" w:rsidR="00B22363" w:rsidRDefault="00B22363" w:rsidP="00B22363">
            <w:pPr>
              <w:spacing w:after="0"/>
              <w:jc w:val="left"/>
              <w:rPr>
                <w:rFonts w:ascii="Tw Cen MT" w:hAnsi="Tw Cen MT"/>
                <w:sz w:val="20"/>
                <w:szCs w:val="20"/>
              </w:rPr>
            </w:pPr>
            <w:proofErr w:type="spellStart"/>
            <w:r>
              <w:rPr>
                <w:rFonts w:ascii="Tw Cen MT" w:hAnsi="Tw Cen MT"/>
                <w:sz w:val="20"/>
                <w:szCs w:val="20"/>
              </w:rPr>
              <w:t>KfW</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91DE7D8" w14:textId="77777777" w:rsidR="00B22363" w:rsidRDefault="00B22363" w:rsidP="00B22363">
            <w:pPr>
              <w:spacing w:after="0"/>
              <w:jc w:val="left"/>
              <w:rPr>
                <w:rFonts w:ascii="Tw Cen MT" w:hAnsi="Tw Cen MT"/>
                <w:i/>
                <w:iCs/>
                <w:sz w:val="20"/>
                <w:szCs w:val="20"/>
              </w:rPr>
            </w:pPr>
            <w:proofErr w:type="spellStart"/>
            <w:r>
              <w:rPr>
                <w:rFonts w:ascii="Tw Cen MT" w:hAnsi="Tw Cen MT"/>
                <w:i/>
                <w:iCs/>
                <w:sz w:val="20"/>
                <w:szCs w:val="20"/>
              </w:rPr>
              <w:t>Kreditanstalt</w:t>
            </w:r>
            <w:proofErr w:type="spellEnd"/>
            <w:r>
              <w:rPr>
                <w:rFonts w:ascii="Tw Cen MT" w:hAnsi="Tw Cen MT"/>
                <w:i/>
                <w:iCs/>
                <w:sz w:val="20"/>
                <w:szCs w:val="20"/>
              </w:rPr>
              <w:t xml:space="preserve"> </w:t>
            </w:r>
            <w:proofErr w:type="spellStart"/>
            <w:r>
              <w:rPr>
                <w:rFonts w:ascii="Tw Cen MT" w:hAnsi="Tw Cen MT"/>
                <w:i/>
                <w:iCs/>
                <w:sz w:val="20"/>
                <w:szCs w:val="20"/>
              </w:rPr>
              <w:t>für</w:t>
            </w:r>
            <w:proofErr w:type="spellEnd"/>
            <w:r>
              <w:rPr>
                <w:rFonts w:ascii="Tw Cen MT" w:hAnsi="Tw Cen MT"/>
                <w:i/>
                <w:iCs/>
                <w:sz w:val="20"/>
                <w:szCs w:val="20"/>
              </w:rPr>
              <w:t xml:space="preserve"> </w:t>
            </w:r>
            <w:proofErr w:type="spellStart"/>
            <w:r>
              <w:rPr>
                <w:rFonts w:ascii="Tw Cen MT" w:hAnsi="Tw Cen MT"/>
                <w:i/>
                <w:iCs/>
                <w:sz w:val="20"/>
                <w:szCs w:val="20"/>
              </w:rPr>
              <w:t>Wiederaufbau</w:t>
            </w:r>
            <w:proofErr w:type="spellEnd"/>
          </w:p>
        </w:tc>
      </w:tr>
      <w:tr w:rsidR="00B22363" w14:paraId="3A72566E"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8A43F4D" w14:textId="77777777" w:rsidR="00B22363" w:rsidRDefault="00B22363" w:rsidP="00B22363">
            <w:pPr>
              <w:spacing w:after="0"/>
              <w:jc w:val="left"/>
              <w:rPr>
                <w:rFonts w:ascii="Tw Cen MT" w:hAnsi="Tw Cen MT"/>
                <w:sz w:val="20"/>
                <w:szCs w:val="20"/>
              </w:rPr>
            </w:pPr>
            <w:r>
              <w:rPr>
                <w:rFonts w:ascii="Tw Cen MT" w:hAnsi="Tw Cen MT"/>
                <w:sz w:val="20"/>
                <w:szCs w:val="20"/>
              </w:rPr>
              <w:t>LDCF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01D2DC9"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pour les pays les moins avancés </w:t>
            </w:r>
          </w:p>
        </w:tc>
      </w:tr>
      <w:tr w:rsidR="00B22363" w14:paraId="5BDFD144"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F6A8EB4" w14:textId="77777777" w:rsidR="00B22363" w:rsidRDefault="00B22363" w:rsidP="00B22363">
            <w:pPr>
              <w:spacing w:after="0"/>
              <w:jc w:val="left"/>
              <w:rPr>
                <w:rFonts w:ascii="Tw Cen MT" w:hAnsi="Tw Cen MT"/>
                <w:sz w:val="20"/>
                <w:szCs w:val="20"/>
              </w:rPr>
            </w:pPr>
            <w:r>
              <w:rPr>
                <w:rFonts w:ascii="Tw Cen MT" w:hAnsi="Tw Cen MT"/>
                <w:sz w:val="20"/>
                <w:szCs w:val="20"/>
              </w:rPr>
              <w:t>MAE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5F179F0" w14:textId="77777777" w:rsidR="00B22363" w:rsidRDefault="00B22363" w:rsidP="00B22363">
            <w:pPr>
              <w:spacing w:after="0"/>
              <w:jc w:val="left"/>
              <w:rPr>
                <w:rFonts w:ascii="Tw Cen MT" w:hAnsi="Tw Cen MT"/>
                <w:sz w:val="20"/>
                <w:szCs w:val="20"/>
              </w:rPr>
            </w:pPr>
            <w:r>
              <w:rPr>
                <w:rFonts w:ascii="Tw Cen MT" w:hAnsi="Tw Cen MT"/>
                <w:sz w:val="20"/>
                <w:szCs w:val="20"/>
              </w:rPr>
              <w:t>Ministère de l'Agriculture et de l'Elevage</w:t>
            </w:r>
          </w:p>
        </w:tc>
      </w:tr>
      <w:tr w:rsidR="00B22363" w14:paraId="6EBD9026"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46BF8D1" w14:textId="77777777" w:rsidR="00B22363" w:rsidRDefault="00B22363" w:rsidP="00B22363">
            <w:pPr>
              <w:spacing w:after="0"/>
              <w:jc w:val="left"/>
              <w:rPr>
                <w:rFonts w:ascii="Tw Cen MT" w:hAnsi="Tw Cen MT"/>
                <w:sz w:val="20"/>
                <w:szCs w:val="20"/>
              </w:rPr>
            </w:pPr>
            <w:r>
              <w:rPr>
                <w:rFonts w:ascii="Tw Cen MT" w:hAnsi="Tw Cen MT"/>
                <w:sz w:val="20"/>
                <w:szCs w:val="20"/>
              </w:rPr>
              <w:t>MAE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D353EF9" w14:textId="77777777" w:rsidR="00B22363" w:rsidRDefault="00B22363" w:rsidP="00B22363">
            <w:pPr>
              <w:spacing w:after="0"/>
              <w:jc w:val="left"/>
              <w:rPr>
                <w:rFonts w:ascii="Tw Cen MT" w:hAnsi="Tw Cen MT"/>
                <w:sz w:val="20"/>
                <w:szCs w:val="20"/>
              </w:rPr>
            </w:pPr>
            <w:r>
              <w:rPr>
                <w:rFonts w:ascii="Tw Cen MT" w:hAnsi="Tw Cen MT"/>
                <w:sz w:val="20"/>
                <w:szCs w:val="20"/>
              </w:rPr>
              <w:t>Ministère des Affaires Etrangères</w:t>
            </w:r>
          </w:p>
        </w:tc>
      </w:tr>
      <w:tr w:rsidR="00B22363" w14:paraId="0961860C"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94FFCC2" w14:textId="77777777" w:rsidR="00B22363" w:rsidRDefault="00B22363" w:rsidP="00B22363">
            <w:pPr>
              <w:spacing w:after="0"/>
              <w:jc w:val="left"/>
              <w:rPr>
                <w:rFonts w:ascii="Tw Cen MT" w:hAnsi="Tw Cen MT"/>
                <w:sz w:val="20"/>
                <w:szCs w:val="20"/>
              </w:rPr>
            </w:pPr>
            <w:r>
              <w:rPr>
                <w:rFonts w:ascii="Tw Cen MT" w:hAnsi="Tw Cen MT"/>
                <w:sz w:val="20"/>
                <w:szCs w:val="20"/>
              </w:rPr>
              <w:t>MAECD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CA0A188"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Ministère des Affaires étrangères, Commerce et Développement </w:t>
            </w:r>
          </w:p>
        </w:tc>
      </w:tr>
      <w:tr w:rsidR="00B22363" w14:paraId="0B3A250E"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D603134" w14:textId="53FE502C" w:rsidR="00B22363" w:rsidRDefault="00B22363" w:rsidP="00B22363">
            <w:pPr>
              <w:spacing w:after="0"/>
              <w:jc w:val="left"/>
              <w:rPr>
                <w:rFonts w:ascii="Tw Cen MT" w:hAnsi="Tw Cen MT"/>
                <w:sz w:val="20"/>
                <w:szCs w:val="20"/>
              </w:rPr>
            </w:pPr>
            <w:r>
              <w:rPr>
                <w:rFonts w:ascii="Tw Cen MT" w:hAnsi="Tw Cen MT"/>
                <w:sz w:val="20"/>
                <w:szCs w:val="20"/>
              </w:rPr>
              <w:t>MEFDD</w:t>
            </w:r>
            <w:r w:rsidR="00A11D47">
              <w:rPr>
                <w:rFonts w:ascii="Tw Cen MT" w:hAnsi="Tw Cen MT"/>
                <w:sz w:val="20"/>
                <w:szCs w:val="20"/>
              </w:rPr>
              <w:t>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E4C9698" w14:textId="0320B9EC" w:rsidR="00B22363" w:rsidRDefault="00B22363" w:rsidP="00B22363">
            <w:pPr>
              <w:spacing w:after="0"/>
              <w:jc w:val="left"/>
              <w:rPr>
                <w:rFonts w:ascii="Tw Cen MT" w:hAnsi="Tw Cen MT"/>
                <w:sz w:val="20"/>
                <w:szCs w:val="20"/>
              </w:rPr>
            </w:pPr>
            <w:r>
              <w:rPr>
                <w:rFonts w:ascii="Tw Cen MT" w:hAnsi="Tw Cen MT"/>
                <w:sz w:val="20"/>
                <w:szCs w:val="20"/>
              </w:rPr>
              <w:t xml:space="preserve">Ministère de l’Economie Forestière et du Développement Durable </w:t>
            </w:r>
            <w:r w:rsidR="00A11D47">
              <w:rPr>
                <w:rFonts w:ascii="Tw Cen MT" w:hAnsi="Tw Cen MT"/>
                <w:sz w:val="20"/>
                <w:szCs w:val="20"/>
              </w:rPr>
              <w:t>et de l’Environnement</w:t>
            </w:r>
          </w:p>
        </w:tc>
      </w:tr>
      <w:tr w:rsidR="00B22363" w14:paraId="3A100901"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0AC49D9" w14:textId="77777777" w:rsidR="00B22363" w:rsidRDefault="00B22363" w:rsidP="00B22363">
            <w:pPr>
              <w:spacing w:after="0"/>
              <w:jc w:val="left"/>
              <w:rPr>
                <w:rFonts w:ascii="Tw Cen MT" w:hAnsi="Tw Cen MT"/>
                <w:sz w:val="20"/>
                <w:szCs w:val="20"/>
              </w:rPr>
            </w:pPr>
            <w:r>
              <w:rPr>
                <w:rFonts w:ascii="Tw Cen MT" w:hAnsi="Tw Cen MT"/>
                <w:sz w:val="20"/>
                <w:szCs w:val="20"/>
              </w:rPr>
              <w:t>MEH</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C99F9C6"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Ministère de l'Energie et de l'Hydraulique </w:t>
            </w:r>
          </w:p>
        </w:tc>
      </w:tr>
      <w:tr w:rsidR="00B22363" w14:paraId="41AFF9DD"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43650BF" w14:textId="77777777" w:rsidR="00B22363" w:rsidRDefault="00B22363" w:rsidP="00B22363">
            <w:pPr>
              <w:spacing w:after="0"/>
              <w:jc w:val="left"/>
              <w:rPr>
                <w:rFonts w:ascii="Tw Cen MT" w:hAnsi="Tw Cen MT"/>
                <w:sz w:val="20"/>
                <w:szCs w:val="20"/>
              </w:rPr>
            </w:pPr>
            <w:r>
              <w:rPr>
                <w:rFonts w:ascii="Tw Cen MT" w:hAnsi="Tw Cen MT"/>
                <w:sz w:val="20"/>
                <w:szCs w:val="20"/>
              </w:rPr>
              <w:t>MUCODEC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2C459A6"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Mutuelles congolaises d'épargne et de crédit </w:t>
            </w:r>
          </w:p>
        </w:tc>
      </w:tr>
      <w:tr w:rsidR="00B22363" w14:paraId="3CBAEE09"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71174D9" w14:textId="77777777" w:rsidR="00B22363" w:rsidRDefault="00B22363" w:rsidP="00B22363">
            <w:pPr>
              <w:spacing w:after="0"/>
              <w:jc w:val="left"/>
              <w:rPr>
                <w:rFonts w:ascii="Tw Cen MT" w:hAnsi="Tw Cen MT"/>
                <w:sz w:val="20"/>
                <w:szCs w:val="20"/>
              </w:rPr>
            </w:pPr>
            <w:r>
              <w:rPr>
                <w:rFonts w:ascii="Tw Cen MT" w:hAnsi="Tw Cen MT"/>
                <w:sz w:val="20"/>
                <w:szCs w:val="20"/>
              </w:rPr>
              <w:t>NAMA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3BC5FFB"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Mesures d'atténuation appropriées à l'échelle nationale </w:t>
            </w:r>
          </w:p>
        </w:tc>
      </w:tr>
      <w:tr w:rsidR="00B22363" w14:paraId="6468AD46"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A4A9E8B" w14:textId="77777777" w:rsidR="00B22363" w:rsidRDefault="00B22363" w:rsidP="00B22363">
            <w:pPr>
              <w:spacing w:after="0"/>
              <w:jc w:val="left"/>
              <w:rPr>
                <w:rFonts w:ascii="Tw Cen MT" w:hAnsi="Tw Cen MT"/>
                <w:sz w:val="20"/>
                <w:szCs w:val="20"/>
              </w:rPr>
            </w:pPr>
            <w:r>
              <w:rPr>
                <w:rFonts w:ascii="Tw Cen MT" w:hAnsi="Tw Cen MT"/>
                <w:sz w:val="20"/>
                <w:szCs w:val="20"/>
              </w:rPr>
              <w:t>NICFI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BB11B14"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Initiative Forêt Climat Internationale </w:t>
            </w:r>
          </w:p>
        </w:tc>
      </w:tr>
      <w:tr w:rsidR="00B22363" w14:paraId="45603A1E"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ECC3C8F" w14:textId="77777777" w:rsidR="00B22363" w:rsidRDefault="00B22363" w:rsidP="00B22363">
            <w:pPr>
              <w:spacing w:after="0"/>
              <w:jc w:val="left"/>
              <w:rPr>
                <w:rFonts w:ascii="Tw Cen MT" w:hAnsi="Tw Cen MT"/>
                <w:sz w:val="20"/>
                <w:szCs w:val="20"/>
              </w:rPr>
            </w:pPr>
            <w:r>
              <w:rPr>
                <w:rFonts w:ascii="Tw Cen MT" w:hAnsi="Tw Cen MT"/>
                <w:sz w:val="20"/>
                <w:szCs w:val="20"/>
              </w:rPr>
              <w:t>NORAD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C3C0388"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Agence norvégienne pour le développement international </w:t>
            </w:r>
          </w:p>
        </w:tc>
      </w:tr>
      <w:tr w:rsidR="00B22363" w14:paraId="09402D8B"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7A27634" w14:textId="77777777" w:rsidR="00B22363" w:rsidRDefault="00B22363" w:rsidP="00B22363">
            <w:pPr>
              <w:spacing w:after="0"/>
              <w:jc w:val="left"/>
              <w:rPr>
                <w:rFonts w:ascii="Tw Cen MT" w:hAnsi="Tw Cen MT"/>
                <w:sz w:val="20"/>
                <w:szCs w:val="20"/>
              </w:rPr>
            </w:pPr>
            <w:proofErr w:type="spellStart"/>
            <w:r>
              <w:rPr>
                <w:rFonts w:ascii="Tw Cen MT" w:hAnsi="Tw Cen MT"/>
                <w:sz w:val="20"/>
                <w:szCs w:val="20"/>
              </w:rPr>
              <w:t>NorFund</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E9D728B"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d’investissement Norvégien pour les pays en développement </w:t>
            </w:r>
          </w:p>
        </w:tc>
      </w:tr>
      <w:tr w:rsidR="00B22363" w14:paraId="53AF8EA9"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E1FE850" w14:textId="77777777" w:rsidR="00B22363" w:rsidRDefault="00B22363" w:rsidP="00B22363">
            <w:pPr>
              <w:spacing w:after="0"/>
              <w:jc w:val="left"/>
              <w:rPr>
                <w:rFonts w:ascii="Tw Cen MT" w:hAnsi="Tw Cen MT"/>
                <w:sz w:val="20"/>
                <w:szCs w:val="20"/>
              </w:rPr>
            </w:pPr>
            <w:r>
              <w:rPr>
                <w:rFonts w:ascii="Tw Cen MT" w:hAnsi="Tw Cen MT"/>
                <w:sz w:val="20"/>
                <w:szCs w:val="20"/>
              </w:rPr>
              <w:t>OCDE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9203575" w14:textId="77777777" w:rsidR="00B22363" w:rsidRDefault="00B22363" w:rsidP="00B22363">
            <w:pPr>
              <w:spacing w:after="0"/>
              <w:jc w:val="left"/>
              <w:rPr>
                <w:rFonts w:ascii="Tw Cen MT" w:hAnsi="Tw Cen MT"/>
                <w:sz w:val="20"/>
                <w:szCs w:val="20"/>
              </w:rPr>
            </w:pPr>
            <w:r>
              <w:rPr>
                <w:rFonts w:ascii="Tw Cen MT" w:hAnsi="Tw Cen MT"/>
                <w:sz w:val="20"/>
                <w:szCs w:val="20"/>
              </w:rPr>
              <w:t>Organisation de Coopération et de Développement Economique</w:t>
            </w:r>
          </w:p>
        </w:tc>
      </w:tr>
      <w:tr w:rsidR="00B22363" w14:paraId="6379B45B"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100DC56" w14:textId="77777777" w:rsidR="00B22363" w:rsidRDefault="00B22363" w:rsidP="00B22363">
            <w:pPr>
              <w:spacing w:after="0"/>
              <w:jc w:val="left"/>
              <w:rPr>
                <w:rFonts w:ascii="Tw Cen MT" w:hAnsi="Tw Cen MT"/>
                <w:sz w:val="20"/>
                <w:szCs w:val="20"/>
              </w:rPr>
            </w:pPr>
            <w:r>
              <w:rPr>
                <w:rFonts w:ascii="Tw Cen MT" w:hAnsi="Tw Cen MT"/>
                <w:sz w:val="20"/>
                <w:szCs w:val="20"/>
              </w:rPr>
              <w:t>ONG</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9119B24" w14:textId="77777777" w:rsidR="00B22363" w:rsidRDefault="00B22363" w:rsidP="00B22363">
            <w:pPr>
              <w:spacing w:after="0"/>
              <w:jc w:val="left"/>
              <w:rPr>
                <w:rFonts w:ascii="Tw Cen MT" w:hAnsi="Tw Cen MT"/>
                <w:sz w:val="20"/>
                <w:szCs w:val="20"/>
              </w:rPr>
            </w:pPr>
            <w:r>
              <w:rPr>
                <w:rFonts w:ascii="Tw Cen MT" w:hAnsi="Tw Cen MT"/>
                <w:sz w:val="20"/>
                <w:szCs w:val="20"/>
              </w:rPr>
              <w:t>Organisation Non Gouvernementale</w:t>
            </w:r>
          </w:p>
        </w:tc>
      </w:tr>
      <w:tr w:rsidR="00B22363" w14:paraId="570A5135"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F08DFB3" w14:textId="77777777" w:rsidR="00B22363" w:rsidRDefault="00B22363" w:rsidP="00B22363">
            <w:pPr>
              <w:spacing w:after="0"/>
              <w:jc w:val="left"/>
              <w:rPr>
                <w:rFonts w:ascii="Tw Cen MT" w:hAnsi="Tw Cen MT"/>
                <w:sz w:val="20"/>
                <w:szCs w:val="20"/>
              </w:rPr>
            </w:pPr>
            <w:r>
              <w:rPr>
                <w:rFonts w:ascii="Tw Cen MT" w:hAnsi="Tw Cen MT"/>
                <w:sz w:val="20"/>
                <w:szCs w:val="20"/>
              </w:rPr>
              <w:t>ONU</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27AAB4C"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Organisation des Nations-Unies </w:t>
            </w:r>
          </w:p>
        </w:tc>
      </w:tr>
      <w:tr w:rsidR="00B22363" w14:paraId="49ACE36E"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1DA4CD9" w14:textId="77777777" w:rsidR="00B22363" w:rsidRDefault="00B22363" w:rsidP="00B22363">
            <w:pPr>
              <w:spacing w:after="0"/>
              <w:jc w:val="left"/>
              <w:rPr>
                <w:rFonts w:ascii="Tw Cen MT" w:hAnsi="Tw Cen MT"/>
                <w:sz w:val="20"/>
                <w:szCs w:val="20"/>
              </w:rPr>
            </w:pPr>
            <w:r>
              <w:rPr>
                <w:rFonts w:ascii="Tw Cen MT" w:hAnsi="Tw Cen MT"/>
                <w:sz w:val="20"/>
                <w:szCs w:val="20"/>
              </w:rPr>
              <w:t>OPEP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EC2FE91"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Organisation des pays exportateurs de pétrole </w:t>
            </w:r>
          </w:p>
        </w:tc>
      </w:tr>
      <w:tr w:rsidR="00B22363" w14:paraId="0116BC18"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89DDC64" w14:textId="77777777" w:rsidR="00B22363" w:rsidRDefault="00B22363" w:rsidP="00B22363">
            <w:pPr>
              <w:spacing w:after="0"/>
              <w:jc w:val="left"/>
              <w:rPr>
                <w:rFonts w:ascii="Tw Cen MT" w:hAnsi="Tw Cen MT"/>
                <w:sz w:val="20"/>
                <w:szCs w:val="20"/>
              </w:rPr>
            </w:pPr>
            <w:r>
              <w:rPr>
                <w:rFonts w:ascii="Tw Cen MT" w:hAnsi="Tw Cen MT"/>
                <w:sz w:val="20"/>
                <w:szCs w:val="20"/>
              </w:rPr>
              <w:t>OPIC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B1C8B3F"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Société de promotion des investissements privés à l’étranger </w:t>
            </w:r>
          </w:p>
        </w:tc>
      </w:tr>
      <w:tr w:rsidR="00B22363" w14:paraId="4D4582CB"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03A8DC7" w14:textId="77777777" w:rsidR="00B22363" w:rsidRDefault="00B22363" w:rsidP="00B22363">
            <w:pPr>
              <w:spacing w:after="0"/>
              <w:jc w:val="left"/>
              <w:rPr>
                <w:rFonts w:ascii="Tw Cen MT" w:hAnsi="Tw Cen MT"/>
                <w:sz w:val="20"/>
                <w:szCs w:val="20"/>
              </w:rPr>
            </w:pPr>
            <w:r>
              <w:rPr>
                <w:rFonts w:ascii="Tw Cen MT" w:hAnsi="Tw Cen MT"/>
                <w:sz w:val="20"/>
                <w:szCs w:val="20"/>
              </w:rPr>
              <w:t>PADE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15DF9D0"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Programme d’Appui à la Diversification de l’Economie </w:t>
            </w:r>
          </w:p>
        </w:tc>
      </w:tr>
      <w:tr w:rsidR="00B22363" w14:paraId="48712E65"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EB7849A" w14:textId="77777777" w:rsidR="00B22363" w:rsidRDefault="00B22363" w:rsidP="00B22363">
            <w:pPr>
              <w:spacing w:after="0"/>
              <w:jc w:val="left"/>
              <w:rPr>
                <w:rFonts w:ascii="Tw Cen MT" w:hAnsi="Tw Cen MT"/>
                <w:sz w:val="20"/>
                <w:szCs w:val="20"/>
              </w:rPr>
            </w:pPr>
            <w:r>
              <w:rPr>
                <w:rFonts w:ascii="Tw Cen MT" w:hAnsi="Tw Cen MT"/>
                <w:sz w:val="20"/>
                <w:szCs w:val="20"/>
              </w:rPr>
              <w:t>PAGEF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167067F" w14:textId="77777777" w:rsidR="00B22363" w:rsidRDefault="00B22363" w:rsidP="00B22363">
            <w:pPr>
              <w:spacing w:after="0"/>
              <w:jc w:val="left"/>
              <w:rPr>
                <w:rFonts w:ascii="Tw Cen MT" w:hAnsi="Tw Cen MT"/>
                <w:sz w:val="20"/>
                <w:szCs w:val="20"/>
              </w:rPr>
            </w:pPr>
            <w:r>
              <w:rPr>
                <w:rFonts w:ascii="Tw Cen MT" w:hAnsi="Tw Cen MT"/>
                <w:sz w:val="20"/>
                <w:szCs w:val="20"/>
              </w:rPr>
              <w:t>projet d’appui à la gestion durable des forêts</w:t>
            </w:r>
          </w:p>
        </w:tc>
      </w:tr>
      <w:tr w:rsidR="00B22363" w14:paraId="32F30DCF"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90DC6FD" w14:textId="77777777" w:rsidR="00B22363" w:rsidRDefault="00B22363" w:rsidP="00B22363">
            <w:pPr>
              <w:spacing w:after="0"/>
              <w:jc w:val="left"/>
              <w:rPr>
                <w:rFonts w:ascii="Tw Cen MT" w:hAnsi="Tw Cen MT"/>
                <w:sz w:val="20"/>
                <w:szCs w:val="20"/>
              </w:rPr>
            </w:pPr>
            <w:r>
              <w:rPr>
                <w:rFonts w:ascii="Tw Cen MT" w:hAnsi="Tw Cen MT"/>
                <w:sz w:val="20"/>
                <w:szCs w:val="20"/>
              </w:rPr>
              <w:t>PDRAP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09799C5" w14:textId="77777777" w:rsidR="00B22363" w:rsidRDefault="00B22363" w:rsidP="00B22363">
            <w:pPr>
              <w:spacing w:after="0"/>
              <w:jc w:val="left"/>
              <w:rPr>
                <w:rFonts w:ascii="Tw Cen MT" w:hAnsi="Tw Cen MT"/>
                <w:sz w:val="20"/>
                <w:szCs w:val="20"/>
              </w:rPr>
            </w:pPr>
            <w:r>
              <w:rPr>
                <w:rFonts w:ascii="Tw Cen MT" w:hAnsi="Tw Cen MT"/>
                <w:sz w:val="20"/>
                <w:szCs w:val="20"/>
              </w:rPr>
              <w:t>Programme de Développement Agricole et Réhabilitation des Pistes Rurales</w:t>
            </w:r>
          </w:p>
        </w:tc>
      </w:tr>
      <w:tr w:rsidR="00B22363" w14:paraId="53A3765E"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1657F9D" w14:textId="77777777" w:rsidR="00B22363" w:rsidRDefault="00B22363" w:rsidP="00B22363">
            <w:pPr>
              <w:spacing w:after="0"/>
              <w:jc w:val="left"/>
              <w:rPr>
                <w:rFonts w:ascii="Tw Cen MT" w:hAnsi="Tw Cen MT"/>
                <w:sz w:val="20"/>
                <w:szCs w:val="20"/>
              </w:rPr>
            </w:pPr>
            <w:r>
              <w:rPr>
                <w:rFonts w:ascii="Tw Cen MT" w:hAnsi="Tw Cen MT"/>
                <w:sz w:val="20"/>
                <w:szCs w:val="20"/>
              </w:rPr>
              <w:t>PED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DDD7378" w14:textId="77777777" w:rsidR="00B22363" w:rsidRDefault="00B22363" w:rsidP="00B22363">
            <w:pPr>
              <w:spacing w:after="0"/>
              <w:jc w:val="left"/>
              <w:rPr>
                <w:rFonts w:ascii="Tw Cen MT" w:hAnsi="Tw Cen MT"/>
                <w:sz w:val="20"/>
                <w:szCs w:val="20"/>
              </w:rPr>
            </w:pPr>
            <w:r>
              <w:rPr>
                <w:rFonts w:ascii="Tw Cen MT" w:hAnsi="Tw Cen MT"/>
                <w:sz w:val="20"/>
                <w:szCs w:val="20"/>
              </w:rPr>
              <w:t>Pays en voie de Développement</w:t>
            </w:r>
          </w:p>
        </w:tc>
      </w:tr>
      <w:tr w:rsidR="00B22363" w14:paraId="62A3DAC3"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100E1B2" w14:textId="77777777" w:rsidR="00B22363" w:rsidRDefault="00B22363" w:rsidP="00B22363">
            <w:pPr>
              <w:spacing w:after="0"/>
              <w:jc w:val="left"/>
              <w:rPr>
                <w:rFonts w:ascii="Tw Cen MT" w:hAnsi="Tw Cen MT"/>
                <w:sz w:val="20"/>
                <w:szCs w:val="20"/>
              </w:rPr>
            </w:pPr>
            <w:r>
              <w:rPr>
                <w:rFonts w:ascii="Tw Cen MT" w:hAnsi="Tw Cen MT"/>
                <w:sz w:val="20"/>
                <w:szCs w:val="20"/>
              </w:rPr>
              <w:t>PEID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9DF3291"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Petits Etats Insulaires en Développement </w:t>
            </w:r>
          </w:p>
        </w:tc>
      </w:tr>
      <w:tr w:rsidR="00B22363" w14:paraId="4265309F"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30C4EDF" w14:textId="77777777" w:rsidR="00B22363" w:rsidRDefault="00B22363" w:rsidP="00B22363">
            <w:pPr>
              <w:spacing w:after="0"/>
              <w:jc w:val="left"/>
              <w:rPr>
                <w:rFonts w:ascii="Tw Cen MT" w:hAnsi="Tw Cen MT"/>
                <w:sz w:val="20"/>
                <w:szCs w:val="20"/>
              </w:rPr>
            </w:pPr>
            <w:r>
              <w:rPr>
                <w:rFonts w:ascii="Tw Cen MT" w:hAnsi="Tw Cen MT"/>
                <w:sz w:val="20"/>
                <w:szCs w:val="20"/>
              </w:rPr>
              <w:t>PFBC</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A3A874B"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Partenariat pour les Forêts du Bassin du Congo </w:t>
            </w:r>
          </w:p>
        </w:tc>
      </w:tr>
      <w:tr w:rsidR="00B22363" w14:paraId="44BEDD5E"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F071E93" w14:textId="77777777" w:rsidR="00B22363" w:rsidRDefault="00B22363" w:rsidP="00B22363">
            <w:pPr>
              <w:spacing w:after="0"/>
              <w:jc w:val="left"/>
              <w:rPr>
                <w:rFonts w:ascii="Tw Cen MT" w:hAnsi="Tw Cen MT"/>
                <w:sz w:val="20"/>
                <w:szCs w:val="20"/>
              </w:rPr>
            </w:pPr>
            <w:r>
              <w:rPr>
                <w:rFonts w:ascii="Tw Cen MT" w:hAnsi="Tw Cen MT"/>
                <w:sz w:val="20"/>
                <w:szCs w:val="20"/>
              </w:rPr>
              <w:t>PFDE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F2CCCF0" w14:textId="77777777" w:rsidR="00B22363" w:rsidRDefault="00B22363" w:rsidP="00B22363">
            <w:pPr>
              <w:spacing w:after="0"/>
              <w:jc w:val="left"/>
              <w:rPr>
                <w:rFonts w:ascii="Tw Cen MT" w:hAnsi="Tw Cen MT"/>
                <w:sz w:val="20"/>
                <w:szCs w:val="20"/>
              </w:rPr>
            </w:pPr>
            <w:r>
              <w:rPr>
                <w:rFonts w:ascii="Tw Cen MT" w:hAnsi="Tw Cen MT"/>
                <w:sz w:val="20"/>
                <w:szCs w:val="20"/>
              </w:rPr>
              <w:t>Projet Forêt et Diversification Economique</w:t>
            </w:r>
          </w:p>
        </w:tc>
      </w:tr>
      <w:tr w:rsidR="00B22363" w14:paraId="568CDA5C"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93F323E" w14:textId="77777777" w:rsidR="00B22363" w:rsidRDefault="00B22363" w:rsidP="00B22363">
            <w:pPr>
              <w:spacing w:after="0"/>
              <w:jc w:val="left"/>
              <w:rPr>
                <w:rFonts w:ascii="Tw Cen MT" w:hAnsi="Tw Cen MT"/>
                <w:sz w:val="20"/>
                <w:szCs w:val="20"/>
              </w:rPr>
            </w:pPr>
            <w:r>
              <w:rPr>
                <w:rFonts w:ascii="Tw Cen MT" w:hAnsi="Tw Cen MT"/>
                <w:sz w:val="20"/>
                <w:szCs w:val="20"/>
              </w:rPr>
              <w:t>PFNL</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8775F39" w14:textId="77777777" w:rsidR="00B22363" w:rsidRDefault="00B22363" w:rsidP="00B22363">
            <w:pPr>
              <w:spacing w:after="0"/>
              <w:jc w:val="left"/>
              <w:rPr>
                <w:rFonts w:ascii="Tw Cen MT" w:hAnsi="Tw Cen MT"/>
                <w:sz w:val="20"/>
                <w:szCs w:val="20"/>
              </w:rPr>
            </w:pPr>
            <w:r>
              <w:rPr>
                <w:rFonts w:ascii="Tw Cen MT" w:hAnsi="Tw Cen MT"/>
                <w:sz w:val="20"/>
                <w:szCs w:val="20"/>
              </w:rPr>
              <w:t>Produits Forestiers Non ligneux</w:t>
            </w:r>
          </w:p>
        </w:tc>
      </w:tr>
      <w:tr w:rsidR="00B22363" w14:paraId="3FBFFDB9"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4A1CE4A" w14:textId="77777777" w:rsidR="00B22363" w:rsidRDefault="00B22363" w:rsidP="00B22363">
            <w:pPr>
              <w:spacing w:after="0"/>
              <w:jc w:val="left"/>
              <w:rPr>
                <w:rFonts w:ascii="Tw Cen MT" w:hAnsi="Tw Cen MT"/>
                <w:sz w:val="20"/>
                <w:szCs w:val="20"/>
              </w:rPr>
            </w:pPr>
            <w:r>
              <w:rPr>
                <w:rFonts w:ascii="Tw Cen MT" w:hAnsi="Tw Cen MT"/>
                <w:sz w:val="20"/>
                <w:szCs w:val="20"/>
              </w:rPr>
              <w:t>PIB</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E73E909" w14:textId="77777777" w:rsidR="00B22363" w:rsidRDefault="00B22363" w:rsidP="00B22363">
            <w:pPr>
              <w:spacing w:after="0"/>
              <w:jc w:val="left"/>
              <w:rPr>
                <w:rFonts w:ascii="Tw Cen MT" w:hAnsi="Tw Cen MT"/>
                <w:sz w:val="20"/>
                <w:szCs w:val="20"/>
              </w:rPr>
            </w:pPr>
            <w:r>
              <w:rPr>
                <w:rFonts w:ascii="Tw Cen MT" w:hAnsi="Tw Cen MT"/>
                <w:sz w:val="20"/>
                <w:szCs w:val="20"/>
              </w:rPr>
              <w:t>Produit Intérieur Brut</w:t>
            </w:r>
          </w:p>
        </w:tc>
      </w:tr>
      <w:tr w:rsidR="00B22363" w14:paraId="4AC203D3"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3757AFF" w14:textId="77777777" w:rsidR="00B22363" w:rsidRDefault="00B22363" w:rsidP="00B22363">
            <w:pPr>
              <w:spacing w:after="0"/>
              <w:jc w:val="left"/>
              <w:rPr>
                <w:rFonts w:ascii="Tw Cen MT" w:hAnsi="Tw Cen MT"/>
                <w:sz w:val="20"/>
                <w:szCs w:val="20"/>
              </w:rPr>
            </w:pPr>
            <w:r>
              <w:rPr>
                <w:rFonts w:ascii="Tw Cen MT" w:hAnsi="Tw Cen MT"/>
                <w:sz w:val="20"/>
                <w:szCs w:val="20"/>
              </w:rPr>
              <w:t>PID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CFC6BD8"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Provision pour Investissements Diversifiés </w:t>
            </w:r>
          </w:p>
        </w:tc>
      </w:tr>
      <w:tr w:rsidR="00B22363" w14:paraId="7EC8F36C"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019A500" w14:textId="77777777" w:rsidR="00B22363" w:rsidRDefault="00B22363" w:rsidP="00B22363">
            <w:pPr>
              <w:spacing w:after="0"/>
              <w:jc w:val="left"/>
              <w:rPr>
                <w:rFonts w:ascii="Tw Cen MT" w:hAnsi="Tw Cen MT"/>
                <w:sz w:val="20"/>
                <w:szCs w:val="20"/>
              </w:rPr>
            </w:pPr>
            <w:r>
              <w:rPr>
                <w:rFonts w:ascii="Tw Cen MT" w:hAnsi="Tw Cen MT"/>
                <w:sz w:val="20"/>
                <w:szCs w:val="20"/>
              </w:rPr>
              <w:lastRenderedPageBreak/>
              <w:t>PMA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2DBA154"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Pays les Moins Avancés </w:t>
            </w:r>
          </w:p>
        </w:tc>
      </w:tr>
      <w:tr w:rsidR="00B22363" w14:paraId="3AB236BF"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E2F6340" w14:textId="77777777" w:rsidR="00B22363" w:rsidRDefault="00B22363" w:rsidP="00B22363">
            <w:pPr>
              <w:spacing w:after="0"/>
              <w:jc w:val="left"/>
              <w:rPr>
                <w:rFonts w:ascii="Tw Cen MT" w:hAnsi="Tw Cen MT"/>
                <w:sz w:val="20"/>
                <w:szCs w:val="20"/>
              </w:rPr>
            </w:pPr>
            <w:r>
              <w:rPr>
                <w:rFonts w:ascii="Tw Cen MT" w:hAnsi="Tw Cen MT"/>
                <w:sz w:val="20"/>
                <w:szCs w:val="20"/>
              </w:rPr>
              <w:t>PME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AFF998A"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Petites et Moyennes Entreprises </w:t>
            </w:r>
          </w:p>
        </w:tc>
      </w:tr>
      <w:tr w:rsidR="00B22363" w14:paraId="0C57841C"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1EB21B7"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PNAT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4794BA4"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Plan National d’Affectation des Terres </w:t>
            </w:r>
          </w:p>
        </w:tc>
      </w:tr>
      <w:tr w:rsidR="00B22363" w14:paraId="4467A49A"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473DC20" w14:textId="77777777" w:rsidR="00B22363" w:rsidRDefault="00B22363" w:rsidP="00B22363">
            <w:pPr>
              <w:spacing w:after="0"/>
              <w:jc w:val="left"/>
              <w:rPr>
                <w:rFonts w:ascii="Tw Cen MT" w:hAnsi="Tw Cen MT"/>
                <w:sz w:val="20"/>
                <w:szCs w:val="20"/>
              </w:rPr>
            </w:pPr>
            <w:r>
              <w:rPr>
                <w:rFonts w:ascii="Tw Cen MT" w:hAnsi="Tw Cen MT"/>
                <w:sz w:val="20"/>
                <w:szCs w:val="20"/>
              </w:rPr>
              <w:t>PND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BD062B6" w14:textId="77777777" w:rsidR="00B22363" w:rsidRDefault="00B22363" w:rsidP="00B22363">
            <w:pPr>
              <w:spacing w:after="0"/>
              <w:jc w:val="left"/>
              <w:rPr>
                <w:rFonts w:ascii="Tw Cen MT" w:hAnsi="Tw Cen MT"/>
                <w:sz w:val="20"/>
                <w:szCs w:val="20"/>
              </w:rPr>
            </w:pPr>
            <w:r>
              <w:rPr>
                <w:rFonts w:ascii="Tw Cen MT" w:hAnsi="Tw Cen MT"/>
                <w:sz w:val="20"/>
                <w:szCs w:val="20"/>
              </w:rPr>
              <w:t>Plan National de Développement</w:t>
            </w:r>
          </w:p>
        </w:tc>
      </w:tr>
      <w:tr w:rsidR="00B22363" w14:paraId="4A74FB99"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7228288" w14:textId="77777777" w:rsidR="00B22363" w:rsidRDefault="00B22363" w:rsidP="00B22363">
            <w:pPr>
              <w:spacing w:after="0"/>
              <w:jc w:val="left"/>
              <w:rPr>
                <w:rFonts w:ascii="Tw Cen MT" w:hAnsi="Tw Cen MT"/>
                <w:sz w:val="20"/>
                <w:szCs w:val="20"/>
              </w:rPr>
            </w:pPr>
            <w:r>
              <w:rPr>
                <w:rFonts w:ascii="Tw Cen MT" w:hAnsi="Tw Cen MT"/>
                <w:sz w:val="20"/>
                <w:szCs w:val="20"/>
              </w:rPr>
              <w:t>PNUD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1F68C65" w14:textId="77777777" w:rsidR="00B22363" w:rsidRDefault="00B22363" w:rsidP="00B22363">
            <w:pPr>
              <w:spacing w:after="0"/>
              <w:jc w:val="left"/>
              <w:rPr>
                <w:rFonts w:ascii="Tw Cen MT" w:hAnsi="Tw Cen MT"/>
                <w:sz w:val="20"/>
                <w:szCs w:val="20"/>
              </w:rPr>
            </w:pPr>
            <w:r>
              <w:rPr>
                <w:rFonts w:ascii="Tw Cen MT" w:hAnsi="Tw Cen MT"/>
                <w:sz w:val="20"/>
                <w:szCs w:val="20"/>
              </w:rPr>
              <w:t>Programme des Nations-</w:t>
            </w:r>
            <w:proofErr w:type="spellStart"/>
            <w:r>
              <w:rPr>
                <w:rFonts w:ascii="Tw Cen MT" w:hAnsi="Tw Cen MT"/>
                <w:sz w:val="20"/>
                <w:szCs w:val="20"/>
              </w:rPr>
              <w:t>Inies</w:t>
            </w:r>
            <w:proofErr w:type="spellEnd"/>
            <w:r>
              <w:rPr>
                <w:rFonts w:ascii="Tw Cen MT" w:hAnsi="Tw Cen MT"/>
                <w:sz w:val="20"/>
                <w:szCs w:val="20"/>
              </w:rPr>
              <w:t xml:space="preserve"> pour le Développement</w:t>
            </w:r>
          </w:p>
        </w:tc>
      </w:tr>
      <w:tr w:rsidR="00B22363" w14:paraId="733A5526"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4E4EE8F" w14:textId="77777777" w:rsidR="00B22363" w:rsidRDefault="00B22363" w:rsidP="00B22363">
            <w:pPr>
              <w:spacing w:after="0"/>
              <w:jc w:val="left"/>
              <w:rPr>
                <w:rFonts w:ascii="Tw Cen MT" w:hAnsi="Tw Cen MT"/>
                <w:sz w:val="20"/>
                <w:szCs w:val="20"/>
              </w:rPr>
            </w:pPr>
            <w:r>
              <w:rPr>
                <w:rFonts w:ascii="Tw Cen MT" w:hAnsi="Tw Cen MT"/>
                <w:sz w:val="20"/>
                <w:szCs w:val="20"/>
              </w:rPr>
              <w:t>PNUE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DA08C7C" w14:textId="77777777" w:rsidR="00B22363" w:rsidRDefault="00B22363" w:rsidP="00B22363">
            <w:pPr>
              <w:spacing w:after="0"/>
              <w:jc w:val="left"/>
              <w:rPr>
                <w:rFonts w:ascii="Tw Cen MT" w:hAnsi="Tw Cen MT"/>
                <w:sz w:val="20"/>
                <w:szCs w:val="20"/>
              </w:rPr>
            </w:pPr>
            <w:r>
              <w:rPr>
                <w:rFonts w:ascii="Tw Cen MT" w:hAnsi="Tw Cen MT"/>
                <w:sz w:val="20"/>
                <w:szCs w:val="20"/>
              </w:rPr>
              <w:t>Programme des Nations-</w:t>
            </w:r>
            <w:proofErr w:type="spellStart"/>
            <w:r>
              <w:rPr>
                <w:rFonts w:ascii="Tw Cen MT" w:hAnsi="Tw Cen MT"/>
                <w:sz w:val="20"/>
                <w:szCs w:val="20"/>
              </w:rPr>
              <w:t>Inies</w:t>
            </w:r>
            <w:proofErr w:type="spellEnd"/>
            <w:r>
              <w:rPr>
                <w:rFonts w:ascii="Tw Cen MT" w:hAnsi="Tw Cen MT"/>
                <w:sz w:val="20"/>
                <w:szCs w:val="20"/>
              </w:rPr>
              <w:t xml:space="preserve"> pour l'Environnement</w:t>
            </w:r>
          </w:p>
        </w:tc>
      </w:tr>
      <w:tr w:rsidR="00B22363" w14:paraId="41C4D5AF"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FE1866C" w14:textId="77777777" w:rsidR="00B22363" w:rsidRDefault="00B22363" w:rsidP="00B22363">
            <w:pPr>
              <w:spacing w:after="0"/>
              <w:jc w:val="left"/>
              <w:rPr>
                <w:rFonts w:ascii="Tw Cen MT" w:hAnsi="Tw Cen MT"/>
                <w:sz w:val="20"/>
                <w:szCs w:val="20"/>
              </w:rPr>
            </w:pPr>
            <w:r>
              <w:rPr>
                <w:rFonts w:ascii="Tw Cen MT" w:hAnsi="Tw Cen MT"/>
                <w:sz w:val="20"/>
                <w:szCs w:val="20"/>
              </w:rPr>
              <w:t>PPCR</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9EE9B34"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Programme pilote pour la résilience climatique </w:t>
            </w:r>
          </w:p>
        </w:tc>
      </w:tr>
      <w:tr w:rsidR="00B22363" w14:paraId="7A0774F1"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7467277" w14:textId="77777777" w:rsidR="00B22363" w:rsidRDefault="00B22363" w:rsidP="00B22363">
            <w:pPr>
              <w:spacing w:after="0"/>
              <w:jc w:val="left"/>
              <w:rPr>
                <w:rFonts w:ascii="Tw Cen MT" w:hAnsi="Tw Cen MT"/>
                <w:sz w:val="20"/>
                <w:szCs w:val="20"/>
              </w:rPr>
            </w:pPr>
            <w:r>
              <w:rPr>
                <w:rFonts w:ascii="Tw Cen MT" w:hAnsi="Tw Cen MT"/>
                <w:sz w:val="20"/>
                <w:szCs w:val="20"/>
              </w:rPr>
              <w:t>PPECF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4A21B8B" w14:textId="77777777" w:rsidR="00B22363" w:rsidRDefault="00B22363" w:rsidP="00B22363">
            <w:pPr>
              <w:spacing w:after="0"/>
              <w:jc w:val="left"/>
              <w:rPr>
                <w:rFonts w:ascii="Tw Cen MT" w:hAnsi="Tw Cen MT"/>
                <w:sz w:val="20"/>
                <w:szCs w:val="20"/>
              </w:rPr>
            </w:pPr>
            <w:r>
              <w:rPr>
                <w:rFonts w:ascii="Tw Cen MT" w:hAnsi="Tw Cen MT"/>
                <w:sz w:val="20"/>
                <w:szCs w:val="20"/>
              </w:rPr>
              <w:t>Promotion de l’exploitation certifiée des forêts dans le Bassin du Congo</w:t>
            </w:r>
          </w:p>
        </w:tc>
      </w:tr>
      <w:tr w:rsidR="00B22363" w14:paraId="76C2874F"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B1E2C67" w14:textId="77777777" w:rsidR="00B22363" w:rsidRDefault="00B22363" w:rsidP="00B22363">
            <w:pPr>
              <w:spacing w:after="0"/>
              <w:jc w:val="left"/>
              <w:rPr>
                <w:rFonts w:ascii="Tw Cen MT" w:hAnsi="Tw Cen MT"/>
                <w:sz w:val="20"/>
                <w:szCs w:val="20"/>
              </w:rPr>
            </w:pPr>
            <w:r>
              <w:rPr>
                <w:rFonts w:ascii="Tw Cen MT" w:hAnsi="Tw Cen MT"/>
                <w:sz w:val="20"/>
                <w:szCs w:val="20"/>
              </w:rPr>
              <w:t>PPI</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F9A1FCC" w14:textId="2F114751" w:rsidR="00B22363" w:rsidRDefault="0080491D" w:rsidP="00B22363">
            <w:pPr>
              <w:spacing w:after="0"/>
              <w:jc w:val="left"/>
              <w:rPr>
                <w:rFonts w:ascii="Tw Cen MT" w:hAnsi="Tw Cen MT"/>
                <w:sz w:val="20"/>
                <w:szCs w:val="20"/>
              </w:rPr>
            </w:pPr>
            <w:r>
              <w:rPr>
                <w:rFonts w:ascii="Tw Cen MT" w:hAnsi="Tw Cen MT"/>
                <w:sz w:val="20"/>
                <w:szCs w:val="20"/>
              </w:rPr>
              <w:t>Programme de Petites I</w:t>
            </w:r>
            <w:r w:rsidR="00B22363">
              <w:rPr>
                <w:rFonts w:ascii="Tw Cen MT" w:hAnsi="Tw Cen MT"/>
                <w:sz w:val="20"/>
                <w:szCs w:val="20"/>
              </w:rPr>
              <w:t xml:space="preserve">nitiatives </w:t>
            </w:r>
          </w:p>
        </w:tc>
      </w:tr>
      <w:tr w:rsidR="00B22363" w14:paraId="0642A2F5"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FCDD65D" w14:textId="77777777" w:rsidR="00B22363" w:rsidRDefault="00B22363" w:rsidP="00B22363">
            <w:pPr>
              <w:spacing w:after="0"/>
              <w:jc w:val="left"/>
              <w:rPr>
                <w:rFonts w:ascii="Tw Cen MT" w:hAnsi="Tw Cen MT"/>
                <w:sz w:val="20"/>
                <w:szCs w:val="20"/>
              </w:rPr>
            </w:pPr>
            <w:r>
              <w:rPr>
                <w:rFonts w:ascii="Tw Cen MT" w:hAnsi="Tw Cen MT"/>
                <w:sz w:val="20"/>
                <w:szCs w:val="20"/>
              </w:rPr>
              <w:t>PRODER</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6A58095" w14:textId="77777777" w:rsidR="00B22363" w:rsidRDefault="00B22363" w:rsidP="00B22363">
            <w:pPr>
              <w:spacing w:after="0"/>
              <w:jc w:val="left"/>
              <w:rPr>
                <w:rFonts w:ascii="Tw Cen MT" w:hAnsi="Tw Cen MT"/>
                <w:sz w:val="20"/>
                <w:szCs w:val="20"/>
              </w:rPr>
            </w:pPr>
            <w:r>
              <w:rPr>
                <w:rFonts w:ascii="Tw Cen MT" w:hAnsi="Tw Cen MT"/>
                <w:sz w:val="20"/>
                <w:szCs w:val="20"/>
              </w:rPr>
              <w:t>Projet de Développement Rural</w:t>
            </w:r>
          </w:p>
        </w:tc>
      </w:tr>
      <w:tr w:rsidR="00B22363" w14:paraId="2BFA53A4"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57247C7" w14:textId="77777777" w:rsidR="00B22363" w:rsidRDefault="00B22363" w:rsidP="00B22363">
            <w:pPr>
              <w:spacing w:after="0"/>
              <w:jc w:val="left"/>
              <w:rPr>
                <w:rFonts w:ascii="Tw Cen MT" w:hAnsi="Tw Cen MT"/>
                <w:sz w:val="20"/>
                <w:szCs w:val="20"/>
              </w:rPr>
            </w:pPr>
            <w:proofErr w:type="spellStart"/>
            <w:r>
              <w:rPr>
                <w:rFonts w:ascii="Tw Cen MT" w:hAnsi="Tw Cen MT"/>
                <w:sz w:val="20"/>
                <w:szCs w:val="20"/>
              </w:rPr>
              <w:t>ProNAR</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C386EAA" w14:textId="77777777" w:rsidR="00B22363" w:rsidRDefault="00B22363" w:rsidP="00B22363">
            <w:pPr>
              <w:spacing w:after="0"/>
              <w:jc w:val="left"/>
              <w:rPr>
                <w:rFonts w:ascii="Tw Cen MT" w:hAnsi="Tw Cen MT"/>
                <w:sz w:val="20"/>
                <w:szCs w:val="20"/>
              </w:rPr>
            </w:pPr>
            <w:r>
              <w:rPr>
                <w:rFonts w:ascii="Tw Cen MT" w:hAnsi="Tw Cen MT"/>
                <w:sz w:val="20"/>
                <w:szCs w:val="20"/>
              </w:rPr>
              <w:t>Programme National d'Afforestation et de Reboisement</w:t>
            </w:r>
          </w:p>
        </w:tc>
      </w:tr>
      <w:tr w:rsidR="00B22363" w14:paraId="4A9D2EC2"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D6772ED"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RDC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4B0B85A" w14:textId="77777777" w:rsidR="00B22363" w:rsidRDefault="00B22363" w:rsidP="00B22363">
            <w:pPr>
              <w:spacing w:after="0"/>
              <w:jc w:val="left"/>
              <w:rPr>
                <w:rFonts w:ascii="Tw Cen MT" w:hAnsi="Tw Cen MT"/>
                <w:sz w:val="20"/>
                <w:szCs w:val="20"/>
              </w:rPr>
            </w:pPr>
            <w:r>
              <w:rPr>
                <w:rFonts w:ascii="Tw Cen MT" w:hAnsi="Tw Cen MT"/>
                <w:sz w:val="20"/>
                <w:szCs w:val="20"/>
              </w:rPr>
              <w:t>République Démocratique du Congo</w:t>
            </w:r>
          </w:p>
        </w:tc>
      </w:tr>
      <w:tr w:rsidR="00B22363" w14:paraId="686A1CE2"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B17AF0F" w14:textId="77777777" w:rsidR="00B22363" w:rsidRDefault="00B22363" w:rsidP="00B22363">
            <w:pPr>
              <w:spacing w:after="0"/>
              <w:jc w:val="left"/>
              <w:rPr>
                <w:rFonts w:ascii="Tw Cen MT" w:hAnsi="Tw Cen MT"/>
                <w:sz w:val="20"/>
                <w:szCs w:val="20"/>
              </w:rPr>
            </w:pPr>
            <w:r>
              <w:rPr>
                <w:rFonts w:ascii="Tw Cen MT" w:hAnsi="Tw Cen MT"/>
                <w:sz w:val="20"/>
                <w:szCs w:val="20"/>
              </w:rPr>
              <w:t>REDD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6A3791D" w14:textId="77777777" w:rsidR="00B22363" w:rsidRDefault="00B22363" w:rsidP="00B22363">
            <w:pPr>
              <w:spacing w:after="0"/>
              <w:jc w:val="left"/>
              <w:rPr>
                <w:rFonts w:ascii="Tw Cen MT" w:hAnsi="Tw Cen MT"/>
                <w:sz w:val="20"/>
                <w:szCs w:val="20"/>
              </w:rPr>
            </w:pPr>
            <w:r>
              <w:rPr>
                <w:rFonts w:ascii="Tw Cen MT" w:hAnsi="Tw Cen MT"/>
                <w:sz w:val="20"/>
                <w:szCs w:val="20"/>
              </w:rPr>
              <w:t>Réduction des Emissions liées à la Déforestation et à la Dégradation des forêts</w:t>
            </w:r>
          </w:p>
        </w:tc>
      </w:tr>
      <w:tr w:rsidR="00B22363" w14:paraId="75672416"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9E2F1A7" w14:textId="77777777" w:rsidR="00B22363" w:rsidRDefault="00B22363" w:rsidP="00B22363">
            <w:pPr>
              <w:spacing w:after="0"/>
              <w:jc w:val="left"/>
              <w:rPr>
                <w:rFonts w:ascii="Tw Cen MT" w:hAnsi="Tw Cen MT"/>
                <w:sz w:val="20"/>
                <w:szCs w:val="20"/>
              </w:rPr>
            </w:pPr>
            <w:r>
              <w:rPr>
                <w:rFonts w:ascii="Tw Cen MT" w:hAnsi="Tw Cen MT"/>
                <w:sz w:val="20"/>
                <w:szCs w:val="20"/>
              </w:rPr>
              <w:t>REM</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25D6E8F"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REDD </w:t>
            </w:r>
            <w:proofErr w:type="spellStart"/>
            <w:r>
              <w:rPr>
                <w:rFonts w:ascii="Tw Cen MT" w:hAnsi="Tw Cen MT"/>
                <w:sz w:val="20"/>
                <w:szCs w:val="20"/>
              </w:rPr>
              <w:t>early</w:t>
            </w:r>
            <w:proofErr w:type="spellEnd"/>
            <w:r>
              <w:rPr>
                <w:rFonts w:ascii="Tw Cen MT" w:hAnsi="Tw Cen MT"/>
                <w:sz w:val="20"/>
                <w:szCs w:val="20"/>
              </w:rPr>
              <w:t xml:space="preserve"> </w:t>
            </w:r>
            <w:proofErr w:type="spellStart"/>
            <w:r>
              <w:rPr>
                <w:rFonts w:ascii="Tw Cen MT" w:hAnsi="Tw Cen MT"/>
                <w:sz w:val="20"/>
                <w:szCs w:val="20"/>
              </w:rPr>
              <w:t>movers</w:t>
            </w:r>
            <w:proofErr w:type="spellEnd"/>
          </w:p>
        </w:tc>
      </w:tr>
      <w:tr w:rsidR="00B22363" w14:paraId="43B8AADE"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0E04C6B" w14:textId="77777777" w:rsidR="00B22363" w:rsidRDefault="00B22363" w:rsidP="00B22363">
            <w:pPr>
              <w:spacing w:after="0"/>
              <w:jc w:val="left"/>
              <w:rPr>
                <w:rFonts w:ascii="Tw Cen MT" w:hAnsi="Tw Cen MT"/>
                <w:sz w:val="20"/>
                <w:szCs w:val="20"/>
              </w:rPr>
            </w:pPr>
            <w:r>
              <w:rPr>
                <w:rFonts w:ascii="Tw Cen MT" w:hAnsi="Tw Cen MT"/>
                <w:sz w:val="20"/>
                <w:szCs w:val="20"/>
              </w:rPr>
              <w:t>RSE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7E0520E" w14:textId="77777777" w:rsidR="00B22363" w:rsidRDefault="00B22363" w:rsidP="00B22363">
            <w:pPr>
              <w:spacing w:after="0"/>
              <w:jc w:val="left"/>
              <w:rPr>
                <w:rFonts w:ascii="Tw Cen MT" w:hAnsi="Tw Cen MT"/>
                <w:sz w:val="20"/>
                <w:szCs w:val="20"/>
              </w:rPr>
            </w:pPr>
            <w:r>
              <w:rPr>
                <w:rFonts w:ascii="Tw Cen MT" w:hAnsi="Tw Cen MT"/>
                <w:sz w:val="20"/>
                <w:szCs w:val="20"/>
              </w:rPr>
              <w:t>Responsabilité Sociale et Environnementale</w:t>
            </w:r>
          </w:p>
        </w:tc>
      </w:tr>
      <w:tr w:rsidR="00B22363" w:rsidRPr="00630427" w14:paraId="34E1935D"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E7FE0F0" w14:textId="77777777" w:rsidR="00B22363" w:rsidRDefault="00B22363" w:rsidP="00B22363">
            <w:pPr>
              <w:spacing w:after="0"/>
              <w:jc w:val="left"/>
              <w:rPr>
                <w:rFonts w:ascii="Tw Cen MT" w:hAnsi="Tw Cen MT"/>
                <w:sz w:val="20"/>
                <w:szCs w:val="20"/>
              </w:rPr>
            </w:pPr>
            <w:r>
              <w:rPr>
                <w:rFonts w:ascii="Tw Cen MT" w:hAnsi="Tw Cen MT"/>
                <w:sz w:val="20"/>
                <w:szCs w:val="20"/>
              </w:rPr>
              <w:t>RSPO</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AE52C4F" w14:textId="77777777" w:rsidR="00B22363" w:rsidRPr="00B22363" w:rsidRDefault="00B22363" w:rsidP="00B22363">
            <w:pPr>
              <w:spacing w:after="0"/>
              <w:jc w:val="left"/>
              <w:rPr>
                <w:rFonts w:ascii="Tw Cen MT" w:hAnsi="Tw Cen MT"/>
                <w:sz w:val="20"/>
                <w:szCs w:val="20"/>
                <w:lang w:val="en-US"/>
              </w:rPr>
            </w:pPr>
            <w:r w:rsidRPr="00B22363">
              <w:rPr>
                <w:rFonts w:ascii="Tw Cen MT" w:hAnsi="Tw Cen MT"/>
                <w:sz w:val="20"/>
                <w:szCs w:val="20"/>
                <w:lang w:val="en-US"/>
              </w:rPr>
              <w:t xml:space="preserve">Roundtable on Sustainable Palm Oil </w:t>
            </w:r>
          </w:p>
        </w:tc>
      </w:tr>
      <w:tr w:rsidR="00B22363" w14:paraId="06F6262B"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CDF2742" w14:textId="77777777" w:rsidR="00B22363" w:rsidRDefault="00B22363" w:rsidP="00B22363">
            <w:pPr>
              <w:spacing w:after="0"/>
              <w:jc w:val="left"/>
              <w:rPr>
                <w:rFonts w:ascii="Tw Cen MT" w:hAnsi="Tw Cen MT"/>
                <w:sz w:val="20"/>
                <w:szCs w:val="20"/>
              </w:rPr>
            </w:pPr>
            <w:r>
              <w:rPr>
                <w:rFonts w:ascii="Tw Cen MT" w:hAnsi="Tw Cen MT"/>
                <w:sz w:val="20"/>
                <w:szCs w:val="20"/>
              </w:rPr>
              <w:t>SCCF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7F1EBF7" w14:textId="77777777" w:rsidR="00B22363" w:rsidRDefault="00B22363" w:rsidP="00B22363">
            <w:pPr>
              <w:spacing w:after="0"/>
              <w:jc w:val="left"/>
              <w:rPr>
                <w:rFonts w:ascii="Tw Cen MT" w:hAnsi="Tw Cen MT"/>
                <w:sz w:val="20"/>
                <w:szCs w:val="20"/>
              </w:rPr>
            </w:pPr>
            <w:r>
              <w:rPr>
                <w:rFonts w:ascii="Tw Cen MT" w:hAnsi="Tw Cen MT"/>
                <w:sz w:val="20"/>
                <w:szCs w:val="20"/>
              </w:rPr>
              <w:t>Fonds Spécial pour le Changement Climatique</w:t>
            </w:r>
          </w:p>
        </w:tc>
      </w:tr>
      <w:tr w:rsidR="00B22363" w14:paraId="4282CDD3"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C230562" w14:textId="77777777" w:rsidR="00B22363" w:rsidRDefault="00B22363" w:rsidP="00B22363">
            <w:pPr>
              <w:spacing w:after="0"/>
              <w:jc w:val="left"/>
              <w:rPr>
                <w:rFonts w:ascii="Tw Cen MT" w:hAnsi="Tw Cen MT"/>
                <w:sz w:val="20"/>
                <w:szCs w:val="20"/>
              </w:rPr>
            </w:pPr>
            <w:r>
              <w:rPr>
                <w:rFonts w:ascii="Tw Cen MT" w:hAnsi="Tw Cen MT"/>
                <w:sz w:val="20"/>
                <w:szCs w:val="20"/>
              </w:rPr>
              <w:t>SCF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6923833"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Fonds Stratégique Climat </w:t>
            </w:r>
          </w:p>
        </w:tc>
      </w:tr>
      <w:tr w:rsidR="00B22363" w14:paraId="79B32451"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F1EF491" w14:textId="77777777" w:rsidR="00B22363" w:rsidRDefault="00B22363" w:rsidP="00B22363">
            <w:pPr>
              <w:spacing w:after="0"/>
              <w:jc w:val="left"/>
              <w:rPr>
                <w:rFonts w:ascii="Tw Cen MT" w:hAnsi="Tw Cen MT"/>
                <w:sz w:val="20"/>
                <w:szCs w:val="20"/>
              </w:rPr>
            </w:pPr>
            <w:r>
              <w:rPr>
                <w:rFonts w:ascii="Tw Cen MT" w:hAnsi="Tw Cen MT"/>
                <w:sz w:val="20"/>
                <w:szCs w:val="20"/>
              </w:rPr>
              <w:t>SIDA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1991B24"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Agence suisse de coopération internationale pour le développement </w:t>
            </w:r>
          </w:p>
        </w:tc>
      </w:tr>
      <w:tr w:rsidR="00B22363" w14:paraId="7061A5AF"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8853B5F" w14:textId="77777777" w:rsidR="00B22363" w:rsidRDefault="00B22363" w:rsidP="00B22363">
            <w:pPr>
              <w:spacing w:after="0"/>
              <w:jc w:val="left"/>
              <w:rPr>
                <w:rFonts w:ascii="Tw Cen MT" w:hAnsi="Tw Cen MT"/>
                <w:sz w:val="20"/>
                <w:szCs w:val="20"/>
              </w:rPr>
            </w:pPr>
            <w:r>
              <w:rPr>
                <w:rFonts w:ascii="Tw Cen MT" w:hAnsi="Tw Cen MT"/>
                <w:sz w:val="20"/>
                <w:szCs w:val="20"/>
              </w:rPr>
              <w:t>SIFOOD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A43A6C4"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système d'information pour la gestion forestière et le développement durable </w:t>
            </w:r>
          </w:p>
        </w:tc>
      </w:tr>
      <w:tr w:rsidR="00B22363" w14:paraId="509579B1"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6D1E2DC5" w14:textId="77777777" w:rsidR="00B22363" w:rsidRDefault="00B22363" w:rsidP="00B22363">
            <w:pPr>
              <w:spacing w:after="0"/>
              <w:jc w:val="left"/>
              <w:rPr>
                <w:rFonts w:ascii="Tw Cen MT" w:hAnsi="Tw Cen MT"/>
                <w:sz w:val="20"/>
                <w:szCs w:val="20"/>
              </w:rPr>
            </w:pPr>
            <w:r>
              <w:rPr>
                <w:rFonts w:ascii="Tw Cen MT" w:hAnsi="Tw Cen MT"/>
                <w:sz w:val="20"/>
                <w:szCs w:val="20"/>
              </w:rPr>
              <w:t>SIVL</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9CEE0DE" w14:textId="77777777" w:rsidR="00B22363" w:rsidRDefault="00B22363" w:rsidP="00B22363">
            <w:pPr>
              <w:spacing w:after="0"/>
              <w:jc w:val="left"/>
              <w:rPr>
                <w:rFonts w:ascii="Tw Cen MT" w:hAnsi="Tw Cen MT"/>
                <w:sz w:val="20"/>
                <w:szCs w:val="20"/>
              </w:rPr>
            </w:pPr>
            <w:r>
              <w:rPr>
                <w:rFonts w:ascii="Tw Cen MT" w:hAnsi="Tw Cen MT"/>
                <w:sz w:val="20"/>
                <w:szCs w:val="20"/>
              </w:rPr>
              <w:t>Système d’information et de vérification de la légalité</w:t>
            </w:r>
          </w:p>
        </w:tc>
      </w:tr>
      <w:tr w:rsidR="00B22363" w14:paraId="7DDD4F10"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16A5B5D" w14:textId="77777777" w:rsidR="00B22363" w:rsidRDefault="00B22363" w:rsidP="00B22363">
            <w:pPr>
              <w:spacing w:after="0"/>
              <w:jc w:val="left"/>
              <w:rPr>
                <w:rFonts w:ascii="Tw Cen MT" w:hAnsi="Tw Cen MT"/>
                <w:sz w:val="20"/>
                <w:szCs w:val="20"/>
              </w:rPr>
            </w:pPr>
            <w:r>
              <w:rPr>
                <w:rFonts w:ascii="Tw Cen MT" w:hAnsi="Tw Cen MT"/>
                <w:sz w:val="20"/>
                <w:szCs w:val="20"/>
              </w:rPr>
              <w:t>SNE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83FAD04" w14:textId="77777777" w:rsidR="00B22363" w:rsidRDefault="00B22363" w:rsidP="00B22363">
            <w:pPr>
              <w:spacing w:after="0"/>
              <w:jc w:val="left"/>
              <w:rPr>
                <w:rFonts w:ascii="Tw Cen MT" w:hAnsi="Tw Cen MT"/>
                <w:sz w:val="20"/>
                <w:szCs w:val="20"/>
              </w:rPr>
            </w:pPr>
            <w:r>
              <w:rPr>
                <w:rFonts w:ascii="Tw Cen MT" w:hAnsi="Tw Cen MT"/>
                <w:sz w:val="20"/>
                <w:szCs w:val="20"/>
              </w:rPr>
              <w:t>Société Nationale d’Electricité</w:t>
            </w:r>
          </w:p>
        </w:tc>
      </w:tr>
      <w:tr w:rsidR="00B22363" w14:paraId="0EF5C871"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2E2F0622" w14:textId="77777777" w:rsidR="00B22363" w:rsidRDefault="00B22363" w:rsidP="00B22363">
            <w:pPr>
              <w:spacing w:after="0"/>
              <w:jc w:val="left"/>
              <w:rPr>
                <w:rFonts w:ascii="Tw Cen MT" w:hAnsi="Tw Cen MT"/>
                <w:sz w:val="20"/>
                <w:szCs w:val="20"/>
              </w:rPr>
            </w:pPr>
            <w:r>
              <w:rPr>
                <w:rFonts w:ascii="Tw Cen MT" w:hAnsi="Tw Cen MT"/>
                <w:sz w:val="20"/>
                <w:szCs w:val="20"/>
              </w:rPr>
              <w:t>SNR</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D0B20CA" w14:textId="77777777" w:rsidR="00B22363" w:rsidRDefault="00B22363" w:rsidP="00B22363">
            <w:pPr>
              <w:spacing w:after="0"/>
              <w:jc w:val="left"/>
              <w:rPr>
                <w:rFonts w:ascii="Tw Cen MT" w:hAnsi="Tw Cen MT"/>
                <w:sz w:val="20"/>
                <w:szCs w:val="20"/>
              </w:rPr>
            </w:pPr>
            <w:r>
              <w:rPr>
                <w:rFonts w:ascii="Tw Cen MT" w:hAnsi="Tw Cen MT"/>
                <w:sz w:val="20"/>
                <w:szCs w:val="20"/>
              </w:rPr>
              <w:t>Service National de Reboisement</w:t>
            </w:r>
          </w:p>
        </w:tc>
      </w:tr>
      <w:tr w:rsidR="00B22363" w14:paraId="7C0408A6"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6174F7A" w14:textId="77777777" w:rsidR="00B22363" w:rsidRDefault="00B22363" w:rsidP="00B22363">
            <w:pPr>
              <w:spacing w:after="0"/>
              <w:jc w:val="left"/>
              <w:rPr>
                <w:rFonts w:ascii="Tw Cen MT" w:hAnsi="Tw Cen MT"/>
                <w:sz w:val="20"/>
                <w:szCs w:val="20"/>
              </w:rPr>
            </w:pPr>
            <w:r>
              <w:rPr>
                <w:rFonts w:ascii="Tw Cen MT" w:hAnsi="Tw Cen MT"/>
                <w:sz w:val="20"/>
                <w:szCs w:val="20"/>
              </w:rPr>
              <w:t>SREP</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750A62E" w14:textId="77777777" w:rsidR="00B22363" w:rsidRDefault="00B22363" w:rsidP="00B22363">
            <w:pPr>
              <w:spacing w:after="0"/>
              <w:jc w:val="left"/>
              <w:rPr>
                <w:rFonts w:ascii="Tw Cen MT" w:hAnsi="Tw Cen MT"/>
                <w:sz w:val="20"/>
                <w:szCs w:val="20"/>
              </w:rPr>
            </w:pPr>
            <w:r>
              <w:rPr>
                <w:rFonts w:ascii="Tw Cen MT" w:hAnsi="Tw Cen MT"/>
                <w:sz w:val="20"/>
                <w:szCs w:val="20"/>
              </w:rPr>
              <w:t>Programme de valorisation à grande échelle des énergies renouvelables dans les pays à faible revenus</w:t>
            </w:r>
          </w:p>
        </w:tc>
      </w:tr>
      <w:tr w:rsidR="00B22363" w14:paraId="34CC178D"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41CCD59F" w14:textId="77777777" w:rsidR="00B22363" w:rsidRDefault="00B22363" w:rsidP="00B22363">
            <w:pPr>
              <w:spacing w:after="0"/>
              <w:jc w:val="left"/>
              <w:rPr>
                <w:rFonts w:ascii="Tw Cen MT" w:hAnsi="Tw Cen MT"/>
                <w:sz w:val="20"/>
                <w:szCs w:val="20"/>
              </w:rPr>
            </w:pPr>
            <w:r>
              <w:rPr>
                <w:rFonts w:ascii="Tw Cen MT" w:hAnsi="Tw Cen MT"/>
                <w:sz w:val="20"/>
                <w:szCs w:val="20"/>
              </w:rPr>
              <w:t>SVL</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A2BFE6A"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Système de Vérification de la Légalité </w:t>
            </w:r>
          </w:p>
        </w:tc>
      </w:tr>
      <w:tr w:rsidR="00B22363" w14:paraId="00B678BA"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4B05D68" w14:textId="77777777" w:rsidR="00B22363" w:rsidRDefault="00B22363" w:rsidP="00B22363">
            <w:pPr>
              <w:spacing w:after="0"/>
              <w:jc w:val="left"/>
              <w:rPr>
                <w:rFonts w:ascii="Tw Cen MT" w:hAnsi="Tw Cen MT"/>
                <w:sz w:val="20"/>
                <w:szCs w:val="20"/>
              </w:rPr>
            </w:pPr>
            <w:r>
              <w:rPr>
                <w:rFonts w:ascii="Tw Cen MT" w:hAnsi="Tw Cen MT"/>
                <w:sz w:val="20"/>
                <w:szCs w:val="20"/>
              </w:rPr>
              <w:t>TEREA</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CFC28CF" w14:textId="77777777" w:rsidR="00B22363" w:rsidRDefault="00B22363" w:rsidP="00B22363">
            <w:pPr>
              <w:spacing w:after="0"/>
              <w:jc w:val="left"/>
              <w:rPr>
                <w:rFonts w:ascii="Tw Cen MT" w:hAnsi="Tw Cen MT"/>
                <w:sz w:val="20"/>
                <w:szCs w:val="20"/>
              </w:rPr>
            </w:pPr>
            <w:r>
              <w:rPr>
                <w:rFonts w:ascii="Tw Cen MT" w:hAnsi="Tw Cen MT"/>
                <w:sz w:val="20"/>
                <w:szCs w:val="20"/>
              </w:rPr>
              <w:t>Terre, Environnement, Aménagement</w:t>
            </w:r>
          </w:p>
        </w:tc>
      </w:tr>
      <w:tr w:rsidR="00B22363" w14:paraId="49D50A43"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3421DC8" w14:textId="77777777" w:rsidR="00B22363" w:rsidRDefault="00B22363" w:rsidP="00B22363">
            <w:pPr>
              <w:spacing w:after="0"/>
              <w:jc w:val="left"/>
              <w:rPr>
                <w:rFonts w:ascii="Tw Cen MT" w:hAnsi="Tw Cen MT"/>
                <w:sz w:val="20"/>
                <w:szCs w:val="20"/>
              </w:rPr>
            </w:pPr>
            <w:r>
              <w:rPr>
                <w:rFonts w:ascii="Tw Cen MT" w:hAnsi="Tw Cen MT"/>
                <w:sz w:val="20"/>
                <w:szCs w:val="20"/>
              </w:rPr>
              <w:t>TOFE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A7D73EC" w14:textId="77777777" w:rsidR="00B22363" w:rsidRDefault="00B22363" w:rsidP="00B22363">
            <w:pPr>
              <w:spacing w:after="0"/>
              <w:jc w:val="left"/>
              <w:rPr>
                <w:rFonts w:ascii="Tw Cen MT" w:hAnsi="Tw Cen MT"/>
                <w:sz w:val="20"/>
                <w:szCs w:val="20"/>
              </w:rPr>
            </w:pPr>
            <w:r>
              <w:rPr>
                <w:rFonts w:ascii="Tw Cen MT" w:hAnsi="Tw Cen MT"/>
                <w:sz w:val="20"/>
                <w:szCs w:val="20"/>
              </w:rPr>
              <w:t>Tableau des Opérations Financières de l’Etat</w:t>
            </w:r>
          </w:p>
        </w:tc>
      </w:tr>
      <w:tr w:rsidR="00B22363" w14:paraId="67E2EC1A"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CF78AE7" w14:textId="77777777" w:rsidR="00B22363" w:rsidRDefault="00B22363" w:rsidP="00B22363">
            <w:pPr>
              <w:spacing w:after="0"/>
              <w:jc w:val="left"/>
              <w:rPr>
                <w:rFonts w:ascii="Tw Cen MT" w:hAnsi="Tw Cen MT"/>
                <w:sz w:val="20"/>
                <w:szCs w:val="20"/>
              </w:rPr>
            </w:pPr>
            <w:r>
              <w:rPr>
                <w:rFonts w:ascii="Tw Cen MT" w:hAnsi="Tw Cen MT"/>
                <w:sz w:val="20"/>
                <w:szCs w:val="20"/>
              </w:rPr>
              <w:t>UE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F987C3D"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Union Européenne </w:t>
            </w:r>
          </w:p>
        </w:tc>
      </w:tr>
      <w:tr w:rsidR="00B22363" w14:paraId="577B6CB2"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07888747"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UICN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BBA5C80" w14:textId="77777777" w:rsidR="00B22363" w:rsidRDefault="00B22363" w:rsidP="00B22363">
            <w:pPr>
              <w:spacing w:after="0"/>
              <w:jc w:val="left"/>
              <w:rPr>
                <w:rFonts w:ascii="Tw Cen MT" w:hAnsi="Tw Cen MT"/>
                <w:sz w:val="20"/>
                <w:szCs w:val="20"/>
              </w:rPr>
            </w:pPr>
            <w:r>
              <w:rPr>
                <w:rFonts w:ascii="Tw Cen MT" w:hAnsi="Tw Cen MT"/>
                <w:sz w:val="20"/>
                <w:szCs w:val="20"/>
              </w:rPr>
              <w:t>Union Internationale pour la Conservation de la Nature</w:t>
            </w:r>
          </w:p>
        </w:tc>
      </w:tr>
      <w:tr w:rsidR="00B22363" w14:paraId="25C7849E"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3505CC78" w14:textId="77777777" w:rsidR="00B22363" w:rsidRDefault="00B22363" w:rsidP="00B22363">
            <w:pPr>
              <w:spacing w:after="0"/>
              <w:jc w:val="left"/>
              <w:rPr>
                <w:rFonts w:ascii="Tw Cen MT" w:hAnsi="Tw Cen MT"/>
                <w:sz w:val="20"/>
                <w:szCs w:val="20"/>
              </w:rPr>
            </w:pPr>
            <w:r>
              <w:rPr>
                <w:rFonts w:ascii="Tw Cen MT" w:hAnsi="Tw Cen MT"/>
                <w:sz w:val="20"/>
                <w:szCs w:val="20"/>
              </w:rPr>
              <w:t>USAID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A81EF56" w14:textId="77777777" w:rsidR="00B22363" w:rsidRDefault="00B22363" w:rsidP="00B22363">
            <w:pPr>
              <w:spacing w:after="0"/>
              <w:jc w:val="left"/>
              <w:rPr>
                <w:rFonts w:ascii="Tw Cen MT" w:hAnsi="Tw Cen MT"/>
                <w:sz w:val="20"/>
                <w:szCs w:val="20"/>
              </w:rPr>
            </w:pPr>
            <w:r>
              <w:rPr>
                <w:rFonts w:ascii="Tw Cen MT" w:hAnsi="Tw Cen MT"/>
                <w:sz w:val="20"/>
                <w:szCs w:val="20"/>
              </w:rPr>
              <w:t xml:space="preserve">Agence des États-Unis pour le développement international </w:t>
            </w:r>
          </w:p>
        </w:tc>
      </w:tr>
      <w:tr w:rsidR="00B22363" w14:paraId="405684FD"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72377B16" w14:textId="77777777" w:rsidR="00B22363" w:rsidRDefault="00B22363" w:rsidP="00B22363">
            <w:pPr>
              <w:spacing w:after="0"/>
              <w:jc w:val="left"/>
              <w:rPr>
                <w:rFonts w:ascii="Tw Cen MT" w:hAnsi="Tw Cen MT"/>
                <w:sz w:val="20"/>
                <w:szCs w:val="20"/>
              </w:rPr>
            </w:pPr>
            <w:r>
              <w:rPr>
                <w:rFonts w:ascii="Tw Cen MT" w:hAnsi="Tw Cen MT"/>
                <w:sz w:val="20"/>
                <w:szCs w:val="20"/>
              </w:rPr>
              <w:t>USD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579E517" w14:textId="77777777" w:rsidR="00B22363" w:rsidRDefault="00B22363" w:rsidP="00B22363">
            <w:pPr>
              <w:spacing w:after="0"/>
              <w:jc w:val="left"/>
              <w:rPr>
                <w:rFonts w:ascii="Tw Cen MT" w:hAnsi="Tw Cen MT"/>
                <w:i/>
                <w:iCs/>
                <w:sz w:val="20"/>
                <w:szCs w:val="20"/>
              </w:rPr>
            </w:pPr>
            <w:r>
              <w:rPr>
                <w:rFonts w:ascii="Tw Cen MT" w:hAnsi="Tw Cen MT"/>
                <w:i/>
                <w:iCs/>
                <w:sz w:val="20"/>
                <w:szCs w:val="20"/>
              </w:rPr>
              <w:t>United States dollar</w:t>
            </w:r>
          </w:p>
        </w:tc>
      </w:tr>
      <w:tr w:rsidR="00B22363" w14:paraId="08E352AB"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5238AB63" w14:textId="77777777" w:rsidR="00B22363" w:rsidRDefault="00B22363" w:rsidP="00B22363">
            <w:pPr>
              <w:spacing w:after="0"/>
              <w:jc w:val="left"/>
              <w:rPr>
                <w:rFonts w:ascii="Tw Cen MT" w:hAnsi="Tw Cen MT"/>
                <w:sz w:val="20"/>
                <w:szCs w:val="20"/>
              </w:rPr>
            </w:pPr>
            <w:r>
              <w:rPr>
                <w:rFonts w:ascii="Tw Cen MT" w:hAnsi="Tw Cen MT"/>
                <w:sz w:val="20"/>
                <w:szCs w:val="20"/>
              </w:rPr>
              <w:t>WCS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313C7C2" w14:textId="77777777" w:rsidR="00B22363" w:rsidRDefault="00B22363" w:rsidP="00B22363">
            <w:pPr>
              <w:spacing w:after="0"/>
              <w:jc w:val="left"/>
              <w:rPr>
                <w:rFonts w:ascii="Tw Cen MT" w:hAnsi="Tw Cen MT"/>
                <w:i/>
                <w:iCs/>
                <w:sz w:val="20"/>
                <w:szCs w:val="20"/>
              </w:rPr>
            </w:pPr>
            <w:proofErr w:type="spellStart"/>
            <w:r>
              <w:rPr>
                <w:rFonts w:ascii="Tw Cen MT" w:hAnsi="Tw Cen MT"/>
                <w:i/>
                <w:iCs/>
                <w:sz w:val="20"/>
                <w:szCs w:val="20"/>
              </w:rPr>
              <w:t>Wildlife</w:t>
            </w:r>
            <w:proofErr w:type="spellEnd"/>
            <w:r>
              <w:rPr>
                <w:rFonts w:ascii="Tw Cen MT" w:hAnsi="Tw Cen MT"/>
                <w:i/>
                <w:iCs/>
                <w:sz w:val="20"/>
                <w:szCs w:val="20"/>
              </w:rPr>
              <w:t xml:space="preserve"> Conservation Society</w:t>
            </w:r>
          </w:p>
        </w:tc>
      </w:tr>
      <w:tr w:rsidR="00B22363" w14:paraId="1D65F232" w14:textId="77777777" w:rsidTr="00670836">
        <w:trPr>
          <w:trHeight w:val="300"/>
        </w:trPr>
        <w:tc>
          <w:tcPr>
            <w:tcW w:w="1291" w:type="dxa"/>
            <w:tcBorders>
              <w:top w:val="nil"/>
              <w:left w:val="nil"/>
              <w:bottom w:val="nil"/>
              <w:right w:val="nil"/>
            </w:tcBorders>
            <w:shd w:val="clear" w:color="auto" w:fill="auto"/>
            <w:noWrap/>
            <w:tcMar>
              <w:top w:w="15" w:type="dxa"/>
              <w:left w:w="15" w:type="dxa"/>
              <w:bottom w:w="0" w:type="dxa"/>
              <w:right w:w="15" w:type="dxa"/>
            </w:tcMar>
            <w:hideMark/>
          </w:tcPr>
          <w:p w14:paraId="13E720E6" w14:textId="77777777" w:rsidR="00B22363" w:rsidRDefault="00B22363" w:rsidP="00B22363">
            <w:pPr>
              <w:spacing w:after="0"/>
              <w:jc w:val="left"/>
              <w:rPr>
                <w:rFonts w:ascii="Tw Cen MT" w:hAnsi="Tw Cen MT"/>
                <w:sz w:val="20"/>
                <w:szCs w:val="20"/>
              </w:rPr>
            </w:pPr>
            <w:r>
              <w:rPr>
                <w:rFonts w:ascii="Tw Cen MT" w:hAnsi="Tw Cen MT"/>
                <w:sz w:val="20"/>
                <w:szCs w:val="20"/>
              </w:rPr>
              <w:t>WWF</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4E5C291" w14:textId="77777777" w:rsidR="00B22363" w:rsidRDefault="00B22363" w:rsidP="00B22363">
            <w:pPr>
              <w:spacing w:after="0"/>
              <w:jc w:val="left"/>
              <w:rPr>
                <w:rFonts w:ascii="Tw Cen MT" w:hAnsi="Tw Cen MT"/>
                <w:i/>
                <w:iCs/>
                <w:sz w:val="20"/>
                <w:szCs w:val="20"/>
              </w:rPr>
            </w:pPr>
            <w:r>
              <w:rPr>
                <w:rFonts w:ascii="Tw Cen MT" w:hAnsi="Tw Cen MT"/>
                <w:i/>
                <w:iCs/>
                <w:sz w:val="20"/>
                <w:szCs w:val="20"/>
              </w:rPr>
              <w:t xml:space="preserve">World </w:t>
            </w:r>
            <w:proofErr w:type="spellStart"/>
            <w:r>
              <w:rPr>
                <w:rFonts w:ascii="Tw Cen MT" w:hAnsi="Tw Cen MT"/>
                <w:i/>
                <w:iCs/>
                <w:sz w:val="20"/>
                <w:szCs w:val="20"/>
              </w:rPr>
              <w:t>Widlife</w:t>
            </w:r>
            <w:proofErr w:type="spellEnd"/>
            <w:r>
              <w:rPr>
                <w:rFonts w:ascii="Tw Cen MT" w:hAnsi="Tw Cen MT"/>
                <w:i/>
                <w:iCs/>
                <w:sz w:val="20"/>
                <w:szCs w:val="20"/>
              </w:rPr>
              <w:t xml:space="preserve"> </w:t>
            </w:r>
            <w:proofErr w:type="spellStart"/>
            <w:r>
              <w:rPr>
                <w:rFonts w:ascii="Tw Cen MT" w:hAnsi="Tw Cen MT"/>
                <w:i/>
                <w:iCs/>
                <w:sz w:val="20"/>
                <w:szCs w:val="20"/>
              </w:rPr>
              <w:t>Fund</w:t>
            </w:r>
            <w:proofErr w:type="spellEnd"/>
          </w:p>
        </w:tc>
      </w:tr>
    </w:tbl>
    <w:p w14:paraId="73C0F723" w14:textId="6B092082" w:rsidR="00D750EA" w:rsidRDefault="00B22363" w:rsidP="005834C5">
      <w:pPr>
        <w:rPr>
          <w:rFonts w:eastAsiaTheme="majorEastAsia" w:cstheme="majorBidi"/>
          <w:b/>
          <w:smallCaps/>
          <w:color w:val="775F55" w:themeColor="text2"/>
          <w:sz w:val="40"/>
          <w:szCs w:val="48"/>
        </w:rPr>
      </w:pPr>
      <w:r>
        <w:t xml:space="preserve"> </w:t>
      </w:r>
      <w:r w:rsidR="00D750EA">
        <w:br w:type="page"/>
      </w:r>
    </w:p>
    <w:p w14:paraId="02571715" w14:textId="77777777" w:rsidR="005C066A" w:rsidRPr="005C066A" w:rsidRDefault="005C066A" w:rsidP="005834C5">
      <w:pPr>
        <w:pStyle w:val="Heading1"/>
      </w:pPr>
      <w:bookmarkStart w:id="8" w:name="_Toc436212419"/>
      <w:bookmarkStart w:id="9" w:name="_Toc454886780"/>
      <w:r w:rsidRPr="005C066A">
        <w:lastRenderedPageBreak/>
        <w:t>Introduction</w:t>
      </w:r>
      <w:bookmarkEnd w:id="8"/>
      <w:bookmarkEnd w:id="9"/>
    </w:p>
    <w:p w14:paraId="13931670" w14:textId="5E2AF677" w:rsidR="005C066A" w:rsidRPr="00A5015C" w:rsidRDefault="005C066A" w:rsidP="005834C5">
      <w:pPr>
        <w:rPr>
          <w:b/>
          <w:sz w:val="56"/>
          <w:szCs w:val="56"/>
        </w:rPr>
      </w:pPr>
      <w:r w:rsidRPr="005C066A">
        <w:t>Ce document présen</w:t>
      </w:r>
      <w:r w:rsidR="00F974C5">
        <w:t>te les résultats du travail sur</w:t>
      </w:r>
      <w:r w:rsidR="00A5015C">
        <w:t xml:space="preserve"> les op</w:t>
      </w:r>
      <w:r w:rsidR="00A5015C" w:rsidRPr="00A5015C">
        <w:t>tions pour le financement de la mise en œuvre de la Stratégie Nationale REDD+ de la République du Congo</w:t>
      </w:r>
      <w:r w:rsidR="00A5015C">
        <w:t xml:space="preserve"> </w:t>
      </w:r>
      <w:r w:rsidR="00A5015C" w:rsidRPr="005C066A">
        <w:t>(version préliminaire d’Avril 2015)</w:t>
      </w:r>
      <w:r w:rsidR="00A5015C">
        <w:t xml:space="preserve"> </w:t>
      </w:r>
      <w:r w:rsidR="00547C9B">
        <w:t>qui a pour objectifs l</w:t>
      </w:r>
      <w:r w:rsidR="00547C9B" w:rsidRPr="00547C9B">
        <w:rPr>
          <w:rFonts w:cs="Arial"/>
        </w:rPr>
        <w:t>a lutte contre la déforestation non planifiée ou illégale</w:t>
      </w:r>
      <w:r w:rsidR="00547C9B">
        <w:rPr>
          <w:rFonts w:cs="Arial"/>
        </w:rPr>
        <w:t>, l</w:t>
      </w:r>
      <w:r w:rsidR="00547C9B" w:rsidRPr="00ED4257">
        <w:rPr>
          <w:rFonts w:cs="Arial"/>
        </w:rPr>
        <w:t>a lutte contre la dégradation forestière non planifiée ou illégale</w:t>
      </w:r>
      <w:r w:rsidR="00547C9B">
        <w:rPr>
          <w:rFonts w:cs="Arial"/>
        </w:rPr>
        <w:t>, l</w:t>
      </w:r>
      <w:r w:rsidR="00547C9B" w:rsidRPr="00ED4257">
        <w:rPr>
          <w:rFonts w:cs="Arial"/>
        </w:rPr>
        <w:t>a gestion durable des forêts</w:t>
      </w:r>
      <w:r w:rsidR="00547C9B">
        <w:rPr>
          <w:rFonts w:cs="Arial"/>
        </w:rPr>
        <w:t>, l</w:t>
      </w:r>
      <w:r w:rsidR="00547C9B" w:rsidRPr="00ED4257">
        <w:rPr>
          <w:rFonts w:cs="Arial"/>
        </w:rPr>
        <w:t>a conservation de la biodiversité</w:t>
      </w:r>
      <w:r w:rsidR="00547C9B">
        <w:rPr>
          <w:rFonts w:cs="Arial"/>
        </w:rPr>
        <w:t>, et l</w:t>
      </w:r>
      <w:r w:rsidR="00547C9B" w:rsidRPr="006674CE">
        <w:rPr>
          <w:rFonts w:cs="Arial"/>
        </w:rPr>
        <w:t>’accroissement des stocks de carbone à travers les programmes d’a</w:t>
      </w:r>
      <w:r w:rsidR="00547C9B">
        <w:rPr>
          <w:rFonts w:cs="Arial"/>
        </w:rPr>
        <w:t>fforestation et de reboisement.</w:t>
      </w:r>
    </w:p>
    <w:p w14:paraId="5B33EF05" w14:textId="5CD4AA41" w:rsidR="00AA0A0F" w:rsidRDefault="00AA0A0F" w:rsidP="005834C5">
      <w:pPr>
        <w:rPr>
          <w:rFonts w:cs="Arial"/>
        </w:rPr>
      </w:pPr>
      <w:r>
        <w:t xml:space="preserve">L’objectif de ce document est </w:t>
      </w:r>
      <w:r w:rsidR="00912E9B">
        <w:t xml:space="preserve">de </w:t>
      </w:r>
      <w:r>
        <w:t>recenser</w:t>
      </w:r>
      <w:r w:rsidR="00736C64">
        <w:t xml:space="preserve"> et, dans la mesure du possible, </w:t>
      </w:r>
      <w:r w:rsidR="00912E9B">
        <w:t xml:space="preserve">de </w:t>
      </w:r>
      <w:r w:rsidR="00736C64">
        <w:t>quantifier</w:t>
      </w:r>
      <w:r>
        <w:t xml:space="preserve"> les sources de financements potentiels aussi bien domestiques que internationales qui pourront être mobilisées pour la mise en œuvre de la stratégie nationale REDD+.</w:t>
      </w:r>
    </w:p>
    <w:p w14:paraId="0ECCEAE1" w14:textId="2FA2AC15" w:rsidR="004919D8" w:rsidRDefault="00AA0A0F" w:rsidP="00D36020">
      <w:pPr>
        <w:spacing w:after="0"/>
      </w:pPr>
      <w:r>
        <w:t>Ce travail</w:t>
      </w:r>
      <w:r w:rsidR="0007213D">
        <w:t xml:space="preserve"> fait suite à un premier travail d’analyse co</w:t>
      </w:r>
      <w:r w:rsidR="005E7191">
        <w:t>ûts-bénéfices</w:t>
      </w:r>
      <w:r w:rsidR="00912E9B">
        <w:t xml:space="preserve"> des activités de la stratégie n</w:t>
      </w:r>
      <w:r w:rsidR="0007213D">
        <w:t>ationale REDD+ ré</w:t>
      </w:r>
      <w:r w:rsidR="00AB1A7E">
        <w:t>alisée dans le cadre du projet</w:t>
      </w:r>
      <w:r w:rsidR="00912E9B">
        <w:t>. Ce travail</w:t>
      </w:r>
      <w:r w:rsidR="00AB1A7E">
        <w:t xml:space="preserve"> a permis d’obtenir </w:t>
      </w:r>
      <w:r w:rsidR="0007213D">
        <w:t xml:space="preserve">une première vue d’ensemble de l’attractivité et de la viabilité </w:t>
      </w:r>
      <w:r w:rsidR="00912E9B">
        <w:t xml:space="preserve">économique et financière </w:t>
      </w:r>
      <w:r w:rsidR="0007213D">
        <w:t xml:space="preserve">des activités </w:t>
      </w:r>
      <w:r w:rsidR="00AB1A7E">
        <w:t xml:space="preserve">et des options </w:t>
      </w:r>
      <w:r w:rsidR="00912E9B">
        <w:t>de la s</w:t>
      </w:r>
      <w:r w:rsidR="0007213D">
        <w:t xml:space="preserve">tratégie </w:t>
      </w:r>
      <w:r w:rsidR="00912E9B">
        <w:t>n</w:t>
      </w:r>
      <w:r w:rsidR="0007213D">
        <w:t>ationale REDD+</w:t>
      </w:r>
      <w:r w:rsidR="00AB1A7E">
        <w:t xml:space="preserve">. </w:t>
      </w:r>
    </w:p>
    <w:p w14:paraId="0EB08177" w14:textId="77777777" w:rsidR="00D36020" w:rsidRDefault="00D36020" w:rsidP="00D36020">
      <w:pPr>
        <w:spacing w:after="0"/>
      </w:pPr>
    </w:p>
    <w:p w14:paraId="574A2583" w14:textId="2E0C98E4" w:rsidR="005E7191" w:rsidRDefault="005E7191" w:rsidP="005834C5">
      <w:r w:rsidRPr="005C066A">
        <w:t xml:space="preserve">Ce document </w:t>
      </w:r>
      <w:r w:rsidR="00912E9B">
        <w:t>a été rédigé par Christine Langevin en étroite collaboration avec</w:t>
      </w:r>
      <w:r>
        <w:t xml:space="preserve"> la CN REDD, </w:t>
      </w:r>
      <w:r w:rsidR="00D36020">
        <w:t xml:space="preserve">l’Initiative Financière du </w:t>
      </w:r>
      <w:r>
        <w:t>PNUE,</w:t>
      </w:r>
      <w:r w:rsidRPr="005C066A">
        <w:t xml:space="preserve"> TEREA</w:t>
      </w:r>
      <w:r>
        <w:t xml:space="preserve"> et </w:t>
      </w:r>
      <w:r w:rsidR="00912E9B">
        <w:t>ACTED et</w:t>
      </w:r>
      <w:r>
        <w:t xml:space="preserve"> </w:t>
      </w:r>
      <w:r w:rsidRPr="005C066A">
        <w:t xml:space="preserve">réalisé sous la supervision </w:t>
      </w:r>
      <w:r>
        <w:t xml:space="preserve">du </w:t>
      </w:r>
      <w:r w:rsidR="00D36020">
        <w:t xml:space="preserve">PNUE et du </w:t>
      </w:r>
      <w:r>
        <w:t>Coordonnateur National REDD+</w:t>
      </w:r>
      <w:r w:rsidRPr="005C066A">
        <w:t xml:space="preserve"> avec l’appui </w:t>
      </w:r>
      <w:r>
        <w:t>financier du Programme ONU-REDD</w:t>
      </w:r>
      <w:r w:rsidRPr="005C066A">
        <w:t xml:space="preserve">. </w:t>
      </w:r>
      <w:r w:rsidR="005876F6">
        <w:t xml:space="preserve">Ce travail a été réalisé sur la base d’une revue </w:t>
      </w:r>
      <w:r w:rsidR="00912E9B">
        <w:t>exhaustive de la littérature et</w:t>
      </w:r>
      <w:r w:rsidRPr="005C066A">
        <w:t xml:space="preserve"> de consultatio</w:t>
      </w:r>
      <w:r>
        <w:t xml:space="preserve">ns </w:t>
      </w:r>
      <w:r w:rsidRPr="005C066A">
        <w:t xml:space="preserve">des parties prenantes du processus REDD+ </w:t>
      </w:r>
      <w:r w:rsidR="00912E9B">
        <w:t>avec les experts de la CN-REDD</w:t>
      </w:r>
      <w:r>
        <w:t>.</w:t>
      </w:r>
      <w:r w:rsidR="00736C64">
        <w:t xml:space="preserve"> </w:t>
      </w:r>
    </w:p>
    <w:p w14:paraId="52669312" w14:textId="1216F5B5" w:rsidR="00602D3C" w:rsidRDefault="00602D3C" w:rsidP="00602D3C">
      <w:r>
        <w:t>Les résultats sont pré</w:t>
      </w:r>
      <w:r w:rsidR="00A5015C">
        <w:t>sentés en quatre parties : (1) l</w:t>
      </w:r>
      <w:r>
        <w:t xml:space="preserve">a nomenclature et les types de sources de financements étudiés, (2) </w:t>
      </w:r>
      <w:r w:rsidR="00A5015C">
        <w:t xml:space="preserve">les sources de financements internationaux, </w:t>
      </w:r>
      <w:r>
        <w:t xml:space="preserve">(3) </w:t>
      </w:r>
      <w:r w:rsidR="00A5015C">
        <w:t>les sources de financement</w:t>
      </w:r>
      <w:r w:rsidR="002260A2">
        <w:t>s</w:t>
      </w:r>
      <w:r w:rsidR="00A5015C">
        <w:t xml:space="preserve"> domestiques</w:t>
      </w:r>
      <w:r>
        <w:t>, (4) le bilan des sources de financements potentiels en lien avec les activités et les op</w:t>
      </w:r>
      <w:r w:rsidR="002260A2">
        <w:t>tions de la stratégie nationale</w:t>
      </w:r>
      <w:r>
        <w:t xml:space="preserve"> REDD+.</w:t>
      </w:r>
      <w:r w:rsidR="002260A2">
        <w:t xml:space="preserve"> En Annexe figurent les termes de référence de l’étude. </w:t>
      </w:r>
    </w:p>
    <w:p w14:paraId="5DF9C77B" w14:textId="77777777" w:rsidR="00602D3C" w:rsidRDefault="00602D3C" w:rsidP="005834C5"/>
    <w:p w14:paraId="3E75ECCF" w14:textId="77777777" w:rsidR="005C066A" w:rsidRPr="005C066A" w:rsidRDefault="005C066A" w:rsidP="005834C5"/>
    <w:p w14:paraId="4D0A871B" w14:textId="77777777" w:rsidR="005C066A" w:rsidRPr="005C066A" w:rsidRDefault="005C066A" w:rsidP="005834C5">
      <w:pPr>
        <w:rPr>
          <w:rFonts w:eastAsiaTheme="majorEastAsia" w:cstheme="majorBidi"/>
          <w:color w:val="775F55" w:themeColor="text2"/>
          <w:sz w:val="40"/>
          <w:szCs w:val="48"/>
        </w:rPr>
      </w:pPr>
      <w:r w:rsidRPr="005C066A">
        <w:br w:type="page"/>
      </w:r>
    </w:p>
    <w:p w14:paraId="1BFDECBA" w14:textId="2A515922" w:rsidR="00766D8D" w:rsidRDefault="00F36277" w:rsidP="00D3496F">
      <w:pPr>
        <w:pStyle w:val="Heading1"/>
      </w:pPr>
      <w:bookmarkStart w:id="10" w:name="_Toc454886781"/>
      <w:bookmarkEnd w:id="4"/>
      <w:bookmarkEnd w:id="3"/>
      <w:bookmarkEnd w:id="2"/>
      <w:bookmarkEnd w:id="1"/>
      <w:bookmarkEnd w:id="0"/>
      <w:r>
        <w:lastRenderedPageBreak/>
        <w:t>Nomenclature des sources et types de financements</w:t>
      </w:r>
      <w:bookmarkEnd w:id="10"/>
    </w:p>
    <w:p w14:paraId="306FFAFD" w14:textId="7E8A77E6" w:rsidR="00F36277" w:rsidRDefault="00F36277" w:rsidP="00F36277">
      <w:r>
        <w:t xml:space="preserve">L’objectif des travaux est de recenser et </w:t>
      </w:r>
      <w:r w:rsidR="004719E7">
        <w:t>identifier</w:t>
      </w:r>
      <w:r>
        <w:t xml:space="preserve"> un ordre de grandeur des sources de financements potentiels qui pourront être mobilisées pour la mise en œuvre des activités de la stratégie nationale REDD+.</w:t>
      </w:r>
    </w:p>
    <w:p w14:paraId="0A5D340F" w14:textId="27DBBEEB" w:rsidR="00F36277" w:rsidRDefault="00F36277" w:rsidP="00F36277">
      <w:r>
        <w:t>A ce titre les sources de financements ont été catégorisé</w:t>
      </w:r>
      <w:r w:rsidR="003146B2">
        <w:t>e</w:t>
      </w:r>
      <w:r>
        <w:t>s selon leur</w:t>
      </w:r>
      <w:r w:rsidR="00602D3C">
        <w:t>s</w:t>
      </w:r>
      <w:r>
        <w:t xml:space="preserve"> origine</w:t>
      </w:r>
      <w:r w:rsidR="00602D3C">
        <w:t>s</w:t>
      </w:r>
      <w:r>
        <w:t xml:space="preserve"> en deux grands groupes : domes</w:t>
      </w:r>
      <w:r w:rsidR="00602D3C">
        <w:t>tique et internationale, divisé</w:t>
      </w:r>
      <w:r w:rsidR="003146B2">
        <w:t>s chacun en deux</w:t>
      </w:r>
      <w:r>
        <w:t xml:space="preserve"> sous-</w:t>
      </w:r>
      <w:r w:rsidR="003146B2">
        <w:t>groupes</w:t>
      </w:r>
      <w:r>
        <w:t> : public et privé. La figure ci-dessous repend la nomenclature des sources et types de financements identifiés pour appuyer la mise en œuvre des ac</w:t>
      </w:r>
      <w:r w:rsidR="00602D3C">
        <w:t>tivités de la stratégie nationale REDD+.</w:t>
      </w:r>
    </w:p>
    <w:p w14:paraId="3530AEFA" w14:textId="456EC1D4" w:rsidR="00F36277" w:rsidRDefault="00307598" w:rsidP="00F36277">
      <w:pPr>
        <w:rPr>
          <w:rFonts w:cs="Arial"/>
        </w:rPr>
      </w:pPr>
      <w:r w:rsidRPr="00307598">
        <w:rPr>
          <w:noProof/>
          <w:lang w:val="en-US" w:eastAsia="en-US"/>
        </w:rPr>
        <w:drawing>
          <wp:inline distT="0" distB="0" distL="0" distR="0" wp14:anchorId="3B8B272C" wp14:editId="66E8F112">
            <wp:extent cx="5760720" cy="2358607"/>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358607"/>
                    </a:xfrm>
                    <a:prstGeom prst="rect">
                      <a:avLst/>
                    </a:prstGeom>
                    <a:noFill/>
                    <a:ln>
                      <a:noFill/>
                    </a:ln>
                  </pic:spPr>
                </pic:pic>
              </a:graphicData>
            </a:graphic>
          </wp:inline>
        </w:drawing>
      </w:r>
    </w:p>
    <w:p w14:paraId="28BE87E4" w14:textId="1785792C" w:rsidR="00F36277" w:rsidRDefault="006E7651" w:rsidP="006E7651">
      <w:pPr>
        <w:pStyle w:val="Caption"/>
      </w:pPr>
      <w:bookmarkStart w:id="11" w:name="_Ref449703858"/>
      <w:bookmarkStart w:id="12" w:name="_Toc454886810"/>
      <w:r>
        <w:t xml:space="preserve">Figure </w:t>
      </w:r>
      <w:r>
        <w:fldChar w:fldCharType="begin"/>
      </w:r>
      <w:r>
        <w:instrText xml:space="preserve"> SEQ Figure \* ARABIC </w:instrText>
      </w:r>
      <w:r>
        <w:fldChar w:fldCharType="separate"/>
      </w:r>
      <w:r w:rsidR="0080491D">
        <w:rPr>
          <w:noProof/>
        </w:rPr>
        <w:t>1</w:t>
      </w:r>
      <w:r>
        <w:fldChar w:fldCharType="end"/>
      </w:r>
      <w:bookmarkEnd w:id="11"/>
      <w:r>
        <w:t>: Sources et types de financements étudiés pour la mise en œuvre des activités REDD+</w:t>
      </w:r>
      <w:bookmarkEnd w:id="12"/>
    </w:p>
    <w:p w14:paraId="76865058" w14:textId="23B02F7B" w:rsidR="006E7651" w:rsidRDefault="006E7651" w:rsidP="008B0EB3">
      <w:pPr>
        <w:pStyle w:val="ListParagraph"/>
        <w:numPr>
          <w:ilvl w:val="0"/>
          <w:numId w:val="25"/>
        </w:numPr>
      </w:pPr>
      <w:r>
        <w:t xml:space="preserve">Les </w:t>
      </w:r>
      <w:r w:rsidRPr="006E7651">
        <w:rPr>
          <w:b/>
        </w:rPr>
        <w:t>financements publics domestiques</w:t>
      </w:r>
      <w:r>
        <w:t xml:space="preserve"> sont les recettes de l’Etat qui peuvent être potentiellement affectées au développement des activités REDD+</w:t>
      </w:r>
      <w:r w:rsidR="00602D3C">
        <w:t xml:space="preserve"> (inscrites au budget général de l’Etat).</w:t>
      </w:r>
      <w:r>
        <w:t xml:space="preserve"> </w:t>
      </w:r>
      <w:r w:rsidR="00602D3C">
        <w:t>O</w:t>
      </w:r>
      <w:r>
        <w:t xml:space="preserve">n comptabilise également les </w:t>
      </w:r>
      <w:r w:rsidR="003146B2">
        <w:t>comptes d’affectation spéciale</w:t>
      </w:r>
      <w:r>
        <w:t xml:space="preserve"> (</w:t>
      </w:r>
      <w:r w:rsidR="003146B2">
        <w:t xml:space="preserve">CAS, </w:t>
      </w:r>
      <w:r>
        <w:t>hors budget) dont les objectifs sont de financer des réalisations en lien avec les acti</w:t>
      </w:r>
      <w:r w:rsidR="00602D3C">
        <w:t>vités de la stratégie nationale REDD+</w:t>
      </w:r>
      <w:r>
        <w:t>.</w:t>
      </w:r>
      <w:r w:rsidR="00093609">
        <w:t xml:space="preserve"> </w:t>
      </w:r>
      <w:r w:rsidR="00A850D2">
        <w:t xml:space="preserve">Ils fonctionnent avec des </w:t>
      </w:r>
      <w:r w:rsidR="00482737">
        <w:t>recettes limitées par la loi des finances</w:t>
      </w:r>
      <w:r w:rsidR="00A850D2">
        <w:t xml:space="preserve"> qui sont utilisé</w:t>
      </w:r>
      <w:r w:rsidR="00482737">
        <w:t>e</w:t>
      </w:r>
      <w:r w:rsidR="00A850D2">
        <w:t>s au p</w:t>
      </w:r>
      <w:r w:rsidR="003146B2">
        <w:t>rofit des dépenses autres que la rémunération du</w:t>
      </w:r>
      <w:r w:rsidR="00A850D2">
        <w:t xml:space="preserve"> personnel. </w:t>
      </w:r>
    </w:p>
    <w:p w14:paraId="1CC0BCF8" w14:textId="7B2B359B" w:rsidR="00093609" w:rsidRPr="00303142" w:rsidRDefault="00093609" w:rsidP="00093609">
      <w:pPr>
        <w:pStyle w:val="ListParagraph"/>
        <w:rPr>
          <w:i/>
        </w:rPr>
      </w:pPr>
      <w:r w:rsidRPr="00303142">
        <w:rPr>
          <w:i/>
        </w:rPr>
        <w:t xml:space="preserve">On note que les dons et les prêts internationaux </w:t>
      </w:r>
      <w:r w:rsidR="00303142">
        <w:rPr>
          <w:i/>
        </w:rPr>
        <w:t xml:space="preserve">inscrits au budget </w:t>
      </w:r>
      <w:r w:rsidRPr="00303142">
        <w:rPr>
          <w:i/>
        </w:rPr>
        <w:t xml:space="preserve">sont traités dans la partie sur les financements internationaux. </w:t>
      </w:r>
    </w:p>
    <w:p w14:paraId="7B481B85" w14:textId="4F531DC2" w:rsidR="00093609" w:rsidRDefault="006E7651" w:rsidP="008B0EB3">
      <w:pPr>
        <w:pStyle w:val="ListParagraph"/>
        <w:numPr>
          <w:ilvl w:val="0"/>
          <w:numId w:val="25"/>
        </w:numPr>
      </w:pPr>
      <w:r>
        <w:t xml:space="preserve">Les </w:t>
      </w:r>
      <w:r w:rsidRPr="00093609">
        <w:rPr>
          <w:b/>
        </w:rPr>
        <w:t>financements privés domestiques</w:t>
      </w:r>
      <w:r>
        <w:t xml:space="preserve"> com</w:t>
      </w:r>
      <w:r w:rsidR="003146B2">
        <w:t>prennent</w:t>
      </w:r>
      <w:r>
        <w:t xml:space="preserve"> le secteur financier national dont les banques commerciales, la microfinance, </w:t>
      </w:r>
      <w:r w:rsidR="00093609">
        <w:t>les caisses d’assurances et de retraites, etc. ainsi que le secteur des entreprises privées.</w:t>
      </w:r>
    </w:p>
    <w:p w14:paraId="72CA819B" w14:textId="1D021ED4" w:rsidR="00976C0B" w:rsidRPr="00976C0B" w:rsidRDefault="00093609" w:rsidP="008B0EB3">
      <w:pPr>
        <w:pStyle w:val="ListParagraph"/>
        <w:numPr>
          <w:ilvl w:val="0"/>
          <w:numId w:val="25"/>
        </w:numPr>
      </w:pPr>
      <w:r w:rsidRPr="00303142">
        <w:rPr>
          <w:szCs w:val="22"/>
        </w:rPr>
        <w:t xml:space="preserve">Les </w:t>
      </w:r>
      <w:r w:rsidRPr="00093609">
        <w:rPr>
          <w:b/>
          <w:szCs w:val="22"/>
        </w:rPr>
        <w:t>financements internationaux publics</w:t>
      </w:r>
      <w:r w:rsidRPr="00093609">
        <w:rPr>
          <w:szCs w:val="22"/>
        </w:rPr>
        <w:t xml:space="preserve"> </w:t>
      </w:r>
      <w:r w:rsidRPr="00A93E22">
        <w:rPr>
          <w:b/>
          <w:szCs w:val="22"/>
        </w:rPr>
        <w:t>du développement</w:t>
      </w:r>
      <w:r w:rsidRPr="00093609">
        <w:rPr>
          <w:szCs w:val="22"/>
        </w:rPr>
        <w:t xml:space="preserve"> (FPD), </w:t>
      </w:r>
      <w:r w:rsidR="00A5015C">
        <w:t>répartis en deux</w:t>
      </w:r>
      <w:r>
        <w:t xml:space="preserve"> catégories (multilatéral et bilatéral),</w:t>
      </w:r>
      <w:r w:rsidR="003146B2">
        <w:rPr>
          <w:szCs w:val="22"/>
        </w:rPr>
        <w:t xml:space="preserve"> sont l’aide publique pour le d</w:t>
      </w:r>
      <w:r w:rsidRPr="00093609">
        <w:rPr>
          <w:szCs w:val="22"/>
        </w:rPr>
        <w:t xml:space="preserve">éveloppement (APD) et les autres apports du secteur public </w:t>
      </w:r>
      <w:r w:rsidR="003146B2">
        <w:rPr>
          <w:szCs w:val="22"/>
        </w:rPr>
        <w:t>(AASP). L’APD selon le Comité d’aide au développement</w:t>
      </w:r>
      <w:r w:rsidRPr="00093609">
        <w:rPr>
          <w:szCs w:val="22"/>
        </w:rPr>
        <w:t xml:space="preserve"> (CAD) de l’Organisation </w:t>
      </w:r>
      <w:r w:rsidR="00976C0B" w:rsidRPr="00976C0B">
        <w:rPr>
          <w:rStyle w:val="Emphasis"/>
          <w:i w:val="0"/>
        </w:rPr>
        <w:t>de coopération</w:t>
      </w:r>
      <w:r w:rsidR="00976C0B">
        <w:rPr>
          <w:rStyle w:val="st"/>
          <w:rFonts w:eastAsiaTheme="majorEastAsia"/>
        </w:rPr>
        <w:t xml:space="preserve"> et de développement économiques</w:t>
      </w:r>
      <w:r w:rsidR="00976C0B" w:rsidRPr="00093609">
        <w:rPr>
          <w:szCs w:val="22"/>
        </w:rPr>
        <w:t xml:space="preserve"> </w:t>
      </w:r>
      <w:r w:rsidRPr="00093609">
        <w:rPr>
          <w:szCs w:val="22"/>
        </w:rPr>
        <w:t>(OCDE) se définit comme étant</w:t>
      </w:r>
      <w:r w:rsidR="007B417D">
        <w:rPr>
          <w:rStyle w:val="FootnoteReference"/>
          <w:szCs w:val="22"/>
        </w:rPr>
        <w:footnoteReference w:id="1"/>
      </w:r>
      <w:r w:rsidR="002E3C44">
        <w:rPr>
          <w:szCs w:val="22"/>
        </w:rPr>
        <w:t> :</w:t>
      </w:r>
    </w:p>
    <w:p w14:paraId="1EF0223D" w14:textId="03240652" w:rsidR="00976C0B" w:rsidRPr="00976C0B" w:rsidRDefault="00093609" w:rsidP="008B0EB3">
      <w:pPr>
        <w:pStyle w:val="ListParagraph"/>
        <w:numPr>
          <w:ilvl w:val="0"/>
          <w:numId w:val="40"/>
        </w:numPr>
      </w:pPr>
      <w:r w:rsidRPr="00093609">
        <w:rPr>
          <w:szCs w:val="22"/>
        </w:rPr>
        <w:t xml:space="preserve">allouée par </w:t>
      </w:r>
      <w:r w:rsidRPr="00093609">
        <w:rPr>
          <w:bCs/>
          <w:iCs/>
          <w:szCs w:val="22"/>
        </w:rPr>
        <w:t>des organismes publics</w:t>
      </w:r>
      <w:r w:rsidRPr="00093609">
        <w:rPr>
          <w:szCs w:val="22"/>
        </w:rPr>
        <w:t xml:space="preserve"> (y compris les États et les collectivités locales, ou d’organismes agissant pour le compte d’organismes publics) pour but essentiel de favoriser le </w:t>
      </w:r>
      <w:r w:rsidRPr="00093609">
        <w:rPr>
          <w:bCs/>
          <w:iCs/>
          <w:szCs w:val="22"/>
        </w:rPr>
        <w:t>développement économique et l’amélioration du niveau de vie des pays en développement</w:t>
      </w:r>
      <w:r w:rsidR="00856272">
        <w:rPr>
          <w:szCs w:val="22"/>
        </w:rPr>
        <w:t xml:space="preserve"> (PED),</w:t>
      </w:r>
    </w:p>
    <w:p w14:paraId="23215AB0" w14:textId="65E48A78" w:rsidR="00976C0B" w:rsidRPr="00976C0B" w:rsidRDefault="00093609" w:rsidP="008B0EB3">
      <w:pPr>
        <w:pStyle w:val="ListParagraph"/>
        <w:numPr>
          <w:ilvl w:val="0"/>
          <w:numId w:val="40"/>
        </w:numPr>
      </w:pPr>
      <w:r w:rsidRPr="00093609">
        <w:rPr>
          <w:szCs w:val="22"/>
        </w:rPr>
        <w:t xml:space="preserve">assortie de conditions favorables et d’un </w:t>
      </w:r>
      <w:r w:rsidRPr="00093609">
        <w:rPr>
          <w:bCs/>
          <w:iCs/>
          <w:szCs w:val="22"/>
        </w:rPr>
        <w:t>élément de libéralité</w:t>
      </w:r>
      <w:r w:rsidR="007B417D">
        <w:rPr>
          <w:bCs/>
          <w:iCs/>
          <w:szCs w:val="22"/>
        </w:rPr>
        <w:t xml:space="preserve"> (valeur calculée qui permet de mesurer le degré de </w:t>
      </w:r>
      <w:proofErr w:type="spellStart"/>
      <w:r w:rsidR="007B417D">
        <w:rPr>
          <w:bCs/>
          <w:iCs/>
          <w:szCs w:val="22"/>
        </w:rPr>
        <w:t>concessionnalité</w:t>
      </w:r>
      <w:proofErr w:type="spellEnd"/>
      <w:r w:rsidR="007B417D">
        <w:rPr>
          <w:bCs/>
          <w:iCs/>
          <w:szCs w:val="22"/>
        </w:rPr>
        <w:t xml:space="preserve"> d’un prêt)</w:t>
      </w:r>
      <w:r w:rsidRPr="00093609">
        <w:rPr>
          <w:szCs w:val="22"/>
        </w:rPr>
        <w:t xml:space="preserve"> au moins égal à 25 % (sur la base d’un taux d’actualisation de 10 pour cent). </w:t>
      </w:r>
    </w:p>
    <w:p w14:paraId="521A1D75" w14:textId="040DC214" w:rsidR="00303142" w:rsidRPr="00303142" w:rsidRDefault="00303142" w:rsidP="00976C0B">
      <w:pPr>
        <w:ind w:left="720"/>
      </w:pPr>
      <w:r w:rsidRPr="00976C0B">
        <w:rPr>
          <w:szCs w:val="22"/>
        </w:rPr>
        <w:t>L’APD peut se déclin</w:t>
      </w:r>
      <w:r w:rsidR="00976C0B">
        <w:rPr>
          <w:szCs w:val="22"/>
        </w:rPr>
        <w:t>er</w:t>
      </w:r>
      <w:r w:rsidRPr="00976C0B">
        <w:rPr>
          <w:szCs w:val="22"/>
        </w:rPr>
        <w:t xml:space="preserve"> en soutien budg</w:t>
      </w:r>
      <w:r w:rsidR="00976C0B">
        <w:rPr>
          <w:szCs w:val="22"/>
        </w:rPr>
        <w:t xml:space="preserve">étaire général, soutien aux </w:t>
      </w:r>
      <w:r w:rsidR="002E3C44">
        <w:rPr>
          <w:szCs w:val="22"/>
        </w:rPr>
        <w:t>organisations non gouvernementales (</w:t>
      </w:r>
      <w:r w:rsidR="00976C0B">
        <w:rPr>
          <w:szCs w:val="22"/>
        </w:rPr>
        <w:t>ONG</w:t>
      </w:r>
      <w:r w:rsidR="002E3C44">
        <w:rPr>
          <w:szCs w:val="22"/>
        </w:rPr>
        <w:t>)</w:t>
      </w:r>
      <w:r w:rsidRPr="00976C0B">
        <w:rPr>
          <w:szCs w:val="22"/>
        </w:rPr>
        <w:t>, projets d’investissement, etc.</w:t>
      </w:r>
    </w:p>
    <w:p w14:paraId="000CEF78" w14:textId="37C480FF" w:rsidR="00303142" w:rsidRDefault="00093609" w:rsidP="00303142">
      <w:pPr>
        <w:pStyle w:val="ListParagraph"/>
        <w:rPr>
          <w:szCs w:val="22"/>
        </w:rPr>
      </w:pPr>
      <w:r w:rsidRPr="00303142">
        <w:rPr>
          <w:szCs w:val="22"/>
        </w:rPr>
        <w:lastRenderedPageBreak/>
        <w:t xml:space="preserve">Les AASP sont les autres appuis financiers qui ne répondent pas aux critères de l’APD tels que </w:t>
      </w:r>
      <w:r w:rsidR="00303142" w:rsidRPr="00303142">
        <w:rPr>
          <w:szCs w:val="22"/>
        </w:rPr>
        <w:t xml:space="preserve">les financements </w:t>
      </w:r>
      <w:r w:rsidR="00EA241C">
        <w:rPr>
          <w:szCs w:val="22"/>
        </w:rPr>
        <w:t xml:space="preserve">non </w:t>
      </w:r>
      <w:r w:rsidR="00303142" w:rsidRPr="00303142">
        <w:rPr>
          <w:szCs w:val="22"/>
        </w:rPr>
        <w:t xml:space="preserve">concessionnels, </w:t>
      </w:r>
      <w:r w:rsidRPr="00303142">
        <w:rPr>
          <w:szCs w:val="22"/>
        </w:rPr>
        <w:t>les crédits à l’exportation</w:t>
      </w:r>
      <w:r w:rsidR="002E3C44">
        <w:rPr>
          <w:szCs w:val="22"/>
        </w:rPr>
        <w:t>,</w:t>
      </w:r>
      <w:r w:rsidRPr="00303142">
        <w:rPr>
          <w:szCs w:val="22"/>
        </w:rPr>
        <w:t xml:space="preserve"> les participations et autres éléments d’actifs bilatéraux. </w:t>
      </w:r>
    </w:p>
    <w:p w14:paraId="74D3FAFA" w14:textId="33B65C1A" w:rsidR="00E27C95" w:rsidRDefault="002E3C44" w:rsidP="00303142">
      <w:pPr>
        <w:pStyle w:val="ListParagraph"/>
        <w:rPr>
          <w:szCs w:val="22"/>
        </w:rPr>
      </w:pPr>
      <w:r>
        <w:rPr>
          <w:szCs w:val="22"/>
        </w:rPr>
        <w:t>Ces</w:t>
      </w:r>
      <w:r w:rsidR="00E27C95" w:rsidRPr="002E3C44">
        <w:rPr>
          <w:szCs w:val="22"/>
        </w:rPr>
        <w:t xml:space="preserve"> financements </w:t>
      </w:r>
      <w:r>
        <w:rPr>
          <w:szCs w:val="22"/>
        </w:rPr>
        <w:t>peuvent être attribués directement aux pays par</w:t>
      </w:r>
      <w:r w:rsidR="00E27C95" w:rsidRPr="002E3C44">
        <w:rPr>
          <w:szCs w:val="22"/>
        </w:rPr>
        <w:t xml:space="preserve"> les institutions </w:t>
      </w:r>
      <w:r>
        <w:rPr>
          <w:szCs w:val="22"/>
        </w:rPr>
        <w:t>publique</w:t>
      </w:r>
      <w:r w:rsidRPr="002E3C44">
        <w:rPr>
          <w:szCs w:val="22"/>
        </w:rPr>
        <w:t xml:space="preserve">s </w:t>
      </w:r>
      <w:r w:rsidR="00E27C95" w:rsidRPr="002E3C44">
        <w:rPr>
          <w:szCs w:val="22"/>
        </w:rPr>
        <w:t xml:space="preserve">en charge de la coopération internationale </w:t>
      </w:r>
      <w:r>
        <w:rPr>
          <w:szCs w:val="22"/>
        </w:rPr>
        <w:t>ou par l’</w:t>
      </w:r>
      <w:r w:rsidR="00A44F48">
        <w:rPr>
          <w:szCs w:val="22"/>
        </w:rPr>
        <w:t>intermédiaire</w:t>
      </w:r>
      <w:r>
        <w:rPr>
          <w:szCs w:val="22"/>
        </w:rPr>
        <w:t xml:space="preserve"> </w:t>
      </w:r>
      <w:r w:rsidR="00A44F48">
        <w:rPr>
          <w:szCs w:val="22"/>
        </w:rPr>
        <w:t>de</w:t>
      </w:r>
      <w:r w:rsidR="00E27C95" w:rsidRPr="002E3C44">
        <w:rPr>
          <w:szCs w:val="22"/>
        </w:rPr>
        <w:t xml:space="preserve"> fonds et initiatives spécifiques d’appui au financement des activités de la Stratégie Nationale REDD+.</w:t>
      </w:r>
    </w:p>
    <w:p w14:paraId="2E028F02" w14:textId="58DE3B2F" w:rsidR="004719E7" w:rsidRDefault="00303142" w:rsidP="008B0EB3">
      <w:pPr>
        <w:pStyle w:val="ListParagraph"/>
        <w:numPr>
          <w:ilvl w:val="0"/>
          <w:numId w:val="25"/>
        </w:numPr>
        <w:rPr>
          <w:szCs w:val="22"/>
        </w:rPr>
      </w:pPr>
      <w:r w:rsidRPr="004719E7">
        <w:rPr>
          <w:szCs w:val="22"/>
        </w:rPr>
        <w:t xml:space="preserve">Les </w:t>
      </w:r>
      <w:r w:rsidRPr="004719E7">
        <w:rPr>
          <w:b/>
          <w:szCs w:val="22"/>
        </w:rPr>
        <w:t>financements internationaux privé</w:t>
      </w:r>
      <w:r w:rsidR="004719E7" w:rsidRPr="004719E7">
        <w:rPr>
          <w:b/>
          <w:szCs w:val="22"/>
        </w:rPr>
        <w:t>s</w:t>
      </w:r>
      <w:r w:rsidRPr="004719E7">
        <w:rPr>
          <w:szCs w:val="22"/>
        </w:rPr>
        <w:t xml:space="preserve"> </w:t>
      </w:r>
      <w:r w:rsidR="004719E7">
        <w:rPr>
          <w:szCs w:val="22"/>
        </w:rPr>
        <w:t xml:space="preserve">étudiés </w:t>
      </w:r>
      <w:r w:rsidRPr="004719E7">
        <w:rPr>
          <w:szCs w:val="22"/>
        </w:rPr>
        <w:t>sont les Investissements Etrangers</w:t>
      </w:r>
      <w:r w:rsidR="00307598">
        <w:rPr>
          <w:szCs w:val="22"/>
        </w:rPr>
        <w:t xml:space="preserve"> Directs (IED</w:t>
      </w:r>
      <w:r w:rsidRPr="004719E7">
        <w:rPr>
          <w:szCs w:val="22"/>
        </w:rPr>
        <w:t xml:space="preserve">) </w:t>
      </w:r>
      <w:r w:rsidR="00307598">
        <w:rPr>
          <w:szCs w:val="22"/>
        </w:rPr>
        <w:t xml:space="preserve">et les financements issus des fondations privées. Les IED se définissent comme étant </w:t>
      </w:r>
      <w:r w:rsidR="004719E7">
        <w:rPr>
          <w:szCs w:val="22"/>
        </w:rPr>
        <w:t>d</w:t>
      </w:r>
      <w:r w:rsidRPr="004719E7">
        <w:rPr>
          <w:szCs w:val="22"/>
        </w:rPr>
        <w:t xml:space="preserve">es mouvements internationaux de capitaux réalisés en vue de créer, développer ou maintenir une filiale à l’étranger et/ou d’exercer </w:t>
      </w:r>
      <w:r w:rsidR="004719E7" w:rsidRPr="004719E7">
        <w:rPr>
          <w:szCs w:val="22"/>
        </w:rPr>
        <w:t>une influence significative</w:t>
      </w:r>
      <w:r w:rsidRPr="004719E7">
        <w:rPr>
          <w:szCs w:val="22"/>
        </w:rPr>
        <w:t xml:space="preserve"> sur la gestion d'une entreprise étrangère</w:t>
      </w:r>
      <w:r w:rsidR="004719E7" w:rsidRPr="004719E7">
        <w:rPr>
          <w:szCs w:val="22"/>
        </w:rPr>
        <w:t xml:space="preserve">. </w:t>
      </w:r>
      <w:r w:rsidR="004719E7">
        <w:rPr>
          <w:szCs w:val="22"/>
        </w:rPr>
        <w:t xml:space="preserve"> </w:t>
      </w:r>
    </w:p>
    <w:p w14:paraId="3178DD2C" w14:textId="3335149F" w:rsidR="00093609" w:rsidRPr="004719E7" w:rsidRDefault="00303142" w:rsidP="004719E7">
      <w:pPr>
        <w:pStyle w:val="ListParagraph"/>
        <w:rPr>
          <w:szCs w:val="22"/>
        </w:rPr>
      </w:pPr>
      <w:r w:rsidRPr="004719E7">
        <w:rPr>
          <w:szCs w:val="22"/>
        </w:rPr>
        <w:br/>
      </w:r>
    </w:p>
    <w:p w14:paraId="094B8D1A" w14:textId="77777777" w:rsidR="007F0D33" w:rsidRDefault="007F0D33" w:rsidP="007F0D33">
      <w:pPr>
        <w:autoSpaceDE w:val="0"/>
        <w:autoSpaceDN w:val="0"/>
        <w:adjustRightInd w:val="0"/>
        <w:spacing w:after="0"/>
        <w:jc w:val="left"/>
        <w:rPr>
          <w:rFonts w:ascii="Calibri" w:eastAsiaTheme="minorHAnsi" w:hAnsi="Calibri" w:cs="Calibri"/>
          <w:sz w:val="18"/>
          <w:szCs w:val="18"/>
          <w:lang w:eastAsia="en-US"/>
        </w:rPr>
      </w:pPr>
    </w:p>
    <w:p w14:paraId="2B85675B" w14:textId="1768585E" w:rsidR="005834C5" w:rsidRDefault="00D3496F" w:rsidP="005834C5">
      <w:pPr>
        <w:pStyle w:val="Heading1"/>
      </w:pPr>
      <w:bookmarkStart w:id="13" w:name="_Toc454886782"/>
      <w:r>
        <w:lastRenderedPageBreak/>
        <w:t xml:space="preserve">I - </w:t>
      </w:r>
      <w:r w:rsidR="005834C5">
        <w:t xml:space="preserve">Financements </w:t>
      </w:r>
      <w:r w:rsidR="00267915">
        <w:t>internationaux</w:t>
      </w:r>
      <w:bookmarkEnd w:id="13"/>
    </w:p>
    <w:p w14:paraId="1304C6F0" w14:textId="54802A77" w:rsidR="00A10B64" w:rsidRPr="00A10B64" w:rsidRDefault="00267915" w:rsidP="008B0EB3">
      <w:pPr>
        <w:pStyle w:val="Heading2"/>
        <w:numPr>
          <w:ilvl w:val="0"/>
          <w:numId w:val="28"/>
        </w:numPr>
      </w:pPr>
      <w:bookmarkStart w:id="14" w:name="_Toc454886783"/>
      <w:r w:rsidRPr="00C178BB">
        <w:t>Les financem</w:t>
      </w:r>
      <w:r w:rsidR="0037453D">
        <w:t>e</w:t>
      </w:r>
      <w:r w:rsidRPr="00C178BB">
        <w:t>nts internationaux publics</w:t>
      </w:r>
      <w:bookmarkEnd w:id="14"/>
      <w:r w:rsidRPr="00C178BB">
        <w:t xml:space="preserve"> </w:t>
      </w:r>
    </w:p>
    <w:p w14:paraId="748C23CE" w14:textId="418BB38C" w:rsidR="00A10B64" w:rsidRDefault="0078057A" w:rsidP="00A814EB">
      <w:pPr>
        <w:rPr>
          <w:szCs w:val="22"/>
        </w:rPr>
      </w:pPr>
      <w:r>
        <w:rPr>
          <w:szCs w:val="22"/>
        </w:rPr>
        <w:t>En 2014, d</w:t>
      </w:r>
      <w:r w:rsidR="000F60D0">
        <w:rPr>
          <w:szCs w:val="22"/>
        </w:rPr>
        <w:t xml:space="preserve">’après les statistiques de l’OCDE, </w:t>
      </w:r>
      <w:r w:rsidR="00CF7B8A">
        <w:rPr>
          <w:szCs w:val="22"/>
        </w:rPr>
        <w:t xml:space="preserve">les </w:t>
      </w:r>
      <w:r w:rsidR="00A93E22">
        <w:rPr>
          <w:szCs w:val="22"/>
        </w:rPr>
        <w:t>financements internationaux publics du développement (FPD)</w:t>
      </w:r>
      <w:r w:rsidR="000F60D0">
        <w:rPr>
          <w:szCs w:val="22"/>
        </w:rPr>
        <w:t xml:space="preserve"> </w:t>
      </w:r>
      <w:r w:rsidR="00CF7B8A">
        <w:rPr>
          <w:szCs w:val="22"/>
        </w:rPr>
        <w:t xml:space="preserve">vers les </w:t>
      </w:r>
      <w:r w:rsidR="00A93E22">
        <w:rPr>
          <w:szCs w:val="22"/>
        </w:rPr>
        <w:t xml:space="preserve">pays en voie de développement </w:t>
      </w:r>
      <w:r w:rsidR="000F60D0">
        <w:rPr>
          <w:szCs w:val="22"/>
        </w:rPr>
        <w:t>s’</w:t>
      </w:r>
      <w:r w:rsidR="00CF7B8A">
        <w:rPr>
          <w:szCs w:val="22"/>
        </w:rPr>
        <w:t>élève</w:t>
      </w:r>
      <w:r w:rsidR="000F60D0">
        <w:rPr>
          <w:szCs w:val="22"/>
        </w:rPr>
        <w:t xml:space="preserve"> à 181 </w:t>
      </w:r>
      <w:r w:rsidR="00CF7B8A">
        <w:rPr>
          <w:szCs w:val="22"/>
        </w:rPr>
        <w:t xml:space="preserve">milliards </w:t>
      </w:r>
      <w:r w:rsidR="00B0444B">
        <w:rPr>
          <w:szCs w:val="22"/>
        </w:rPr>
        <w:t>d’USD</w:t>
      </w:r>
      <w:r w:rsidR="000F60D0">
        <w:rPr>
          <w:szCs w:val="22"/>
        </w:rPr>
        <w:t xml:space="preserve"> dont 160,6 pour l’APD </w:t>
      </w:r>
      <w:r w:rsidR="00CF7B8A">
        <w:rPr>
          <w:szCs w:val="22"/>
        </w:rPr>
        <w:t>(</w:t>
      </w:r>
      <w:r w:rsidR="0002134F">
        <w:rPr>
          <w:szCs w:val="22"/>
        </w:rPr>
        <w:t xml:space="preserve">136,5 milliards </w:t>
      </w:r>
      <w:r w:rsidR="00B0444B">
        <w:rPr>
          <w:szCs w:val="22"/>
        </w:rPr>
        <w:t>d’USD</w:t>
      </w:r>
      <w:r w:rsidR="0002134F">
        <w:rPr>
          <w:szCs w:val="22"/>
        </w:rPr>
        <w:t xml:space="preserve"> de contribution des membres du CAD) dont </w:t>
      </w:r>
      <w:r w:rsidR="00CF7B8A">
        <w:rPr>
          <w:szCs w:val="22"/>
        </w:rPr>
        <w:t xml:space="preserve">73% par des donneurs bilatéraux et 27% par des organismes multilatéraux) </w:t>
      </w:r>
      <w:r w:rsidR="000F60D0">
        <w:rPr>
          <w:szCs w:val="22"/>
        </w:rPr>
        <w:t>et 20,4</w:t>
      </w:r>
      <w:r w:rsidR="007C3BC9">
        <w:rPr>
          <w:szCs w:val="22"/>
        </w:rPr>
        <w:t xml:space="preserve"> millions</w:t>
      </w:r>
      <w:r w:rsidR="000F60D0">
        <w:rPr>
          <w:szCs w:val="22"/>
        </w:rPr>
        <w:t xml:space="preserve"> pour les A</w:t>
      </w:r>
      <w:r w:rsidR="00A93E22">
        <w:rPr>
          <w:szCs w:val="22"/>
        </w:rPr>
        <w:t xml:space="preserve">utres </w:t>
      </w:r>
      <w:r w:rsidR="000F60D0">
        <w:rPr>
          <w:szCs w:val="22"/>
        </w:rPr>
        <w:t>A</w:t>
      </w:r>
      <w:r w:rsidR="00A93E22">
        <w:rPr>
          <w:szCs w:val="22"/>
        </w:rPr>
        <w:t xml:space="preserve">ppuis du </w:t>
      </w:r>
      <w:r w:rsidR="000F60D0">
        <w:rPr>
          <w:szCs w:val="22"/>
        </w:rPr>
        <w:t>S</w:t>
      </w:r>
      <w:r w:rsidR="00A93E22">
        <w:rPr>
          <w:szCs w:val="22"/>
        </w:rPr>
        <w:t xml:space="preserve">ecteur </w:t>
      </w:r>
      <w:r w:rsidR="000F60D0">
        <w:rPr>
          <w:szCs w:val="22"/>
        </w:rPr>
        <w:t>P</w:t>
      </w:r>
      <w:r w:rsidR="00A93E22">
        <w:rPr>
          <w:szCs w:val="22"/>
        </w:rPr>
        <w:t>ublic (AASP)</w:t>
      </w:r>
      <w:r w:rsidR="00A10B64">
        <w:rPr>
          <w:rStyle w:val="FootnoteReference"/>
          <w:szCs w:val="22"/>
        </w:rPr>
        <w:footnoteReference w:id="2"/>
      </w:r>
      <w:r w:rsidR="00A10B64">
        <w:rPr>
          <w:szCs w:val="22"/>
        </w:rPr>
        <w:t>.</w:t>
      </w:r>
    </w:p>
    <w:p w14:paraId="7847724E" w14:textId="605266AF" w:rsidR="00A814EB" w:rsidRDefault="00EF323B" w:rsidP="006A16D7">
      <w:r>
        <w:t xml:space="preserve">En Afrique Subsaharienne, les versements nets d’APD s’élèvent en 2014 à 43 950 millions </w:t>
      </w:r>
      <w:r w:rsidR="00B0444B">
        <w:t>d’USD</w:t>
      </w:r>
      <w:r>
        <w:t xml:space="preserve"> dont 58% par des donneurs bilatéraux et 42% par des organismes multilatéraux. Pour la République du Congo</w:t>
      </w:r>
      <w:r w:rsidR="00C5001E">
        <w:t xml:space="preserve">, les montants totaux des recettes d’APD entre 2010 et 2014 sont repris dans le tableau ci-dessous : </w:t>
      </w:r>
    </w:p>
    <w:tbl>
      <w:tblPr>
        <w:tblStyle w:val="TableauGrille4-Accentuation13"/>
        <w:tblW w:w="7041" w:type="dxa"/>
        <w:jc w:val="center"/>
        <w:tblLook w:val="04A0" w:firstRow="1" w:lastRow="0" w:firstColumn="1" w:lastColumn="0" w:noHBand="0" w:noVBand="1"/>
      </w:tblPr>
      <w:tblGrid>
        <w:gridCol w:w="1913"/>
        <w:gridCol w:w="1040"/>
        <w:gridCol w:w="1028"/>
        <w:gridCol w:w="1022"/>
        <w:gridCol w:w="1020"/>
        <w:gridCol w:w="1018"/>
      </w:tblGrid>
      <w:tr w:rsidR="0022381B" w:rsidRPr="0078057A" w14:paraId="38AFEED3" w14:textId="77777777" w:rsidTr="00E27C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3" w:type="dxa"/>
          </w:tcPr>
          <w:p w14:paraId="751F80DE" w14:textId="77777777" w:rsidR="0022381B" w:rsidRPr="0078057A" w:rsidRDefault="0022381B" w:rsidP="00C5001E">
            <w:pPr>
              <w:spacing w:after="0"/>
              <w:jc w:val="center"/>
              <w:rPr>
                <w:sz w:val="20"/>
                <w:szCs w:val="20"/>
              </w:rPr>
            </w:pPr>
          </w:p>
        </w:tc>
        <w:tc>
          <w:tcPr>
            <w:tcW w:w="1040" w:type="dxa"/>
          </w:tcPr>
          <w:p w14:paraId="7AC45DAF" w14:textId="71FF95B7" w:rsidR="0022381B" w:rsidRPr="0078057A" w:rsidRDefault="0022381B" w:rsidP="00C5001E">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8057A">
              <w:rPr>
                <w:sz w:val="20"/>
                <w:szCs w:val="20"/>
              </w:rPr>
              <w:t>2010</w:t>
            </w:r>
          </w:p>
        </w:tc>
        <w:tc>
          <w:tcPr>
            <w:tcW w:w="1028" w:type="dxa"/>
          </w:tcPr>
          <w:p w14:paraId="5A4AFAE8" w14:textId="30F596F0" w:rsidR="0022381B" w:rsidRPr="0078057A" w:rsidRDefault="0022381B" w:rsidP="00C5001E">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8057A">
              <w:rPr>
                <w:sz w:val="20"/>
                <w:szCs w:val="20"/>
              </w:rPr>
              <w:t>2011</w:t>
            </w:r>
          </w:p>
        </w:tc>
        <w:tc>
          <w:tcPr>
            <w:tcW w:w="1022" w:type="dxa"/>
          </w:tcPr>
          <w:p w14:paraId="09888BB3" w14:textId="58AC44D6" w:rsidR="0022381B" w:rsidRPr="0078057A" w:rsidRDefault="0022381B" w:rsidP="00C5001E">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8057A">
              <w:rPr>
                <w:sz w:val="20"/>
                <w:szCs w:val="20"/>
              </w:rPr>
              <w:t>2012</w:t>
            </w:r>
          </w:p>
        </w:tc>
        <w:tc>
          <w:tcPr>
            <w:tcW w:w="1020" w:type="dxa"/>
          </w:tcPr>
          <w:p w14:paraId="5663F757" w14:textId="63D9A2CD" w:rsidR="0022381B" w:rsidRPr="0078057A" w:rsidRDefault="0022381B" w:rsidP="00C5001E">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8057A">
              <w:rPr>
                <w:sz w:val="20"/>
                <w:szCs w:val="20"/>
              </w:rPr>
              <w:t>2013</w:t>
            </w:r>
          </w:p>
        </w:tc>
        <w:tc>
          <w:tcPr>
            <w:tcW w:w="1018" w:type="dxa"/>
          </w:tcPr>
          <w:p w14:paraId="5414AFFA" w14:textId="2F47833E" w:rsidR="0022381B" w:rsidRPr="0078057A" w:rsidRDefault="0022381B" w:rsidP="00C5001E">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8057A">
              <w:rPr>
                <w:sz w:val="20"/>
                <w:szCs w:val="20"/>
              </w:rPr>
              <w:t>2014</w:t>
            </w:r>
          </w:p>
        </w:tc>
      </w:tr>
      <w:tr w:rsidR="00995BEE" w:rsidRPr="0078057A" w14:paraId="518B3E31" w14:textId="77777777" w:rsidTr="00E27C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3" w:type="dxa"/>
            <w:shd w:val="clear" w:color="auto" w:fill="FFFFFF" w:themeFill="background1"/>
          </w:tcPr>
          <w:p w14:paraId="1B7E339C" w14:textId="086A42C4" w:rsidR="00995BEE" w:rsidRPr="0078057A" w:rsidRDefault="00995BEE" w:rsidP="00995BEE">
            <w:pPr>
              <w:spacing w:after="0"/>
              <w:jc w:val="left"/>
              <w:rPr>
                <w:rFonts w:cs="Arial"/>
                <w:b w:val="0"/>
                <w:sz w:val="20"/>
                <w:szCs w:val="20"/>
              </w:rPr>
            </w:pPr>
            <w:r w:rsidRPr="0078057A">
              <w:rPr>
                <w:rFonts w:cs="Arial"/>
                <w:b w:val="0"/>
                <w:sz w:val="20"/>
                <w:szCs w:val="20"/>
              </w:rPr>
              <w:t>APD brut prêts</w:t>
            </w:r>
          </w:p>
        </w:tc>
        <w:tc>
          <w:tcPr>
            <w:tcW w:w="1040" w:type="dxa"/>
            <w:shd w:val="clear" w:color="auto" w:fill="FFFFFF" w:themeFill="background1"/>
            <w:vAlign w:val="bottom"/>
          </w:tcPr>
          <w:p w14:paraId="538EB72C" w14:textId="3E4BB620" w:rsidR="00995BEE" w:rsidRPr="0078057A" w:rsidRDefault="00995BEE" w:rsidP="00C5001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8057A">
              <w:rPr>
                <w:rFonts w:cs="Arial"/>
                <w:sz w:val="20"/>
                <w:szCs w:val="20"/>
              </w:rPr>
              <w:t>10,9</w:t>
            </w:r>
          </w:p>
        </w:tc>
        <w:tc>
          <w:tcPr>
            <w:tcW w:w="1028" w:type="dxa"/>
            <w:shd w:val="clear" w:color="auto" w:fill="FFFFFF" w:themeFill="background1"/>
            <w:vAlign w:val="bottom"/>
          </w:tcPr>
          <w:p w14:paraId="2515E21C" w14:textId="7996BB25" w:rsidR="00995BEE" w:rsidRPr="0078057A" w:rsidRDefault="00995BEE" w:rsidP="00C5001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8057A">
              <w:rPr>
                <w:rFonts w:cs="Arial"/>
                <w:sz w:val="20"/>
                <w:szCs w:val="20"/>
              </w:rPr>
              <w:t>38,2</w:t>
            </w:r>
          </w:p>
        </w:tc>
        <w:tc>
          <w:tcPr>
            <w:tcW w:w="1022" w:type="dxa"/>
            <w:shd w:val="clear" w:color="auto" w:fill="FFFFFF" w:themeFill="background1"/>
            <w:vAlign w:val="bottom"/>
          </w:tcPr>
          <w:p w14:paraId="53901ED1" w14:textId="26967AA5" w:rsidR="00995BEE" w:rsidRPr="0078057A" w:rsidRDefault="00995BEE" w:rsidP="00C5001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8057A">
              <w:rPr>
                <w:rFonts w:cs="Arial"/>
                <w:sz w:val="20"/>
                <w:szCs w:val="20"/>
              </w:rPr>
              <w:t>44,3</w:t>
            </w:r>
          </w:p>
        </w:tc>
        <w:tc>
          <w:tcPr>
            <w:tcW w:w="1020" w:type="dxa"/>
            <w:shd w:val="clear" w:color="auto" w:fill="FFFFFF" w:themeFill="background1"/>
            <w:vAlign w:val="bottom"/>
          </w:tcPr>
          <w:p w14:paraId="5AFB1F2D" w14:textId="75EBDDAF" w:rsidR="00995BEE" w:rsidRPr="0078057A" w:rsidRDefault="00995BEE" w:rsidP="00C5001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8057A">
              <w:rPr>
                <w:rFonts w:cs="Arial"/>
                <w:sz w:val="20"/>
                <w:szCs w:val="20"/>
              </w:rPr>
              <w:t>22,9</w:t>
            </w:r>
          </w:p>
        </w:tc>
        <w:tc>
          <w:tcPr>
            <w:tcW w:w="1018" w:type="dxa"/>
            <w:shd w:val="clear" w:color="auto" w:fill="FFFFFF" w:themeFill="background1"/>
            <w:vAlign w:val="bottom"/>
          </w:tcPr>
          <w:p w14:paraId="6EE7E6B9" w14:textId="74A4894B" w:rsidR="00995BEE" w:rsidRPr="0078057A" w:rsidRDefault="00995BEE" w:rsidP="00C5001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8057A">
              <w:rPr>
                <w:rFonts w:cs="Arial"/>
                <w:sz w:val="20"/>
                <w:szCs w:val="20"/>
              </w:rPr>
              <w:t>17,9</w:t>
            </w:r>
          </w:p>
        </w:tc>
      </w:tr>
      <w:tr w:rsidR="00995BEE" w:rsidRPr="0078057A" w14:paraId="07757293" w14:textId="77777777" w:rsidTr="00E27C95">
        <w:trPr>
          <w:jc w:val="center"/>
        </w:trPr>
        <w:tc>
          <w:tcPr>
            <w:cnfStyle w:val="001000000000" w:firstRow="0" w:lastRow="0" w:firstColumn="1" w:lastColumn="0" w:oddVBand="0" w:evenVBand="0" w:oddHBand="0" w:evenHBand="0" w:firstRowFirstColumn="0" w:firstRowLastColumn="0" w:lastRowFirstColumn="0" w:lastRowLastColumn="0"/>
            <w:tcW w:w="1913" w:type="dxa"/>
            <w:shd w:val="clear" w:color="auto" w:fill="FFFFFF" w:themeFill="background1"/>
          </w:tcPr>
          <w:p w14:paraId="783A875C" w14:textId="6F901FB5" w:rsidR="00995BEE" w:rsidRPr="0078057A" w:rsidRDefault="00995BEE" w:rsidP="00995BEE">
            <w:pPr>
              <w:spacing w:after="0"/>
              <w:jc w:val="left"/>
              <w:rPr>
                <w:rFonts w:cs="Arial"/>
                <w:b w:val="0"/>
                <w:sz w:val="20"/>
                <w:szCs w:val="20"/>
              </w:rPr>
            </w:pPr>
            <w:r w:rsidRPr="0078057A">
              <w:rPr>
                <w:rFonts w:cs="Arial"/>
                <w:b w:val="0"/>
                <w:sz w:val="20"/>
                <w:szCs w:val="20"/>
              </w:rPr>
              <w:t>APD dons</w:t>
            </w:r>
          </w:p>
        </w:tc>
        <w:tc>
          <w:tcPr>
            <w:tcW w:w="1040" w:type="dxa"/>
            <w:shd w:val="clear" w:color="auto" w:fill="FFFFFF" w:themeFill="background1"/>
            <w:vAlign w:val="bottom"/>
          </w:tcPr>
          <w:p w14:paraId="7867C376" w14:textId="6733F2DC" w:rsidR="00995BEE" w:rsidRPr="0078057A" w:rsidRDefault="00995BEE"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8057A">
              <w:rPr>
                <w:rFonts w:cs="Arial"/>
                <w:sz w:val="20"/>
                <w:szCs w:val="20"/>
              </w:rPr>
              <w:t>1589,9</w:t>
            </w:r>
          </w:p>
        </w:tc>
        <w:tc>
          <w:tcPr>
            <w:tcW w:w="1028" w:type="dxa"/>
            <w:shd w:val="clear" w:color="auto" w:fill="FFFFFF" w:themeFill="background1"/>
            <w:vAlign w:val="bottom"/>
          </w:tcPr>
          <w:p w14:paraId="3FC28D90" w14:textId="4EF8E26C" w:rsidR="00995BEE" w:rsidRPr="0078057A" w:rsidRDefault="00995BEE"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8057A">
              <w:rPr>
                <w:rFonts w:cs="Arial"/>
                <w:sz w:val="20"/>
                <w:szCs w:val="20"/>
              </w:rPr>
              <w:t>314,9</w:t>
            </w:r>
          </w:p>
        </w:tc>
        <w:tc>
          <w:tcPr>
            <w:tcW w:w="1022" w:type="dxa"/>
            <w:shd w:val="clear" w:color="auto" w:fill="FFFFFF" w:themeFill="background1"/>
            <w:vAlign w:val="bottom"/>
          </w:tcPr>
          <w:p w14:paraId="25BDA55B" w14:textId="3D1336C8" w:rsidR="00995BEE" w:rsidRPr="0078057A" w:rsidRDefault="00995BEE"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8057A">
              <w:rPr>
                <w:rFonts w:cs="Arial"/>
                <w:sz w:val="20"/>
                <w:szCs w:val="20"/>
              </w:rPr>
              <w:t>147,3</w:t>
            </w:r>
          </w:p>
        </w:tc>
        <w:tc>
          <w:tcPr>
            <w:tcW w:w="1020" w:type="dxa"/>
            <w:shd w:val="clear" w:color="auto" w:fill="FFFFFF" w:themeFill="background1"/>
            <w:vAlign w:val="bottom"/>
          </w:tcPr>
          <w:p w14:paraId="777D57F1" w14:textId="25295F90" w:rsidR="00995BEE" w:rsidRPr="0078057A" w:rsidRDefault="00995BEE"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8057A">
              <w:rPr>
                <w:rFonts w:cs="Arial"/>
                <w:sz w:val="20"/>
                <w:szCs w:val="20"/>
              </w:rPr>
              <w:t>156,3</w:t>
            </w:r>
          </w:p>
        </w:tc>
        <w:tc>
          <w:tcPr>
            <w:tcW w:w="1018" w:type="dxa"/>
            <w:shd w:val="clear" w:color="auto" w:fill="FFFFFF" w:themeFill="background1"/>
            <w:vAlign w:val="bottom"/>
          </w:tcPr>
          <w:p w14:paraId="1EA3A81F" w14:textId="3F43E709" w:rsidR="00995BEE" w:rsidRPr="0078057A" w:rsidRDefault="00995BEE"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8057A">
              <w:rPr>
                <w:rFonts w:cs="Arial"/>
                <w:sz w:val="20"/>
                <w:szCs w:val="20"/>
              </w:rPr>
              <w:t>121,8</w:t>
            </w:r>
          </w:p>
        </w:tc>
      </w:tr>
      <w:tr w:rsidR="0022381B" w:rsidRPr="0078057A" w14:paraId="5D3EA6CF" w14:textId="77777777" w:rsidTr="00E27C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3" w:type="dxa"/>
          </w:tcPr>
          <w:p w14:paraId="0EBD430D" w14:textId="28A99C59" w:rsidR="0022381B" w:rsidRPr="0078057A" w:rsidRDefault="0022381B" w:rsidP="00995BEE">
            <w:pPr>
              <w:spacing w:after="0"/>
              <w:jc w:val="left"/>
              <w:rPr>
                <w:rFonts w:cs="Arial"/>
                <w:sz w:val="20"/>
                <w:szCs w:val="20"/>
              </w:rPr>
            </w:pPr>
            <w:r w:rsidRPr="0078057A">
              <w:rPr>
                <w:rFonts w:cs="Arial"/>
                <w:sz w:val="20"/>
                <w:szCs w:val="20"/>
              </w:rPr>
              <w:t xml:space="preserve">APD </w:t>
            </w:r>
            <w:r w:rsidR="00995BEE" w:rsidRPr="0078057A">
              <w:rPr>
                <w:rFonts w:cs="Arial"/>
                <w:sz w:val="20"/>
                <w:szCs w:val="20"/>
              </w:rPr>
              <w:t>nette</w:t>
            </w:r>
          </w:p>
        </w:tc>
        <w:tc>
          <w:tcPr>
            <w:tcW w:w="1040" w:type="dxa"/>
            <w:vAlign w:val="bottom"/>
          </w:tcPr>
          <w:p w14:paraId="0A14B347" w14:textId="37AD540E" w:rsidR="0022381B" w:rsidRPr="0078057A" w:rsidRDefault="0022381B" w:rsidP="00C5001E">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78057A">
              <w:rPr>
                <w:rFonts w:cs="Arial"/>
                <w:b/>
                <w:sz w:val="20"/>
                <w:szCs w:val="20"/>
              </w:rPr>
              <w:t>1</w:t>
            </w:r>
            <w:r w:rsidR="00995BEE" w:rsidRPr="0078057A">
              <w:rPr>
                <w:rFonts w:cs="Arial"/>
                <w:b/>
                <w:sz w:val="20"/>
                <w:szCs w:val="20"/>
              </w:rPr>
              <w:t> </w:t>
            </w:r>
            <w:r w:rsidRPr="0078057A">
              <w:rPr>
                <w:rFonts w:cs="Arial"/>
                <w:b/>
                <w:sz w:val="20"/>
                <w:szCs w:val="20"/>
              </w:rPr>
              <w:t>315</w:t>
            </w:r>
            <w:r w:rsidR="00995BEE" w:rsidRPr="0078057A">
              <w:rPr>
                <w:rFonts w:cs="Arial"/>
                <w:b/>
                <w:sz w:val="20"/>
                <w:szCs w:val="20"/>
              </w:rPr>
              <w:t>,1</w:t>
            </w:r>
            <w:r w:rsidR="0078057A" w:rsidRPr="0078057A">
              <w:rPr>
                <w:rFonts w:cs="Arial"/>
                <w:b/>
                <w:sz w:val="20"/>
                <w:szCs w:val="20"/>
              </w:rPr>
              <w:t>*</w:t>
            </w:r>
          </w:p>
        </w:tc>
        <w:tc>
          <w:tcPr>
            <w:tcW w:w="1028" w:type="dxa"/>
            <w:vAlign w:val="bottom"/>
          </w:tcPr>
          <w:p w14:paraId="572E641D" w14:textId="06FFCCFF" w:rsidR="0022381B" w:rsidRPr="0078057A" w:rsidRDefault="0022381B" w:rsidP="00C5001E">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78057A">
              <w:rPr>
                <w:rFonts w:cs="Arial"/>
                <w:b/>
                <w:sz w:val="20"/>
                <w:szCs w:val="20"/>
              </w:rPr>
              <w:t>261</w:t>
            </w:r>
          </w:p>
        </w:tc>
        <w:tc>
          <w:tcPr>
            <w:tcW w:w="1022" w:type="dxa"/>
            <w:vAlign w:val="bottom"/>
          </w:tcPr>
          <w:p w14:paraId="29C384A7" w14:textId="75EF91BD" w:rsidR="0022381B" w:rsidRPr="0078057A" w:rsidRDefault="0022381B" w:rsidP="00C5001E">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78057A">
              <w:rPr>
                <w:rFonts w:cs="Arial"/>
                <w:b/>
                <w:sz w:val="20"/>
                <w:szCs w:val="20"/>
              </w:rPr>
              <w:t>139</w:t>
            </w:r>
            <w:r w:rsidR="00995BEE" w:rsidRPr="0078057A">
              <w:rPr>
                <w:rFonts w:cs="Arial"/>
                <w:b/>
                <w:sz w:val="20"/>
                <w:szCs w:val="20"/>
              </w:rPr>
              <w:t>,2</w:t>
            </w:r>
          </w:p>
        </w:tc>
        <w:tc>
          <w:tcPr>
            <w:tcW w:w="1020" w:type="dxa"/>
            <w:vAlign w:val="bottom"/>
          </w:tcPr>
          <w:p w14:paraId="4CC4C585" w14:textId="7E614DB8" w:rsidR="0022381B" w:rsidRPr="0078057A" w:rsidRDefault="00995BEE" w:rsidP="00C5001E">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78057A">
              <w:rPr>
                <w:rFonts w:cs="Arial"/>
                <w:b/>
                <w:sz w:val="20"/>
                <w:szCs w:val="20"/>
              </w:rPr>
              <w:t>150,8</w:t>
            </w:r>
          </w:p>
        </w:tc>
        <w:tc>
          <w:tcPr>
            <w:tcW w:w="1018" w:type="dxa"/>
            <w:vAlign w:val="bottom"/>
          </w:tcPr>
          <w:p w14:paraId="33DA6AC4" w14:textId="332DD842" w:rsidR="0022381B" w:rsidRPr="0078057A" w:rsidRDefault="00995BEE" w:rsidP="00C5001E">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78057A">
              <w:rPr>
                <w:rFonts w:cs="Arial"/>
                <w:b/>
                <w:sz w:val="20"/>
                <w:szCs w:val="20"/>
              </w:rPr>
              <w:t>105,6</w:t>
            </w:r>
          </w:p>
        </w:tc>
      </w:tr>
      <w:tr w:rsidR="0078057A" w:rsidRPr="0078057A" w14:paraId="57D23C6F" w14:textId="77777777" w:rsidTr="00E27C95">
        <w:trPr>
          <w:jc w:val="center"/>
        </w:trPr>
        <w:tc>
          <w:tcPr>
            <w:cnfStyle w:val="001000000000" w:firstRow="0" w:lastRow="0" w:firstColumn="1" w:lastColumn="0" w:oddVBand="0" w:evenVBand="0" w:oddHBand="0" w:evenHBand="0" w:firstRowFirstColumn="0" w:firstRowLastColumn="0" w:lastRowFirstColumn="0" w:lastRowLastColumn="0"/>
            <w:tcW w:w="1913" w:type="dxa"/>
            <w:shd w:val="clear" w:color="auto" w:fill="FFFFFF" w:themeFill="background1"/>
          </w:tcPr>
          <w:p w14:paraId="1D5A089F" w14:textId="618CD9BF" w:rsidR="0078057A" w:rsidRPr="00E27C95" w:rsidRDefault="0078057A" w:rsidP="00995BEE">
            <w:pPr>
              <w:spacing w:after="0"/>
              <w:jc w:val="left"/>
              <w:rPr>
                <w:rFonts w:cs="Arial"/>
                <w:b w:val="0"/>
                <w:i/>
                <w:sz w:val="16"/>
                <w:szCs w:val="16"/>
              </w:rPr>
            </w:pPr>
            <w:r w:rsidRPr="00E27C95">
              <w:rPr>
                <w:rFonts w:cs="Arial"/>
                <w:b w:val="0"/>
                <w:i/>
                <w:sz w:val="16"/>
                <w:szCs w:val="16"/>
              </w:rPr>
              <w:t>Dont APD multilatérale</w:t>
            </w:r>
          </w:p>
        </w:tc>
        <w:tc>
          <w:tcPr>
            <w:tcW w:w="1040" w:type="dxa"/>
            <w:shd w:val="clear" w:color="auto" w:fill="FFFFFF" w:themeFill="background1"/>
            <w:vAlign w:val="bottom"/>
          </w:tcPr>
          <w:p w14:paraId="22097289" w14:textId="0064AA95" w:rsidR="0078057A" w:rsidRPr="00E27C95" w:rsidRDefault="00E27C95"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i/>
                <w:sz w:val="16"/>
                <w:szCs w:val="16"/>
              </w:rPr>
            </w:pPr>
            <w:r w:rsidRPr="00E27C95">
              <w:rPr>
                <w:rFonts w:cs="Arial"/>
                <w:i/>
                <w:sz w:val="16"/>
                <w:szCs w:val="16"/>
              </w:rPr>
              <w:t>95,4</w:t>
            </w:r>
          </w:p>
        </w:tc>
        <w:tc>
          <w:tcPr>
            <w:tcW w:w="1028" w:type="dxa"/>
            <w:shd w:val="clear" w:color="auto" w:fill="FFFFFF" w:themeFill="background1"/>
            <w:vAlign w:val="bottom"/>
          </w:tcPr>
          <w:p w14:paraId="5F7BC324" w14:textId="30F0D811" w:rsidR="0078057A" w:rsidRPr="00E27C95" w:rsidRDefault="00E27C95"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i/>
                <w:sz w:val="16"/>
                <w:szCs w:val="16"/>
              </w:rPr>
            </w:pPr>
            <w:r w:rsidRPr="00E27C95">
              <w:rPr>
                <w:rFonts w:cs="Arial"/>
                <w:i/>
                <w:sz w:val="16"/>
                <w:szCs w:val="16"/>
              </w:rPr>
              <w:t>84,3</w:t>
            </w:r>
          </w:p>
        </w:tc>
        <w:tc>
          <w:tcPr>
            <w:tcW w:w="1022" w:type="dxa"/>
            <w:shd w:val="clear" w:color="auto" w:fill="FFFFFF" w:themeFill="background1"/>
            <w:vAlign w:val="bottom"/>
          </w:tcPr>
          <w:p w14:paraId="29FA1FF6" w14:textId="229DD806" w:rsidR="0078057A" w:rsidRPr="00E27C95" w:rsidRDefault="00E27C95"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i/>
                <w:sz w:val="16"/>
                <w:szCs w:val="16"/>
              </w:rPr>
            </w:pPr>
            <w:r w:rsidRPr="00E27C95">
              <w:rPr>
                <w:rFonts w:cs="Arial"/>
                <w:i/>
                <w:sz w:val="16"/>
                <w:szCs w:val="16"/>
              </w:rPr>
              <w:t>89,2</w:t>
            </w:r>
          </w:p>
        </w:tc>
        <w:tc>
          <w:tcPr>
            <w:tcW w:w="1020" w:type="dxa"/>
            <w:shd w:val="clear" w:color="auto" w:fill="FFFFFF" w:themeFill="background1"/>
            <w:vAlign w:val="bottom"/>
          </w:tcPr>
          <w:p w14:paraId="7BA8D8B6" w14:textId="1C7529DC" w:rsidR="0078057A" w:rsidRPr="00E27C95" w:rsidRDefault="00E27C95"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i/>
                <w:sz w:val="16"/>
                <w:szCs w:val="16"/>
              </w:rPr>
            </w:pPr>
            <w:r w:rsidRPr="00E27C95">
              <w:rPr>
                <w:rFonts w:cs="Arial"/>
                <w:i/>
                <w:sz w:val="16"/>
                <w:szCs w:val="16"/>
              </w:rPr>
              <w:t>72,3</w:t>
            </w:r>
          </w:p>
        </w:tc>
        <w:tc>
          <w:tcPr>
            <w:tcW w:w="1018" w:type="dxa"/>
            <w:shd w:val="clear" w:color="auto" w:fill="FFFFFF" w:themeFill="background1"/>
            <w:vAlign w:val="bottom"/>
          </w:tcPr>
          <w:p w14:paraId="178EAEBD" w14:textId="55D3A1EE" w:rsidR="0078057A" w:rsidRPr="00E27C95" w:rsidRDefault="00E27C95"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i/>
                <w:sz w:val="16"/>
                <w:szCs w:val="16"/>
              </w:rPr>
            </w:pPr>
            <w:r w:rsidRPr="00E27C95">
              <w:rPr>
                <w:rFonts w:cs="Arial"/>
                <w:i/>
                <w:sz w:val="16"/>
                <w:szCs w:val="16"/>
              </w:rPr>
              <w:t>56,2</w:t>
            </w:r>
          </w:p>
        </w:tc>
      </w:tr>
      <w:tr w:rsidR="00995BEE" w:rsidRPr="0078057A" w14:paraId="7F2F34E4" w14:textId="77777777" w:rsidTr="00E27C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3" w:type="dxa"/>
            <w:shd w:val="clear" w:color="auto" w:fill="FFFFFF" w:themeFill="background1"/>
          </w:tcPr>
          <w:p w14:paraId="1181C5E9" w14:textId="54C9BBB4" w:rsidR="00995BEE" w:rsidRPr="0078057A" w:rsidRDefault="00995BEE" w:rsidP="00995BEE">
            <w:pPr>
              <w:spacing w:after="0"/>
              <w:jc w:val="left"/>
              <w:rPr>
                <w:rFonts w:cs="Arial"/>
                <w:b w:val="0"/>
                <w:sz w:val="20"/>
                <w:szCs w:val="20"/>
              </w:rPr>
            </w:pPr>
            <w:r w:rsidRPr="0078057A">
              <w:rPr>
                <w:rFonts w:cs="Arial"/>
                <w:b w:val="0"/>
                <w:sz w:val="20"/>
                <w:szCs w:val="20"/>
              </w:rPr>
              <w:t>AASP brut</w:t>
            </w:r>
          </w:p>
        </w:tc>
        <w:tc>
          <w:tcPr>
            <w:tcW w:w="1040" w:type="dxa"/>
            <w:shd w:val="clear" w:color="auto" w:fill="FFFFFF" w:themeFill="background1"/>
            <w:vAlign w:val="bottom"/>
          </w:tcPr>
          <w:p w14:paraId="3A924899" w14:textId="3B9E77B3" w:rsidR="00995BEE" w:rsidRPr="00E27C95" w:rsidRDefault="00995BEE" w:rsidP="00C5001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27C95">
              <w:rPr>
                <w:rFonts w:cs="Arial"/>
                <w:sz w:val="20"/>
                <w:szCs w:val="20"/>
              </w:rPr>
              <w:t>0,6</w:t>
            </w:r>
          </w:p>
        </w:tc>
        <w:tc>
          <w:tcPr>
            <w:tcW w:w="1028" w:type="dxa"/>
            <w:shd w:val="clear" w:color="auto" w:fill="FFFFFF" w:themeFill="background1"/>
            <w:vAlign w:val="bottom"/>
          </w:tcPr>
          <w:p w14:paraId="18F7DDF7" w14:textId="4962D775" w:rsidR="00995BEE" w:rsidRPr="0078057A" w:rsidRDefault="00995BEE" w:rsidP="00C5001E">
            <w:pPr>
              <w:spacing w:after="0"/>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78057A">
              <w:rPr>
                <w:rFonts w:cs="Arial"/>
                <w:b/>
                <w:sz w:val="20"/>
                <w:szCs w:val="20"/>
              </w:rPr>
              <w:t>-</w:t>
            </w:r>
          </w:p>
        </w:tc>
        <w:tc>
          <w:tcPr>
            <w:tcW w:w="1022" w:type="dxa"/>
            <w:shd w:val="clear" w:color="auto" w:fill="FFFFFF" w:themeFill="background1"/>
            <w:vAlign w:val="bottom"/>
          </w:tcPr>
          <w:p w14:paraId="780B1209" w14:textId="6FF07DA4" w:rsidR="00995BEE" w:rsidRPr="00E27C95" w:rsidRDefault="00995BEE" w:rsidP="00C5001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27C95">
              <w:rPr>
                <w:rFonts w:cs="Arial"/>
                <w:sz w:val="20"/>
                <w:szCs w:val="20"/>
              </w:rPr>
              <w:t>2,2</w:t>
            </w:r>
          </w:p>
        </w:tc>
        <w:tc>
          <w:tcPr>
            <w:tcW w:w="1020" w:type="dxa"/>
            <w:shd w:val="clear" w:color="auto" w:fill="FFFFFF" w:themeFill="background1"/>
            <w:vAlign w:val="bottom"/>
          </w:tcPr>
          <w:p w14:paraId="5BBFE425" w14:textId="7810EA1F" w:rsidR="00995BEE" w:rsidRPr="00E27C95" w:rsidRDefault="00995BEE" w:rsidP="00C5001E">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E27C95">
              <w:rPr>
                <w:rFonts w:cs="Arial"/>
                <w:sz w:val="20"/>
                <w:szCs w:val="20"/>
              </w:rPr>
              <w:t>0,1</w:t>
            </w:r>
          </w:p>
        </w:tc>
        <w:tc>
          <w:tcPr>
            <w:tcW w:w="1018" w:type="dxa"/>
            <w:shd w:val="clear" w:color="auto" w:fill="FFFFFF" w:themeFill="background1"/>
            <w:vAlign w:val="bottom"/>
          </w:tcPr>
          <w:p w14:paraId="6BA04976" w14:textId="3BF296AE" w:rsidR="00995BEE" w:rsidRPr="0078057A" w:rsidRDefault="00995BEE" w:rsidP="00C5001E">
            <w:pPr>
              <w:spacing w:after="0"/>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78057A">
              <w:rPr>
                <w:rFonts w:cs="Arial"/>
                <w:b/>
                <w:sz w:val="20"/>
                <w:szCs w:val="20"/>
              </w:rPr>
              <w:t>-</w:t>
            </w:r>
          </w:p>
        </w:tc>
      </w:tr>
      <w:tr w:rsidR="00995BEE" w:rsidRPr="0078057A" w14:paraId="08B9A3B3" w14:textId="77777777" w:rsidTr="00E27C95">
        <w:trPr>
          <w:jc w:val="center"/>
        </w:trPr>
        <w:tc>
          <w:tcPr>
            <w:cnfStyle w:val="001000000000" w:firstRow="0" w:lastRow="0" w:firstColumn="1" w:lastColumn="0" w:oddVBand="0" w:evenVBand="0" w:oddHBand="0" w:evenHBand="0" w:firstRowFirstColumn="0" w:firstRowLastColumn="0" w:lastRowFirstColumn="0" w:lastRowLastColumn="0"/>
            <w:tcW w:w="1913" w:type="dxa"/>
            <w:shd w:val="clear" w:color="auto" w:fill="E9F0F6" w:themeFill="accent1" w:themeFillTint="33"/>
          </w:tcPr>
          <w:p w14:paraId="31FF1C6C" w14:textId="6AC7A6C8" w:rsidR="00995BEE" w:rsidRPr="0078057A" w:rsidRDefault="00995BEE" w:rsidP="00995BEE">
            <w:pPr>
              <w:tabs>
                <w:tab w:val="left" w:pos="1279"/>
              </w:tabs>
              <w:spacing w:after="0"/>
              <w:jc w:val="left"/>
              <w:rPr>
                <w:rFonts w:cs="Arial"/>
                <w:sz w:val="20"/>
                <w:szCs w:val="20"/>
              </w:rPr>
            </w:pPr>
            <w:r w:rsidRPr="0078057A">
              <w:rPr>
                <w:rFonts w:cs="Arial"/>
                <w:sz w:val="20"/>
                <w:szCs w:val="20"/>
              </w:rPr>
              <w:t>AASP net</w:t>
            </w:r>
            <w:r w:rsidRPr="0078057A">
              <w:rPr>
                <w:rFonts w:cs="Arial"/>
                <w:sz w:val="20"/>
                <w:szCs w:val="20"/>
              </w:rPr>
              <w:tab/>
            </w:r>
          </w:p>
        </w:tc>
        <w:tc>
          <w:tcPr>
            <w:tcW w:w="1040" w:type="dxa"/>
            <w:shd w:val="clear" w:color="auto" w:fill="E9F0F6" w:themeFill="accent1" w:themeFillTint="33"/>
            <w:vAlign w:val="bottom"/>
          </w:tcPr>
          <w:p w14:paraId="22F2165B" w14:textId="4704AE80" w:rsidR="00995BEE" w:rsidRPr="0078057A" w:rsidRDefault="00995BEE"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78057A">
              <w:rPr>
                <w:rFonts w:cs="Arial"/>
                <w:b/>
                <w:sz w:val="20"/>
                <w:szCs w:val="20"/>
              </w:rPr>
              <w:t>-974,7</w:t>
            </w:r>
          </w:p>
        </w:tc>
        <w:tc>
          <w:tcPr>
            <w:tcW w:w="1028" w:type="dxa"/>
            <w:shd w:val="clear" w:color="auto" w:fill="E9F0F6" w:themeFill="accent1" w:themeFillTint="33"/>
            <w:vAlign w:val="bottom"/>
          </w:tcPr>
          <w:p w14:paraId="3C506099" w14:textId="3BBFC566" w:rsidR="00995BEE" w:rsidRPr="0078057A" w:rsidRDefault="00995BEE"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78057A">
              <w:rPr>
                <w:rFonts w:cs="Arial"/>
                <w:b/>
                <w:sz w:val="20"/>
                <w:szCs w:val="20"/>
              </w:rPr>
              <w:t>-55,5</w:t>
            </w:r>
          </w:p>
        </w:tc>
        <w:tc>
          <w:tcPr>
            <w:tcW w:w="1022" w:type="dxa"/>
            <w:shd w:val="clear" w:color="auto" w:fill="E9F0F6" w:themeFill="accent1" w:themeFillTint="33"/>
            <w:vAlign w:val="bottom"/>
          </w:tcPr>
          <w:p w14:paraId="7296A89E" w14:textId="3B54B565" w:rsidR="00995BEE" w:rsidRPr="0078057A" w:rsidRDefault="00995BEE"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78057A">
              <w:rPr>
                <w:rFonts w:cs="Arial"/>
                <w:b/>
                <w:sz w:val="20"/>
                <w:szCs w:val="20"/>
              </w:rPr>
              <w:t>-8,5</w:t>
            </w:r>
          </w:p>
        </w:tc>
        <w:tc>
          <w:tcPr>
            <w:tcW w:w="1020" w:type="dxa"/>
            <w:shd w:val="clear" w:color="auto" w:fill="E9F0F6" w:themeFill="accent1" w:themeFillTint="33"/>
            <w:vAlign w:val="bottom"/>
          </w:tcPr>
          <w:p w14:paraId="18CFA9D7" w14:textId="542C1CAB" w:rsidR="00995BEE" w:rsidRPr="0078057A" w:rsidRDefault="00995BEE"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78057A">
              <w:rPr>
                <w:rFonts w:cs="Arial"/>
                <w:b/>
                <w:sz w:val="20"/>
                <w:szCs w:val="20"/>
              </w:rPr>
              <w:t>-10,9</w:t>
            </w:r>
          </w:p>
        </w:tc>
        <w:tc>
          <w:tcPr>
            <w:tcW w:w="1018" w:type="dxa"/>
            <w:shd w:val="clear" w:color="auto" w:fill="E9F0F6" w:themeFill="accent1" w:themeFillTint="33"/>
            <w:vAlign w:val="bottom"/>
          </w:tcPr>
          <w:p w14:paraId="71B35B12" w14:textId="648B6EF2" w:rsidR="00995BEE" w:rsidRPr="0078057A" w:rsidRDefault="00995BEE" w:rsidP="00C5001E">
            <w:pPr>
              <w:spacing w:after="0"/>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78057A">
              <w:rPr>
                <w:rFonts w:cs="Arial"/>
                <w:b/>
                <w:sz w:val="20"/>
                <w:szCs w:val="20"/>
              </w:rPr>
              <w:t>-8,2</w:t>
            </w:r>
          </w:p>
        </w:tc>
      </w:tr>
    </w:tbl>
    <w:p w14:paraId="0F7E7AAD" w14:textId="59A9FCEE" w:rsidR="0078057A" w:rsidRPr="00C052B0" w:rsidRDefault="0078057A" w:rsidP="00C052B0">
      <w:pPr>
        <w:spacing w:after="0"/>
        <w:ind w:left="993" w:right="992"/>
        <w:rPr>
          <w:sz w:val="14"/>
        </w:rPr>
      </w:pPr>
      <w:r w:rsidRPr="00C052B0">
        <w:rPr>
          <w:sz w:val="14"/>
        </w:rPr>
        <w:t xml:space="preserve">* On note que la différence observée dans les dons en APD </w:t>
      </w:r>
      <w:r w:rsidR="00C052B0">
        <w:rPr>
          <w:sz w:val="14"/>
        </w:rPr>
        <w:t xml:space="preserve">(très supérieurs en 2010) </w:t>
      </w:r>
      <w:r w:rsidRPr="00C052B0">
        <w:rPr>
          <w:sz w:val="14"/>
        </w:rPr>
        <w:t xml:space="preserve">s’explique par des annulations/remises de dettes estimées à hauteur de 1190 millions </w:t>
      </w:r>
      <w:r w:rsidR="00B0444B">
        <w:rPr>
          <w:sz w:val="14"/>
        </w:rPr>
        <w:t>d’USD</w:t>
      </w:r>
      <w:r w:rsidRPr="00C052B0">
        <w:rPr>
          <w:sz w:val="14"/>
        </w:rPr>
        <w:t xml:space="preserve"> </w:t>
      </w:r>
      <w:r w:rsidR="007C3BC9">
        <w:rPr>
          <w:sz w:val="14"/>
        </w:rPr>
        <w:t>dont la majorité provient de</w:t>
      </w:r>
      <w:r w:rsidRPr="00C052B0">
        <w:rPr>
          <w:sz w:val="14"/>
        </w:rPr>
        <w:t xml:space="preserve"> la France.  </w:t>
      </w:r>
    </w:p>
    <w:p w14:paraId="1143C2F9" w14:textId="1C374497" w:rsidR="00C4230E" w:rsidRDefault="00C5001E" w:rsidP="00995BEE">
      <w:pPr>
        <w:pStyle w:val="Caption"/>
      </w:pPr>
      <w:bookmarkStart w:id="15" w:name="_Toc454886800"/>
      <w:r>
        <w:t xml:space="preserve">Tableau </w:t>
      </w:r>
      <w:r>
        <w:fldChar w:fldCharType="begin"/>
      </w:r>
      <w:r>
        <w:instrText xml:space="preserve"> SEQ Tableau \* ARABIC </w:instrText>
      </w:r>
      <w:r>
        <w:fldChar w:fldCharType="separate"/>
      </w:r>
      <w:r w:rsidR="0080491D">
        <w:rPr>
          <w:noProof/>
        </w:rPr>
        <w:t>1</w:t>
      </w:r>
      <w:r>
        <w:fldChar w:fldCharType="end"/>
      </w:r>
      <w:r>
        <w:t xml:space="preserve">: </w:t>
      </w:r>
      <w:r w:rsidR="00995BEE">
        <w:t>Recettes d’</w:t>
      </w:r>
      <w:r>
        <w:t>APD</w:t>
      </w:r>
      <w:r w:rsidR="00995BEE">
        <w:t xml:space="preserve"> et AASP</w:t>
      </w:r>
      <w:r>
        <w:t xml:space="preserve"> (en millions </w:t>
      </w:r>
      <w:r w:rsidR="00B0444B">
        <w:t>d’USD</w:t>
      </w:r>
      <w:r>
        <w:t xml:space="preserve">) de la République du Congo entre 2010 et 2014 (source : </w:t>
      </w:r>
      <w:r w:rsidR="00995BEE">
        <w:t>OCDE, 2016</w:t>
      </w:r>
      <w:r>
        <w:t>)</w:t>
      </w:r>
      <w:bookmarkEnd w:id="15"/>
    </w:p>
    <w:p w14:paraId="150B9454" w14:textId="66B69132" w:rsidR="00995BEE" w:rsidRPr="00995BEE" w:rsidRDefault="00E27C95" w:rsidP="00995BEE">
      <w:r>
        <w:t xml:space="preserve">On </w:t>
      </w:r>
      <w:r w:rsidR="007C3BC9">
        <w:t>note</w:t>
      </w:r>
      <w:r>
        <w:t xml:space="preserve"> que l</w:t>
      </w:r>
      <w:r w:rsidR="00995BEE">
        <w:t>es AASP et notamment les financements non concessionnels bénéficient majoritairement aux pays à revenus intermédiaires (95% des opérations en 2012</w:t>
      </w:r>
      <w:r w:rsidR="00995BEE" w:rsidRPr="00C4230E">
        <w:rPr>
          <w:rFonts w:asciiTheme="majorHAnsi" w:eastAsiaTheme="minorHAnsi" w:hAnsiTheme="majorHAnsi" w:cs="Caecilia-Italic"/>
          <w:iCs/>
          <w:szCs w:val="22"/>
          <w:lang w:eastAsia="en-US"/>
        </w:rPr>
        <w:t>)</w:t>
      </w:r>
      <w:r w:rsidR="00995BEE">
        <w:rPr>
          <w:rFonts w:asciiTheme="majorHAnsi" w:eastAsiaTheme="minorHAnsi" w:hAnsiTheme="majorHAnsi" w:cs="Caecilia-Italic"/>
          <w:iCs/>
          <w:szCs w:val="22"/>
          <w:lang w:eastAsia="en-US"/>
        </w:rPr>
        <w:t xml:space="preserve"> pour </w:t>
      </w:r>
      <w:r w:rsidR="0097585A">
        <w:rPr>
          <w:rFonts w:asciiTheme="majorHAnsi" w:eastAsiaTheme="minorHAnsi" w:hAnsiTheme="majorHAnsi" w:cs="Caecilia-Italic"/>
          <w:iCs/>
          <w:szCs w:val="22"/>
          <w:lang w:eastAsia="en-US"/>
        </w:rPr>
        <w:t>principalement</w:t>
      </w:r>
      <w:r w:rsidR="00995BEE">
        <w:rPr>
          <w:rFonts w:asciiTheme="majorHAnsi" w:eastAsiaTheme="minorHAnsi" w:hAnsiTheme="majorHAnsi" w:cs="Caecilia-Italic"/>
          <w:iCs/>
          <w:szCs w:val="22"/>
          <w:lang w:eastAsia="en-US"/>
        </w:rPr>
        <w:t xml:space="preserve"> les secteurs des infrastructures économiques et sociales (77% des financements concessionnels des </w:t>
      </w:r>
      <w:r w:rsidR="00DB1179">
        <w:rPr>
          <w:rFonts w:asciiTheme="majorHAnsi" w:eastAsiaTheme="minorHAnsi" w:hAnsiTheme="majorHAnsi" w:cs="Caecilia-Italic"/>
          <w:iCs/>
          <w:szCs w:val="22"/>
          <w:lang w:eastAsia="en-US"/>
        </w:rPr>
        <w:t>Institutions Financières Internationales, IFI,</w:t>
      </w:r>
      <w:r w:rsidR="00995BEE">
        <w:rPr>
          <w:rFonts w:asciiTheme="majorHAnsi" w:eastAsiaTheme="minorHAnsi" w:hAnsiTheme="majorHAnsi" w:cs="Caecilia-Italic"/>
          <w:iCs/>
          <w:szCs w:val="22"/>
          <w:lang w:eastAsia="en-US"/>
        </w:rPr>
        <w:t xml:space="preserve"> en 2012) et les secteurs de productions (14%) (</w:t>
      </w:r>
      <w:r w:rsidR="00995BEE" w:rsidRPr="00C4230E">
        <w:rPr>
          <w:rFonts w:asciiTheme="majorHAnsi" w:eastAsiaTheme="minorHAnsi" w:hAnsiTheme="majorHAnsi" w:cs="Caecilia-Italic"/>
          <w:iCs/>
          <w:szCs w:val="22"/>
          <w:lang w:eastAsia="en-US"/>
        </w:rPr>
        <w:t xml:space="preserve">Klein </w:t>
      </w:r>
      <w:r w:rsidR="00995BEE" w:rsidRPr="003D4212">
        <w:rPr>
          <w:rFonts w:asciiTheme="majorHAnsi" w:eastAsiaTheme="minorHAnsi" w:hAnsiTheme="majorHAnsi" w:cs="Caecilia-Italic"/>
          <w:i/>
          <w:iCs/>
          <w:szCs w:val="22"/>
          <w:lang w:eastAsia="en-US"/>
        </w:rPr>
        <w:t xml:space="preserve">et </w:t>
      </w:r>
      <w:proofErr w:type="gramStart"/>
      <w:r w:rsidR="00995BEE" w:rsidRPr="003D4212">
        <w:rPr>
          <w:rFonts w:asciiTheme="majorHAnsi" w:eastAsiaTheme="minorHAnsi" w:hAnsiTheme="majorHAnsi" w:cs="Caecilia-Italic"/>
          <w:i/>
          <w:iCs/>
          <w:szCs w:val="22"/>
          <w:lang w:eastAsia="en-US"/>
        </w:rPr>
        <w:t>al.</w:t>
      </w:r>
      <w:r w:rsidR="00995BEE" w:rsidRPr="00C4230E">
        <w:rPr>
          <w:rFonts w:asciiTheme="majorHAnsi" w:eastAsiaTheme="minorHAnsi" w:hAnsiTheme="majorHAnsi" w:cs="Caecilia-Italic"/>
          <w:iCs/>
          <w:szCs w:val="22"/>
          <w:lang w:eastAsia="en-US"/>
        </w:rPr>
        <w:t>,</w:t>
      </w:r>
      <w:proofErr w:type="gramEnd"/>
      <w:r w:rsidR="00995BEE" w:rsidRPr="00C4230E">
        <w:rPr>
          <w:rFonts w:asciiTheme="majorHAnsi" w:eastAsiaTheme="minorHAnsi" w:hAnsiTheme="majorHAnsi" w:cs="Caecilia-Italic"/>
          <w:iCs/>
          <w:szCs w:val="22"/>
          <w:lang w:eastAsia="en-US"/>
        </w:rPr>
        <w:t xml:space="preserve"> 2015</w:t>
      </w:r>
      <w:r w:rsidR="00995BEE">
        <w:rPr>
          <w:rFonts w:asciiTheme="majorHAnsi" w:eastAsiaTheme="minorHAnsi" w:hAnsiTheme="majorHAnsi" w:cs="Caecilia-Italic"/>
          <w:iCs/>
          <w:szCs w:val="22"/>
          <w:lang w:eastAsia="en-US"/>
        </w:rPr>
        <w:t>).</w:t>
      </w:r>
    </w:p>
    <w:p w14:paraId="631ABF7E" w14:textId="7BDE79BD" w:rsidR="00EA1530" w:rsidRDefault="009B5748" w:rsidP="00FD1E40">
      <w:pPr>
        <w:autoSpaceDE w:val="0"/>
        <w:autoSpaceDN w:val="0"/>
        <w:adjustRightInd w:val="0"/>
        <w:spacing w:after="0"/>
        <w:rPr>
          <w:rFonts w:asciiTheme="majorHAnsi" w:eastAsiaTheme="minorHAnsi" w:hAnsiTheme="majorHAnsi" w:cs="Caecilia-Italic"/>
          <w:iCs/>
          <w:szCs w:val="22"/>
          <w:lang w:eastAsia="en-US"/>
        </w:rPr>
      </w:pPr>
      <w:r w:rsidRPr="00E27C95">
        <w:t xml:space="preserve">Dans le cadre de ce plan d’investissement destiné à identifier les sources de financement potentielles à la mise en œuvre des activités de la stratégie REDD+, en matière de financements public internationaux, on </w:t>
      </w:r>
      <w:r w:rsidR="009773DD">
        <w:t>traite de</w:t>
      </w:r>
      <w:r w:rsidRPr="00E27C95">
        <w:t xml:space="preserve"> l’APD distribuée aux pays par le biais des organisations multilatérales et bilatérales</w:t>
      </w:r>
      <w:r w:rsidR="00DB1179">
        <w:t xml:space="preserve"> et des</w:t>
      </w:r>
      <w:r w:rsidR="00D32212" w:rsidRPr="00E27C95">
        <w:t xml:space="preserve"> financements concessionnels </w:t>
      </w:r>
      <w:r w:rsidR="006F27C5" w:rsidRPr="00E27C95">
        <w:t>rele</w:t>
      </w:r>
      <w:r w:rsidR="00D32212" w:rsidRPr="00E27C95">
        <w:t>vant de</w:t>
      </w:r>
      <w:r w:rsidR="007C1201" w:rsidRPr="00E27C95">
        <w:t xml:space="preserve"> l’AASP </w:t>
      </w:r>
      <w:r w:rsidR="006F27C5" w:rsidRPr="00E27C95">
        <w:t>accordés</w:t>
      </w:r>
      <w:r w:rsidR="009773DD">
        <w:t xml:space="preserve"> notamment</w:t>
      </w:r>
      <w:r w:rsidR="006F27C5" w:rsidRPr="00E27C95">
        <w:t xml:space="preserve"> par </w:t>
      </w:r>
      <w:r w:rsidR="006F27C5" w:rsidRPr="00E27C95">
        <w:rPr>
          <w:rFonts w:asciiTheme="majorHAnsi" w:hAnsiTheme="majorHAnsi"/>
          <w:szCs w:val="22"/>
        </w:rPr>
        <w:t xml:space="preserve">les </w:t>
      </w:r>
      <w:r w:rsidR="00DB1179">
        <w:rPr>
          <w:rFonts w:asciiTheme="majorHAnsi" w:eastAsiaTheme="minorHAnsi" w:hAnsiTheme="majorHAnsi" w:cs="Caecilia-Italic"/>
          <w:iCs/>
          <w:szCs w:val="22"/>
          <w:lang w:eastAsia="en-US"/>
        </w:rPr>
        <w:t xml:space="preserve">IFI multilatérales </w:t>
      </w:r>
      <w:r w:rsidR="006F27C5" w:rsidRPr="00E27C95">
        <w:rPr>
          <w:rFonts w:asciiTheme="majorHAnsi" w:eastAsiaTheme="minorHAnsi" w:hAnsiTheme="majorHAnsi" w:cs="Caecilia-Italic"/>
          <w:iCs/>
          <w:szCs w:val="22"/>
          <w:lang w:eastAsia="en-US"/>
        </w:rPr>
        <w:t>(branche</w:t>
      </w:r>
      <w:r w:rsidR="00DB1179">
        <w:rPr>
          <w:rFonts w:asciiTheme="majorHAnsi" w:eastAsiaTheme="minorHAnsi" w:hAnsiTheme="majorHAnsi" w:cs="Caecilia-Italic"/>
          <w:iCs/>
          <w:szCs w:val="22"/>
          <w:lang w:eastAsia="en-US"/>
        </w:rPr>
        <w:t>s d’appui au</w:t>
      </w:r>
      <w:r w:rsidR="006F27C5" w:rsidRPr="00E27C95">
        <w:rPr>
          <w:rFonts w:asciiTheme="majorHAnsi" w:eastAsiaTheme="minorHAnsi" w:hAnsiTheme="majorHAnsi" w:cs="Caecilia-Italic"/>
          <w:iCs/>
          <w:szCs w:val="22"/>
          <w:lang w:eastAsia="en-US"/>
        </w:rPr>
        <w:t xml:space="preserve"> « secteur privé »</w:t>
      </w:r>
      <w:r w:rsidR="00EA1530" w:rsidRPr="00E27C95">
        <w:rPr>
          <w:rFonts w:asciiTheme="majorHAnsi" w:eastAsiaTheme="minorHAnsi" w:hAnsiTheme="majorHAnsi" w:cs="Caecilia-Italic"/>
          <w:iCs/>
          <w:szCs w:val="22"/>
          <w:lang w:eastAsia="en-US"/>
        </w:rPr>
        <w:t>)</w:t>
      </w:r>
      <w:r w:rsidR="007C1201" w:rsidRPr="00E27C95">
        <w:rPr>
          <w:rFonts w:asciiTheme="majorHAnsi" w:eastAsiaTheme="minorHAnsi" w:hAnsiTheme="majorHAnsi" w:cs="Caecilia-Italic"/>
          <w:i/>
          <w:iCs/>
          <w:szCs w:val="22"/>
          <w:lang w:eastAsia="en-US"/>
        </w:rPr>
        <w:t xml:space="preserve"> </w:t>
      </w:r>
      <w:r w:rsidR="006F27C5" w:rsidRPr="00E27C95">
        <w:rPr>
          <w:rFonts w:asciiTheme="majorHAnsi" w:eastAsiaTheme="minorHAnsi" w:hAnsiTheme="majorHAnsi" w:cs="Caecilia-Italic"/>
          <w:iCs/>
          <w:szCs w:val="22"/>
          <w:lang w:eastAsia="en-US"/>
        </w:rPr>
        <w:t>et bilatérales (</w:t>
      </w:r>
      <w:r w:rsidR="00EA1530" w:rsidRPr="00E27C95">
        <w:rPr>
          <w:rFonts w:asciiTheme="majorHAnsi" w:eastAsiaTheme="minorHAnsi" w:hAnsiTheme="majorHAnsi" w:cs="Caecilia-Italic"/>
          <w:iCs/>
          <w:szCs w:val="22"/>
          <w:lang w:eastAsia="en-US"/>
        </w:rPr>
        <w:t>institutions indépendantes et/ou filiales des banques bilatérales de développement</w:t>
      </w:r>
      <w:r w:rsidR="009773DD">
        <w:rPr>
          <w:rFonts w:asciiTheme="majorHAnsi" w:eastAsiaTheme="minorHAnsi" w:hAnsiTheme="majorHAnsi" w:cs="Caecilia-Italic"/>
          <w:iCs/>
          <w:szCs w:val="22"/>
          <w:lang w:eastAsia="en-US"/>
        </w:rPr>
        <w:t>)</w:t>
      </w:r>
      <w:r w:rsidR="00EA1530" w:rsidRPr="00E27C95">
        <w:rPr>
          <w:rFonts w:asciiTheme="majorHAnsi" w:eastAsiaTheme="minorHAnsi" w:hAnsiTheme="majorHAnsi" w:cs="Caecilia-Italic"/>
          <w:iCs/>
          <w:szCs w:val="22"/>
          <w:lang w:eastAsia="en-US"/>
        </w:rPr>
        <w:t xml:space="preserve"> qui sont de loin les plus gros apporteurs d’AASP (Klein </w:t>
      </w:r>
      <w:r w:rsidR="00EA1530" w:rsidRPr="003D4212">
        <w:rPr>
          <w:rFonts w:asciiTheme="majorHAnsi" w:eastAsiaTheme="minorHAnsi" w:hAnsiTheme="majorHAnsi" w:cs="Caecilia-Italic"/>
          <w:i/>
          <w:iCs/>
          <w:szCs w:val="22"/>
          <w:lang w:eastAsia="en-US"/>
        </w:rPr>
        <w:t>et al.</w:t>
      </w:r>
      <w:r w:rsidR="00EA1530" w:rsidRPr="00E27C95">
        <w:rPr>
          <w:rFonts w:asciiTheme="majorHAnsi" w:eastAsiaTheme="minorHAnsi" w:hAnsiTheme="majorHAnsi" w:cs="Caecilia-Italic"/>
          <w:iCs/>
          <w:szCs w:val="22"/>
          <w:lang w:eastAsia="en-US"/>
        </w:rPr>
        <w:t>, 2015)</w:t>
      </w:r>
      <w:r w:rsidR="00995BEE" w:rsidRPr="00E27C95">
        <w:rPr>
          <w:rFonts w:asciiTheme="majorHAnsi" w:eastAsiaTheme="minorHAnsi" w:hAnsiTheme="majorHAnsi" w:cs="Caecilia-Italic"/>
          <w:iCs/>
          <w:szCs w:val="22"/>
          <w:lang w:eastAsia="en-US"/>
        </w:rPr>
        <w:t xml:space="preserve">. </w:t>
      </w:r>
      <w:r w:rsidR="00FF7205">
        <w:rPr>
          <w:rFonts w:asciiTheme="majorHAnsi" w:eastAsiaTheme="minorHAnsi" w:hAnsiTheme="majorHAnsi" w:cs="Caecilia-Italic"/>
          <w:iCs/>
          <w:szCs w:val="22"/>
          <w:lang w:eastAsia="en-US"/>
        </w:rPr>
        <w:t xml:space="preserve">A cela s’ajoute les mécanismes financiers de la </w:t>
      </w:r>
      <w:r w:rsidR="00DB1179">
        <w:rPr>
          <w:rFonts w:asciiTheme="majorHAnsi" w:eastAsiaTheme="minorHAnsi" w:hAnsiTheme="majorHAnsi" w:cs="Caecilia-Italic"/>
          <w:iCs/>
          <w:szCs w:val="22"/>
          <w:lang w:eastAsia="en-US"/>
        </w:rPr>
        <w:t>Convention sur la Diversité Biologique (CDB) et de la Convention Cadre des Nations Unies sur les Changements Climatiques (</w:t>
      </w:r>
      <w:r w:rsidR="00FF7205">
        <w:rPr>
          <w:rFonts w:asciiTheme="majorHAnsi" w:eastAsiaTheme="minorHAnsi" w:hAnsiTheme="majorHAnsi" w:cs="Caecilia-Italic"/>
          <w:iCs/>
          <w:szCs w:val="22"/>
          <w:lang w:eastAsia="en-US"/>
        </w:rPr>
        <w:t>CCNUCC</w:t>
      </w:r>
      <w:r w:rsidR="00DB1179">
        <w:rPr>
          <w:rFonts w:asciiTheme="majorHAnsi" w:eastAsiaTheme="minorHAnsi" w:hAnsiTheme="majorHAnsi" w:cs="Caecilia-Italic"/>
          <w:iCs/>
          <w:szCs w:val="22"/>
          <w:lang w:eastAsia="en-US"/>
        </w:rPr>
        <w:t>)</w:t>
      </w:r>
      <w:r w:rsidR="00FF7205">
        <w:rPr>
          <w:rFonts w:asciiTheme="majorHAnsi" w:eastAsiaTheme="minorHAnsi" w:hAnsiTheme="majorHAnsi" w:cs="Caecilia-Italic"/>
          <w:iCs/>
          <w:szCs w:val="22"/>
          <w:lang w:eastAsia="en-US"/>
        </w:rPr>
        <w:t xml:space="preserve"> et le</w:t>
      </w:r>
      <w:r w:rsidR="00DB1179">
        <w:rPr>
          <w:rFonts w:asciiTheme="majorHAnsi" w:eastAsiaTheme="minorHAnsi" w:hAnsiTheme="majorHAnsi" w:cs="Caecilia-Italic"/>
          <w:iCs/>
          <w:szCs w:val="22"/>
          <w:lang w:eastAsia="en-US"/>
        </w:rPr>
        <w:t>s</w:t>
      </w:r>
      <w:r w:rsidR="00FF7205">
        <w:rPr>
          <w:rFonts w:asciiTheme="majorHAnsi" w:eastAsiaTheme="minorHAnsi" w:hAnsiTheme="majorHAnsi" w:cs="Caecilia-Italic"/>
          <w:iCs/>
          <w:szCs w:val="22"/>
          <w:lang w:eastAsia="en-US"/>
        </w:rPr>
        <w:t xml:space="preserve"> fonds spéciaux d’investissements en lien</w:t>
      </w:r>
      <w:r w:rsidR="00DB1179">
        <w:rPr>
          <w:rFonts w:asciiTheme="majorHAnsi" w:eastAsiaTheme="minorHAnsi" w:hAnsiTheme="majorHAnsi" w:cs="Caecilia-Italic"/>
          <w:iCs/>
          <w:szCs w:val="22"/>
          <w:lang w:eastAsia="en-US"/>
        </w:rPr>
        <w:t>,</w:t>
      </w:r>
      <w:r w:rsidR="00FF7205">
        <w:rPr>
          <w:rFonts w:asciiTheme="majorHAnsi" w:eastAsiaTheme="minorHAnsi" w:hAnsiTheme="majorHAnsi" w:cs="Caecilia-Italic"/>
          <w:iCs/>
          <w:szCs w:val="22"/>
          <w:lang w:eastAsia="en-US"/>
        </w:rPr>
        <w:t xml:space="preserve"> plus particulièrement</w:t>
      </w:r>
      <w:r w:rsidR="00DB1179">
        <w:rPr>
          <w:rFonts w:asciiTheme="majorHAnsi" w:eastAsiaTheme="minorHAnsi" w:hAnsiTheme="majorHAnsi" w:cs="Caecilia-Italic"/>
          <w:iCs/>
          <w:szCs w:val="22"/>
          <w:lang w:eastAsia="en-US"/>
        </w:rPr>
        <w:t>,</w:t>
      </w:r>
      <w:r w:rsidR="00FF7205">
        <w:rPr>
          <w:rFonts w:asciiTheme="majorHAnsi" w:eastAsiaTheme="minorHAnsi" w:hAnsiTheme="majorHAnsi" w:cs="Caecilia-Italic"/>
          <w:iCs/>
          <w:szCs w:val="22"/>
          <w:lang w:eastAsia="en-US"/>
        </w:rPr>
        <w:t xml:space="preserve"> avec les changements climatiques.</w:t>
      </w:r>
      <w:r w:rsidR="005A2081">
        <w:rPr>
          <w:rFonts w:asciiTheme="majorHAnsi" w:eastAsiaTheme="minorHAnsi" w:hAnsiTheme="majorHAnsi" w:cs="Caecilia-Italic"/>
          <w:iCs/>
          <w:szCs w:val="22"/>
          <w:lang w:eastAsia="en-US"/>
        </w:rPr>
        <w:t xml:space="preserve"> On note que les fonds et les programmes d’investissement relevés dans le cadre de cette étude sont des sources de financements dont le pays a bénéficié ou pour lesquel</w:t>
      </w:r>
      <w:r w:rsidR="002F3392">
        <w:rPr>
          <w:rFonts w:asciiTheme="majorHAnsi" w:eastAsiaTheme="minorHAnsi" w:hAnsiTheme="majorHAnsi" w:cs="Caecilia-Italic"/>
          <w:iCs/>
          <w:szCs w:val="22"/>
          <w:lang w:eastAsia="en-US"/>
        </w:rPr>
        <w:t>le</w:t>
      </w:r>
      <w:r w:rsidR="005A2081">
        <w:rPr>
          <w:rFonts w:asciiTheme="majorHAnsi" w:eastAsiaTheme="minorHAnsi" w:hAnsiTheme="majorHAnsi" w:cs="Caecilia-Italic"/>
          <w:iCs/>
          <w:szCs w:val="22"/>
          <w:lang w:eastAsia="en-US"/>
        </w:rPr>
        <w:t>s le pays est éligible. Les fonds et les programme</w:t>
      </w:r>
      <w:r w:rsidR="002F3392">
        <w:rPr>
          <w:rFonts w:asciiTheme="majorHAnsi" w:eastAsiaTheme="minorHAnsi" w:hAnsiTheme="majorHAnsi" w:cs="Caecilia-Italic"/>
          <w:iCs/>
          <w:szCs w:val="22"/>
          <w:lang w:eastAsia="en-US"/>
        </w:rPr>
        <w:t>s</w:t>
      </w:r>
      <w:r w:rsidR="005A2081">
        <w:rPr>
          <w:rFonts w:asciiTheme="majorHAnsi" w:eastAsiaTheme="minorHAnsi" w:hAnsiTheme="majorHAnsi" w:cs="Caecilia-Italic"/>
          <w:iCs/>
          <w:szCs w:val="22"/>
          <w:lang w:eastAsia="en-US"/>
        </w:rPr>
        <w:t xml:space="preserve"> considérés concernent l’atténuation et l’adaptation étant donné que certaines activités de la stratégie</w:t>
      </w:r>
      <w:r w:rsidR="002F3392">
        <w:rPr>
          <w:rFonts w:asciiTheme="majorHAnsi" w:eastAsiaTheme="minorHAnsi" w:hAnsiTheme="majorHAnsi" w:cs="Caecilia-Italic"/>
          <w:iCs/>
          <w:szCs w:val="22"/>
          <w:lang w:eastAsia="en-US"/>
        </w:rPr>
        <w:t xml:space="preserve"> nationale REDD+</w:t>
      </w:r>
      <w:r w:rsidR="005A2081">
        <w:rPr>
          <w:rFonts w:asciiTheme="majorHAnsi" w:eastAsiaTheme="minorHAnsi" w:hAnsiTheme="majorHAnsi" w:cs="Caecilia-Italic"/>
          <w:iCs/>
          <w:szCs w:val="22"/>
          <w:lang w:eastAsia="en-US"/>
        </w:rPr>
        <w:t xml:space="preserve"> peuvent être également considérées comme des activités d’adaptation aux changements climatiques comme par exemple les activités permettant la diversification </w:t>
      </w:r>
      <w:r w:rsidR="002F3392">
        <w:rPr>
          <w:rFonts w:asciiTheme="majorHAnsi" w:eastAsiaTheme="minorHAnsi" w:hAnsiTheme="majorHAnsi" w:cs="Caecilia-Italic"/>
          <w:iCs/>
          <w:szCs w:val="22"/>
          <w:lang w:eastAsia="en-US"/>
        </w:rPr>
        <w:t xml:space="preserve">de revenus pour la population, </w:t>
      </w:r>
      <w:r w:rsidR="005A2081">
        <w:rPr>
          <w:rFonts w:asciiTheme="majorHAnsi" w:eastAsiaTheme="minorHAnsi" w:hAnsiTheme="majorHAnsi" w:cs="Caecilia-Italic"/>
          <w:iCs/>
          <w:szCs w:val="22"/>
          <w:lang w:eastAsia="en-US"/>
        </w:rPr>
        <w:t>des sources d’</w:t>
      </w:r>
      <w:r w:rsidR="002F3392">
        <w:rPr>
          <w:rFonts w:asciiTheme="majorHAnsi" w:eastAsiaTheme="minorHAnsi" w:hAnsiTheme="majorHAnsi" w:cs="Caecilia-Italic"/>
          <w:iCs/>
          <w:szCs w:val="22"/>
          <w:lang w:eastAsia="en-US"/>
        </w:rPr>
        <w:t xml:space="preserve">énergie, </w:t>
      </w:r>
      <w:r w:rsidR="005A2081">
        <w:rPr>
          <w:rFonts w:asciiTheme="majorHAnsi" w:eastAsiaTheme="minorHAnsi" w:hAnsiTheme="majorHAnsi" w:cs="Caecilia-Italic"/>
          <w:iCs/>
          <w:szCs w:val="22"/>
          <w:lang w:eastAsia="en-US"/>
        </w:rPr>
        <w:t xml:space="preserve">l’agroforesterie, etc. </w:t>
      </w:r>
    </w:p>
    <w:p w14:paraId="2BE0C634" w14:textId="77777777" w:rsidR="003A0C9B" w:rsidRDefault="003A0C9B" w:rsidP="00FD1E40">
      <w:pPr>
        <w:autoSpaceDE w:val="0"/>
        <w:autoSpaceDN w:val="0"/>
        <w:adjustRightInd w:val="0"/>
        <w:spacing w:after="0"/>
        <w:rPr>
          <w:rFonts w:asciiTheme="majorHAnsi" w:eastAsiaTheme="minorHAnsi" w:hAnsiTheme="majorHAnsi" w:cs="Caecilia-Italic"/>
          <w:iCs/>
          <w:szCs w:val="22"/>
          <w:lang w:eastAsia="en-US"/>
        </w:rPr>
      </w:pPr>
    </w:p>
    <w:p w14:paraId="692072CF" w14:textId="77777777" w:rsidR="003A0C9B" w:rsidRDefault="003A0C9B" w:rsidP="00FD1E40">
      <w:pPr>
        <w:autoSpaceDE w:val="0"/>
        <w:autoSpaceDN w:val="0"/>
        <w:adjustRightInd w:val="0"/>
        <w:spacing w:after="0"/>
        <w:rPr>
          <w:rFonts w:asciiTheme="majorHAnsi" w:eastAsiaTheme="minorHAnsi" w:hAnsiTheme="majorHAnsi" w:cs="Caecilia-Italic"/>
          <w:iCs/>
          <w:szCs w:val="22"/>
          <w:lang w:eastAsia="en-US"/>
        </w:rPr>
      </w:pPr>
    </w:p>
    <w:p w14:paraId="1CE158B3" w14:textId="77777777" w:rsidR="003A0C9B" w:rsidRDefault="003A0C9B" w:rsidP="00FD1E40">
      <w:pPr>
        <w:autoSpaceDE w:val="0"/>
        <w:autoSpaceDN w:val="0"/>
        <w:adjustRightInd w:val="0"/>
        <w:spacing w:after="0"/>
        <w:rPr>
          <w:rFonts w:asciiTheme="majorHAnsi" w:eastAsiaTheme="minorHAnsi" w:hAnsiTheme="majorHAnsi" w:cs="Caecilia-Italic"/>
          <w:iCs/>
          <w:szCs w:val="22"/>
          <w:lang w:eastAsia="en-US"/>
        </w:rPr>
      </w:pPr>
    </w:p>
    <w:p w14:paraId="0C149B47" w14:textId="77777777" w:rsidR="003A0C9B" w:rsidRDefault="003A0C9B" w:rsidP="00FD1E40">
      <w:pPr>
        <w:autoSpaceDE w:val="0"/>
        <w:autoSpaceDN w:val="0"/>
        <w:adjustRightInd w:val="0"/>
        <w:spacing w:after="0"/>
        <w:rPr>
          <w:rFonts w:asciiTheme="majorHAnsi" w:eastAsiaTheme="minorHAnsi" w:hAnsiTheme="majorHAnsi" w:cs="Caecilia-Italic"/>
          <w:iCs/>
          <w:szCs w:val="22"/>
          <w:lang w:eastAsia="en-US"/>
        </w:rPr>
      </w:pPr>
    </w:p>
    <w:p w14:paraId="0D95BAE1" w14:textId="77777777" w:rsidR="003A0C9B" w:rsidRDefault="003A0C9B" w:rsidP="00FD1E40">
      <w:pPr>
        <w:autoSpaceDE w:val="0"/>
        <w:autoSpaceDN w:val="0"/>
        <w:adjustRightInd w:val="0"/>
        <w:spacing w:after="0"/>
        <w:rPr>
          <w:rFonts w:asciiTheme="majorHAnsi" w:eastAsiaTheme="minorHAnsi" w:hAnsiTheme="majorHAnsi" w:cs="Caecilia-Italic"/>
          <w:iCs/>
          <w:szCs w:val="22"/>
          <w:lang w:eastAsia="en-US"/>
        </w:rPr>
      </w:pPr>
    </w:p>
    <w:p w14:paraId="442EF32C" w14:textId="77777777" w:rsidR="003A0C9B" w:rsidRDefault="003A0C9B" w:rsidP="00FD1E40">
      <w:pPr>
        <w:autoSpaceDE w:val="0"/>
        <w:autoSpaceDN w:val="0"/>
        <w:adjustRightInd w:val="0"/>
        <w:spacing w:after="0"/>
        <w:rPr>
          <w:rFonts w:asciiTheme="majorHAnsi" w:eastAsiaTheme="minorHAnsi" w:hAnsiTheme="majorHAnsi" w:cs="Caecilia-Italic"/>
          <w:iCs/>
          <w:szCs w:val="22"/>
          <w:lang w:eastAsia="en-US"/>
        </w:rPr>
      </w:pPr>
    </w:p>
    <w:p w14:paraId="5833C9FB" w14:textId="77777777" w:rsidR="003A0C9B" w:rsidRDefault="003A0C9B" w:rsidP="00FD1E40">
      <w:pPr>
        <w:autoSpaceDE w:val="0"/>
        <w:autoSpaceDN w:val="0"/>
        <w:adjustRightInd w:val="0"/>
        <w:spacing w:after="0"/>
        <w:rPr>
          <w:rFonts w:asciiTheme="majorHAnsi" w:eastAsiaTheme="minorHAnsi" w:hAnsiTheme="majorHAnsi" w:cs="Caecilia-Italic"/>
          <w:iCs/>
          <w:szCs w:val="22"/>
          <w:lang w:eastAsia="en-US"/>
        </w:rPr>
      </w:pPr>
    </w:p>
    <w:p w14:paraId="55D88AB5" w14:textId="77777777" w:rsidR="003A0C9B" w:rsidRDefault="003A0C9B" w:rsidP="00FD1E40">
      <w:pPr>
        <w:autoSpaceDE w:val="0"/>
        <w:autoSpaceDN w:val="0"/>
        <w:adjustRightInd w:val="0"/>
        <w:spacing w:after="0"/>
        <w:rPr>
          <w:rFonts w:asciiTheme="majorHAnsi" w:eastAsiaTheme="minorHAnsi" w:hAnsiTheme="majorHAnsi" w:cs="Caecilia-Italic"/>
          <w:iCs/>
          <w:szCs w:val="22"/>
          <w:lang w:eastAsia="en-US"/>
        </w:rPr>
      </w:pPr>
    </w:p>
    <w:p w14:paraId="6F4E2A80" w14:textId="77777777" w:rsidR="003A0C9B" w:rsidRPr="00FD1E40" w:rsidRDefault="003A0C9B" w:rsidP="00FD1E40">
      <w:pPr>
        <w:autoSpaceDE w:val="0"/>
        <w:autoSpaceDN w:val="0"/>
        <w:adjustRightInd w:val="0"/>
        <w:spacing w:after="0"/>
        <w:rPr>
          <w:rFonts w:asciiTheme="majorHAnsi" w:eastAsiaTheme="minorHAnsi" w:hAnsiTheme="majorHAnsi" w:cs="Caecilia-Italic"/>
          <w:iCs/>
          <w:szCs w:val="22"/>
          <w:lang w:eastAsia="en-US"/>
        </w:rPr>
      </w:pPr>
    </w:p>
    <w:p w14:paraId="62C30273" w14:textId="2379A5E6" w:rsidR="005834C5" w:rsidRDefault="005834C5" w:rsidP="008B0EB3">
      <w:pPr>
        <w:pStyle w:val="Heading3"/>
        <w:numPr>
          <w:ilvl w:val="1"/>
          <w:numId w:val="29"/>
        </w:numPr>
      </w:pPr>
      <w:bookmarkStart w:id="16" w:name="_Toc454886784"/>
      <w:r>
        <w:lastRenderedPageBreak/>
        <w:t>Les financements multilatéraux</w:t>
      </w:r>
      <w:bookmarkEnd w:id="16"/>
    </w:p>
    <w:p w14:paraId="7C8BDF53" w14:textId="281F5E1B" w:rsidR="00D65F99" w:rsidRPr="00B67EFD" w:rsidRDefault="00B67EFD" w:rsidP="00B67EFD">
      <w:pPr>
        <w:pStyle w:val="Heading4"/>
        <w:rPr>
          <w:lang w:val="fr-FR"/>
        </w:rPr>
      </w:pPr>
      <w:r>
        <w:rPr>
          <w:lang w:val="fr-FR"/>
        </w:rPr>
        <w:t>Les banques de développement</w:t>
      </w:r>
      <w:r w:rsidR="005834C5" w:rsidRPr="00B67EFD">
        <w:rPr>
          <w:lang w:val="fr-FR"/>
        </w:rPr>
        <w:t xml:space="preserve"> et institutions financières multilatérales </w:t>
      </w:r>
      <w:r w:rsidR="00AF4823">
        <w:rPr>
          <w:lang w:val="fr-FR"/>
        </w:rPr>
        <w:t>et régionale</w:t>
      </w:r>
    </w:p>
    <w:p w14:paraId="0B0D977F" w14:textId="1D3FCA32" w:rsidR="005834C5" w:rsidRDefault="005834C5" w:rsidP="00DF187B">
      <w:pPr>
        <w:pStyle w:val="Heading5"/>
      </w:pPr>
      <w:r w:rsidRPr="00DF187B">
        <w:t xml:space="preserve">Le </w:t>
      </w:r>
      <w:r w:rsidR="00DF187B">
        <w:t>groupe Banque M</w:t>
      </w:r>
      <w:r w:rsidR="00154085">
        <w:t>ondiale</w:t>
      </w:r>
      <w:r w:rsidR="00154085">
        <w:rPr>
          <w:rStyle w:val="FootnoteReference"/>
          <w:rFonts w:asciiTheme="majorHAnsi" w:hAnsiTheme="majorHAnsi"/>
          <w:szCs w:val="22"/>
        </w:rPr>
        <w:footnoteReference w:id="3"/>
      </w:r>
    </w:p>
    <w:p w14:paraId="4EEF8ED1" w14:textId="1B1E941F" w:rsidR="00AD2FE3" w:rsidRDefault="00AD2FE3" w:rsidP="00AD2FE3">
      <w:pPr>
        <w:pStyle w:val="NormalWeb"/>
        <w:jc w:val="both"/>
        <w:rPr>
          <w:rFonts w:asciiTheme="majorHAnsi" w:hAnsiTheme="majorHAnsi"/>
          <w:sz w:val="22"/>
          <w:szCs w:val="22"/>
        </w:rPr>
      </w:pPr>
      <w:r>
        <w:rPr>
          <w:rFonts w:asciiTheme="majorHAnsi" w:hAnsiTheme="majorHAnsi"/>
          <w:sz w:val="22"/>
          <w:szCs w:val="22"/>
        </w:rPr>
        <w:t xml:space="preserve">Le groupe de la Banque mondiale a définie </w:t>
      </w:r>
      <w:r w:rsidRPr="00793D5E">
        <w:rPr>
          <w:rFonts w:asciiTheme="majorHAnsi" w:hAnsiTheme="majorHAnsi"/>
          <w:sz w:val="22"/>
          <w:szCs w:val="22"/>
        </w:rPr>
        <w:t>avec la République du Congo</w:t>
      </w:r>
      <w:r w:rsidRPr="00AC336D">
        <w:rPr>
          <w:rFonts w:asciiTheme="majorHAnsi" w:hAnsiTheme="majorHAnsi"/>
          <w:sz w:val="22"/>
          <w:szCs w:val="22"/>
        </w:rPr>
        <w:t xml:space="preserve"> </w:t>
      </w:r>
      <w:r w:rsidR="008C2EB3">
        <w:rPr>
          <w:rFonts w:asciiTheme="majorHAnsi" w:hAnsiTheme="majorHAnsi"/>
          <w:sz w:val="22"/>
          <w:szCs w:val="22"/>
        </w:rPr>
        <w:t xml:space="preserve">une stratégie de partenariat </w:t>
      </w:r>
      <w:r w:rsidRPr="00AC336D">
        <w:rPr>
          <w:rFonts w:asciiTheme="majorHAnsi" w:hAnsiTheme="majorHAnsi"/>
          <w:sz w:val="22"/>
          <w:szCs w:val="22"/>
        </w:rPr>
        <w:t xml:space="preserve">qui couvre </w:t>
      </w:r>
      <w:r w:rsidR="008C2EB3">
        <w:rPr>
          <w:rFonts w:asciiTheme="majorHAnsi" w:hAnsiTheme="majorHAnsi"/>
          <w:sz w:val="22"/>
          <w:szCs w:val="22"/>
        </w:rPr>
        <w:t>la période 2013-2016</w:t>
      </w:r>
      <w:r w:rsidRPr="00AC336D">
        <w:rPr>
          <w:rFonts w:asciiTheme="majorHAnsi" w:hAnsiTheme="majorHAnsi"/>
          <w:sz w:val="22"/>
          <w:szCs w:val="22"/>
        </w:rPr>
        <w:t xml:space="preserve"> </w:t>
      </w:r>
      <w:r w:rsidR="008C2EB3">
        <w:rPr>
          <w:rFonts w:asciiTheme="majorHAnsi" w:hAnsiTheme="majorHAnsi"/>
          <w:sz w:val="22"/>
          <w:szCs w:val="22"/>
        </w:rPr>
        <w:t xml:space="preserve">dont le but </w:t>
      </w:r>
      <w:r w:rsidRPr="00AC336D">
        <w:rPr>
          <w:rFonts w:asciiTheme="majorHAnsi" w:hAnsiTheme="majorHAnsi"/>
          <w:sz w:val="22"/>
          <w:szCs w:val="22"/>
        </w:rPr>
        <w:t>est d’aider le gouvernement à diversifier son économie en réduisant sa dépendance vis-à-vis du pétrole, en promouvant une croissance tirée par le secteur privé, en créant des emplois et en améliorant la performance des services publics de base (santé et éducation)</w:t>
      </w:r>
      <w:r>
        <w:rPr>
          <w:rStyle w:val="FootnoteReference"/>
          <w:rFonts w:asciiTheme="majorHAnsi" w:hAnsiTheme="majorHAnsi"/>
          <w:sz w:val="22"/>
          <w:szCs w:val="22"/>
        </w:rPr>
        <w:footnoteReference w:id="4"/>
      </w:r>
      <w:r w:rsidRPr="00AC336D">
        <w:rPr>
          <w:rFonts w:asciiTheme="majorHAnsi" w:hAnsiTheme="majorHAnsi"/>
          <w:sz w:val="22"/>
          <w:szCs w:val="22"/>
        </w:rPr>
        <w:t>.</w:t>
      </w:r>
    </w:p>
    <w:p w14:paraId="5E45EFCA" w14:textId="69245256" w:rsidR="00AD2FE3" w:rsidRPr="00AD2FE3" w:rsidRDefault="00AD2FE3" w:rsidP="00AD2FE3">
      <w:pPr>
        <w:pStyle w:val="NormalWeb"/>
        <w:jc w:val="both"/>
        <w:rPr>
          <w:rFonts w:asciiTheme="majorHAnsi" w:hAnsiTheme="majorHAnsi"/>
          <w:sz w:val="22"/>
          <w:szCs w:val="22"/>
        </w:rPr>
      </w:pPr>
      <w:r w:rsidRPr="00AC336D">
        <w:rPr>
          <w:rFonts w:asciiTheme="majorHAnsi" w:hAnsiTheme="majorHAnsi"/>
          <w:sz w:val="22"/>
          <w:szCs w:val="22"/>
        </w:rPr>
        <w:t>En février 2016, le portefeuille de la Banque mondiale en République du Congo est constitué de 11 projets, représentant u</w:t>
      </w:r>
      <w:r w:rsidR="00734D2C">
        <w:rPr>
          <w:rFonts w:asciiTheme="majorHAnsi" w:hAnsiTheme="majorHAnsi"/>
          <w:sz w:val="22"/>
          <w:szCs w:val="22"/>
        </w:rPr>
        <w:t>n montant total de 695,</w:t>
      </w:r>
      <w:r w:rsidRPr="00AC336D">
        <w:rPr>
          <w:rFonts w:asciiTheme="majorHAnsi" w:hAnsiTheme="majorHAnsi"/>
          <w:sz w:val="22"/>
          <w:szCs w:val="22"/>
        </w:rPr>
        <w:t xml:space="preserve">8 millions </w:t>
      </w:r>
      <w:r w:rsidR="00B0444B">
        <w:rPr>
          <w:rFonts w:asciiTheme="majorHAnsi" w:hAnsiTheme="majorHAnsi"/>
          <w:sz w:val="22"/>
          <w:szCs w:val="22"/>
        </w:rPr>
        <w:t>d’USD</w:t>
      </w:r>
      <w:r w:rsidRPr="00AC336D">
        <w:rPr>
          <w:rFonts w:asciiTheme="majorHAnsi" w:hAnsiTheme="majorHAnsi"/>
          <w:sz w:val="22"/>
          <w:szCs w:val="22"/>
        </w:rPr>
        <w:t>. La répartition de ces financements par secteur est la suivante : 65 % concerne l’infrastructure, 14 % le développement humain, 13 % la gouvernance et le développement du secteur privé, et 8 % l’agriculture.</w:t>
      </w:r>
      <w:r>
        <w:rPr>
          <w:rFonts w:asciiTheme="majorHAnsi" w:hAnsiTheme="majorHAnsi"/>
          <w:sz w:val="22"/>
          <w:szCs w:val="22"/>
        </w:rPr>
        <w:t xml:space="preserve"> </w:t>
      </w:r>
      <w:r w:rsidRPr="00AC336D">
        <w:rPr>
          <w:rFonts w:asciiTheme="majorHAnsi" w:hAnsiTheme="majorHAnsi"/>
          <w:sz w:val="22"/>
          <w:szCs w:val="22"/>
        </w:rPr>
        <w:t>Outre ces opérations, la Banque mondiale mène des études analytiques dans plusieurs domaines pour aider les autorités à définir des politiques publiques adaptées et à mettre en œuvre les réformes prioritaires</w:t>
      </w:r>
      <w:r>
        <w:rPr>
          <w:rFonts w:asciiTheme="majorHAnsi" w:hAnsiTheme="majorHAnsi"/>
          <w:sz w:val="22"/>
          <w:szCs w:val="22"/>
        </w:rPr>
        <w:t>.</w:t>
      </w:r>
    </w:p>
    <w:p w14:paraId="4E150D43" w14:textId="0083A0FA" w:rsidR="00D3496F" w:rsidRPr="00BD1F6A" w:rsidRDefault="00D3496F" w:rsidP="00BD1F6A">
      <w:pPr>
        <w:rPr>
          <w:b/>
          <w:i/>
          <w:color w:val="DD8047" w:themeColor="accent2"/>
        </w:rPr>
      </w:pPr>
      <w:r w:rsidRPr="00BD1F6A">
        <w:rPr>
          <w:rFonts w:eastAsiaTheme="minorEastAsia"/>
          <w:i/>
          <w:color w:val="DD8047" w:themeColor="accent2"/>
        </w:rPr>
        <w:t>La Banque internationale pour la reconstruction et le développement (BIRD) et l’Association internationale de développement (AID</w:t>
      </w:r>
      <w:r w:rsidRPr="00BD1F6A">
        <w:rPr>
          <w:rStyle w:val="Strong"/>
          <w:rFonts w:eastAsiaTheme="minorEastAsia"/>
          <w:b w:val="0"/>
          <w:i/>
          <w:color w:val="DD8047" w:themeColor="accent2"/>
        </w:rPr>
        <w:t>)</w:t>
      </w:r>
    </w:p>
    <w:p w14:paraId="1439DB7F" w14:textId="5016B5F3" w:rsidR="00D3496F" w:rsidRDefault="007E10C4" w:rsidP="00DF187B">
      <w:pPr>
        <w:pStyle w:val="NormalWeb"/>
        <w:spacing w:before="0" w:beforeAutospacing="0" w:after="120" w:afterAutospacing="0"/>
        <w:jc w:val="both"/>
        <w:rPr>
          <w:rFonts w:asciiTheme="minorHAnsi" w:hAnsiTheme="minorHAnsi"/>
          <w:sz w:val="22"/>
        </w:rPr>
      </w:pPr>
      <w:r w:rsidRPr="007E10C4">
        <w:rPr>
          <w:rStyle w:val="Strong"/>
          <w:rFonts w:asciiTheme="minorHAnsi" w:eastAsiaTheme="minorEastAsia" w:hAnsiTheme="minorHAnsi"/>
          <w:b w:val="0"/>
          <w:sz w:val="22"/>
        </w:rPr>
        <w:t>La Banque mondiale est la principale institution multilatérale intervenant dans la lutte contre la pauvreté et de promotion de la croissance dans les pays en développement. Elle intervient principalement par le biais de deux institutions : la Banque internationale pour la reconstruction et le développement (BIRD) et l’Association internationale de développement (AID).</w:t>
      </w:r>
      <w:r w:rsidRPr="007E10C4">
        <w:rPr>
          <w:rFonts w:asciiTheme="minorHAnsi" w:hAnsiTheme="minorHAnsi"/>
          <w:sz w:val="22"/>
        </w:rPr>
        <w:t xml:space="preserve"> La BIRD a pour objectif de réduire la pauvreté dans les pays à revenu intermédiaire et dans des pays plus pauvres mais solvables, tandis que l’AID cible ses efforts sur les pays les plus pauvres du monde avec des financements concessionnels relevant de l’APD</w:t>
      </w:r>
      <w:r>
        <w:rPr>
          <w:rStyle w:val="FootnoteReference"/>
          <w:rFonts w:asciiTheme="minorHAnsi" w:hAnsiTheme="minorHAnsi"/>
          <w:sz w:val="22"/>
        </w:rPr>
        <w:footnoteReference w:id="5"/>
      </w:r>
      <w:r w:rsidRPr="007E10C4">
        <w:rPr>
          <w:rFonts w:asciiTheme="minorHAnsi" w:hAnsiTheme="minorHAnsi"/>
          <w:sz w:val="22"/>
        </w:rPr>
        <w:t>.</w:t>
      </w:r>
      <w:r w:rsidR="004F3316">
        <w:rPr>
          <w:rFonts w:asciiTheme="minorHAnsi" w:hAnsiTheme="minorHAnsi"/>
          <w:sz w:val="22"/>
        </w:rPr>
        <w:t xml:space="preserve"> Dans le cas spécifique </w:t>
      </w:r>
      <w:r w:rsidR="008C2EB3">
        <w:rPr>
          <w:rFonts w:asciiTheme="minorHAnsi" w:hAnsiTheme="minorHAnsi"/>
          <w:sz w:val="22"/>
        </w:rPr>
        <w:t>de la République du Congo, les deux</w:t>
      </w:r>
      <w:r w:rsidR="004F3316">
        <w:rPr>
          <w:rFonts w:asciiTheme="minorHAnsi" w:hAnsiTheme="minorHAnsi"/>
          <w:sz w:val="22"/>
        </w:rPr>
        <w:t xml:space="preserve"> institu</w:t>
      </w:r>
      <w:r w:rsidR="00A814EB">
        <w:rPr>
          <w:rFonts w:asciiTheme="minorHAnsi" w:hAnsiTheme="minorHAnsi"/>
          <w:sz w:val="22"/>
        </w:rPr>
        <w:t>t</w:t>
      </w:r>
      <w:r w:rsidR="004F3316">
        <w:rPr>
          <w:rFonts w:asciiTheme="minorHAnsi" w:hAnsiTheme="minorHAnsi"/>
          <w:sz w:val="22"/>
        </w:rPr>
        <w:t xml:space="preserve">ions interviennent. </w:t>
      </w:r>
    </w:p>
    <w:p w14:paraId="3951E188" w14:textId="011BBAA4" w:rsidR="00DA3F84" w:rsidRDefault="00DA3F84" w:rsidP="00DF187B">
      <w:pPr>
        <w:pStyle w:val="NormalWeb"/>
        <w:spacing w:before="0" w:beforeAutospacing="0" w:after="0" w:afterAutospacing="0"/>
        <w:jc w:val="both"/>
        <w:rPr>
          <w:rFonts w:asciiTheme="minorHAnsi" w:hAnsiTheme="minorHAnsi"/>
          <w:sz w:val="22"/>
        </w:rPr>
      </w:pPr>
      <w:r>
        <w:rPr>
          <w:rFonts w:asciiTheme="minorHAnsi" w:hAnsiTheme="minorHAnsi"/>
          <w:sz w:val="22"/>
        </w:rPr>
        <w:t>Le graphique ci-dessous reprend les engagements de la BIRD et de l’</w:t>
      </w:r>
      <w:r w:rsidR="008C2EB3">
        <w:rPr>
          <w:rFonts w:asciiTheme="minorHAnsi" w:hAnsiTheme="minorHAnsi"/>
          <w:sz w:val="22"/>
        </w:rPr>
        <w:t>AID</w:t>
      </w:r>
      <w:r>
        <w:rPr>
          <w:rFonts w:asciiTheme="minorHAnsi" w:hAnsiTheme="minorHAnsi"/>
          <w:sz w:val="22"/>
        </w:rPr>
        <w:t xml:space="preserve"> pour la République du Congo entre 2012 et 2016 :</w:t>
      </w:r>
      <w:r w:rsidRPr="00DA3F84">
        <w:rPr>
          <w:rFonts w:asciiTheme="minorHAnsi" w:hAnsiTheme="minorHAnsi"/>
          <w:noProof/>
          <w:sz w:val="22"/>
        </w:rPr>
        <w:t xml:space="preserve"> </w:t>
      </w:r>
    </w:p>
    <w:p w14:paraId="6CBEE499" w14:textId="54A10729" w:rsidR="00DA3F84" w:rsidRDefault="00DA3F84" w:rsidP="00187D3C">
      <w:pPr>
        <w:pStyle w:val="Caption"/>
      </w:pPr>
      <w:r w:rsidRPr="00DA3F84">
        <w:rPr>
          <w:noProof/>
          <w:lang w:val="en-US" w:eastAsia="en-US"/>
        </w:rPr>
        <w:drawing>
          <wp:inline distT="0" distB="0" distL="0" distR="0" wp14:anchorId="409CA382" wp14:editId="404A2A8F">
            <wp:extent cx="2432863" cy="2160707"/>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9244" cy="2166374"/>
                    </a:xfrm>
                    <a:prstGeom prst="rect">
                      <a:avLst/>
                    </a:prstGeom>
                    <a:noFill/>
                    <a:ln>
                      <a:noFill/>
                    </a:ln>
                  </pic:spPr>
                </pic:pic>
              </a:graphicData>
            </a:graphic>
          </wp:inline>
        </w:drawing>
      </w:r>
    </w:p>
    <w:p w14:paraId="11402CE8" w14:textId="1201DCBC" w:rsidR="00641BC3" w:rsidRDefault="00DA3F84" w:rsidP="00DF187B">
      <w:pPr>
        <w:pStyle w:val="Caption"/>
      </w:pPr>
      <w:bookmarkStart w:id="18" w:name="_Toc454886811"/>
      <w:r>
        <w:t xml:space="preserve">Figure </w:t>
      </w:r>
      <w:r>
        <w:fldChar w:fldCharType="begin"/>
      </w:r>
      <w:r>
        <w:instrText xml:space="preserve"> SEQ Figure \* ARABIC </w:instrText>
      </w:r>
      <w:r>
        <w:fldChar w:fldCharType="separate"/>
      </w:r>
      <w:r w:rsidR="0080491D">
        <w:rPr>
          <w:noProof/>
        </w:rPr>
        <w:t>2</w:t>
      </w:r>
      <w:r>
        <w:fldChar w:fldCharType="end"/>
      </w:r>
      <w:r>
        <w:t>: Engagement de la BIRD et de l'</w:t>
      </w:r>
      <w:r w:rsidR="008C2EB3">
        <w:t>AID</w:t>
      </w:r>
      <w:r>
        <w:t xml:space="preserve"> en République du Congo </w:t>
      </w:r>
      <w:r w:rsidR="00641BC3">
        <w:t xml:space="preserve"> (source: </w:t>
      </w:r>
      <w:r w:rsidR="000034C4">
        <w:t>www.worldbank.org</w:t>
      </w:r>
      <w:r w:rsidR="00641BC3">
        <w:t>)</w:t>
      </w:r>
      <w:bookmarkEnd w:id="18"/>
    </w:p>
    <w:p w14:paraId="4CE695E6" w14:textId="6A734683" w:rsidR="00641BC3" w:rsidRDefault="00641BC3" w:rsidP="00641BC3">
      <w:pPr>
        <w:jc w:val="center"/>
      </w:pPr>
      <w:r>
        <w:rPr>
          <w:noProof/>
          <w:lang w:val="en-US" w:eastAsia="en-US"/>
        </w:rPr>
        <w:lastRenderedPageBreak/>
        <w:drawing>
          <wp:inline distT="0" distB="0" distL="0" distR="0" wp14:anchorId="6364FE68" wp14:editId="32CC462A">
            <wp:extent cx="4190027" cy="1565452"/>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304" t="34566" r="13896" b="25699"/>
                    <a:stretch/>
                  </pic:blipFill>
                  <pic:spPr bwMode="auto">
                    <a:xfrm>
                      <a:off x="0" y="0"/>
                      <a:ext cx="4202512" cy="1570117"/>
                    </a:xfrm>
                    <a:prstGeom prst="rect">
                      <a:avLst/>
                    </a:prstGeom>
                    <a:ln>
                      <a:noFill/>
                    </a:ln>
                    <a:extLst>
                      <a:ext uri="{53640926-AAD7-44d8-BBD7-CCE9431645EC}">
                        <a14:shadowObscured xmlns:a14="http://schemas.microsoft.com/office/drawing/2010/main"/>
                      </a:ext>
                    </a:extLst>
                  </pic:spPr>
                </pic:pic>
              </a:graphicData>
            </a:graphic>
          </wp:inline>
        </w:drawing>
      </w:r>
    </w:p>
    <w:p w14:paraId="644558E4" w14:textId="6EEC81DD" w:rsidR="00793D5E" w:rsidRPr="00793D5E" w:rsidRDefault="00641BC3" w:rsidP="00793D5E">
      <w:pPr>
        <w:pStyle w:val="Caption"/>
      </w:pPr>
      <w:bookmarkStart w:id="19" w:name="_Toc454886812"/>
      <w:r>
        <w:t xml:space="preserve">Figure </w:t>
      </w:r>
      <w:r>
        <w:fldChar w:fldCharType="begin"/>
      </w:r>
      <w:r>
        <w:instrText xml:space="preserve"> SEQ Figure \* ARABIC </w:instrText>
      </w:r>
      <w:r>
        <w:fldChar w:fldCharType="separate"/>
      </w:r>
      <w:r w:rsidR="0080491D">
        <w:rPr>
          <w:noProof/>
        </w:rPr>
        <w:t>3</w:t>
      </w:r>
      <w:r>
        <w:fldChar w:fldCharType="end"/>
      </w:r>
      <w:r>
        <w:t>: Récapitulatif des prêts en cour</w:t>
      </w:r>
      <w:r w:rsidR="00793D5E">
        <w:t>s</w:t>
      </w:r>
      <w:r w:rsidR="00EA241C">
        <w:t>, en 2016,</w:t>
      </w:r>
      <w:r w:rsidR="00793D5E">
        <w:t xml:space="preserve"> BIRD (droite) et </w:t>
      </w:r>
      <w:r w:rsidR="008C2EB3">
        <w:t>AID</w:t>
      </w:r>
      <w:r w:rsidR="00793D5E">
        <w:t xml:space="preserve"> (gauche)</w:t>
      </w:r>
      <w:r w:rsidR="00154085" w:rsidRPr="00154085">
        <w:t xml:space="preserve"> </w:t>
      </w:r>
      <w:r w:rsidR="00154085">
        <w:t xml:space="preserve">(source: </w:t>
      </w:r>
      <w:r w:rsidR="000034C4">
        <w:t>www.worldbank.org</w:t>
      </w:r>
      <w:r w:rsidR="00154085">
        <w:t>)</w:t>
      </w:r>
      <w:bookmarkEnd w:id="19"/>
    </w:p>
    <w:p w14:paraId="59B28287" w14:textId="023EEBE8" w:rsidR="0037453D" w:rsidRDefault="0037453D" w:rsidP="00EA3CB2">
      <w:pPr>
        <w:spacing w:after="60"/>
      </w:pPr>
      <w:r>
        <w:t xml:space="preserve">Parmi les projets en cours de mise en œuvre </w:t>
      </w:r>
      <w:r w:rsidR="00EA241C">
        <w:t xml:space="preserve">en République du Congo </w:t>
      </w:r>
      <w:r>
        <w:t xml:space="preserve">et en lien </w:t>
      </w:r>
      <w:r w:rsidR="00AA493C">
        <w:t>avec les activités de la stratégie nationale REDD+, on peut citer :</w:t>
      </w:r>
    </w:p>
    <w:p w14:paraId="41B33A9C" w14:textId="429532E0" w:rsidR="00AA493C" w:rsidRDefault="00AA493C" w:rsidP="008B0EB3">
      <w:pPr>
        <w:pStyle w:val="ListParagraph"/>
        <w:numPr>
          <w:ilvl w:val="0"/>
          <w:numId w:val="15"/>
        </w:numPr>
        <w:spacing w:after="60"/>
      </w:pPr>
      <w:r>
        <w:t xml:space="preserve">Le </w:t>
      </w:r>
      <w:r w:rsidRPr="00187D3C">
        <w:rPr>
          <w:b/>
        </w:rPr>
        <w:t xml:space="preserve">Projet </w:t>
      </w:r>
      <w:r w:rsidR="00630427">
        <w:rPr>
          <w:b/>
        </w:rPr>
        <w:t>Forêt et D</w:t>
      </w:r>
      <w:r w:rsidRPr="00187D3C">
        <w:rPr>
          <w:b/>
        </w:rPr>
        <w:t>i</w:t>
      </w:r>
      <w:r w:rsidR="00630427">
        <w:rPr>
          <w:b/>
        </w:rPr>
        <w:t>versification E</w:t>
      </w:r>
      <w:r w:rsidR="00187D3C" w:rsidRPr="00187D3C">
        <w:rPr>
          <w:b/>
        </w:rPr>
        <w:t>conomique (PFDE)</w:t>
      </w:r>
    </w:p>
    <w:p w14:paraId="1F8A89EC" w14:textId="42ECD70F" w:rsidR="00AA493C" w:rsidRDefault="00AA493C" w:rsidP="00187D3C">
      <w:pPr>
        <w:spacing w:after="60"/>
        <w:ind w:left="709"/>
      </w:pPr>
      <w:r>
        <w:t>Le projet vise à promouvoir une meilleure application de la réglementation en matière de foresterie et à créer un environnement politique favorable à la participation des communautés locales et du secteur privé dans la gestion durable de la for</w:t>
      </w:r>
      <w:r w:rsidR="008C2EB3">
        <w:t>êt et le reboisement</w:t>
      </w:r>
      <w:r w:rsidR="00EA241C">
        <w:t xml:space="preserve"> en République du Congo</w:t>
      </w:r>
      <w:r w:rsidR="008C2EB3">
        <w:t xml:space="preserve"> à travers trois</w:t>
      </w:r>
      <w:r>
        <w:t xml:space="preserve"> composantes</w:t>
      </w:r>
      <w:r w:rsidR="006A434E">
        <w:t xml:space="preserve"> (source : Budget annuel 2015 du PFDE)</w:t>
      </w:r>
      <w:r>
        <w:t xml:space="preserve"> : </w:t>
      </w:r>
    </w:p>
    <w:p w14:paraId="712315C9" w14:textId="44B8BBE0" w:rsidR="00AA493C" w:rsidRDefault="00AA493C" w:rsidP="008B0EB3">
      <w:pPr>
        <w:pStyle w:val="ListParagraph"/>
        <w:numPr>
          <w:ilvl w:val="0"/>
          <w:numId w:val="21"/>
        </w:numPr>
      </w:pPr>
      <w:r>
        <w:t>Renforcement des capacités et</w:t>
      </w:r>
      <w:r w:rsidR="00FB31C0">
        <w:t xml:space="preserve"> renforcement</w:t>
      </w:r>
      <w:r>
        <w:t xml:space="preserve"> institutionnel du MEFDD</w:t>
      </w:r>
      <w:r w:rsidR="00A11D47">
        <w:t>E (anciennement MEFDD)</w:t>
      </w:r>
      <w:r>
        <w:t xml:space="preserve"> dans quatre domaines : (a) la capacité opérationnelle et administrative</w:t>
      </w:r>
      <w:r w:rsidR="00FB31C0">
        <w:t xml:space="preserve"> notamment pour la mise en œuvre du SIVL</w:t>
      </w:r>
      <w:r>
        <w:t> ; (b) le renforcement et la mise en œuvre du cadre réglementaire relatif à la forêt et à la préservation de la nature ; (c) la gestion de l’environnement ; et (d) le développement durable.</w:t>
      </w:r>
    </w:p>
    <w:p w14:paraId="0CEC4B84" w14:textId="56C18609" w:rsidR="00AA493C" w:rsidRDefault="006A434E" w:rsidP="008B0EB3">
      <w:pPr>
        <w:pStyle w:val="ListParagraph"/>
        <w:numPr>
          <w:ilvl w:val="0"/>
          <w:numId w:val="21"/>
        </w:numPr>
      </w:pPr>
      <w:r>
        <w:t>Implication des populations locales et autochtones dans la gestion des ressources forestières.</w:t>
      </w:r>
      <w:r w:rsidR="00AA493C">
        <w:t xml:space="preserve"> </w:t>
      </w:r>
      <w:r w:rsidR="00FB31C0">
        <w:t xml:space="preserve">Dans le cadre de cette composante, le PFDE prévoit un appui financier aux micro-projets communautaires pour les activités génératrices de revenus, au développement </w:t>
      </w:r>
      <w:r w:rsidR="008D75F3">
        <w:t>de plans simple de gestion avec les communautés</w:t>
      </w:r>
      <w:r w:rsidR="00FB31C0">
        <w:t xml:space="preserve"> </w:t>
      </w:r>
      <w:r w:rsidR="008D75F3">
        <w:t xml:space="preserve">(environ 11 millions </w:t>
      </w:r>
      <w:r w:rsidR="00B0444B">
        <w:t>d’USD</w:t>
      </w:r>
      <w:r w:rsidR="008D75F3">
        <w:t xml:space="preserve">) </w:t>
      </w:r>
      <w:r w:rsidR="00FB31C0">
        <w:t>et un appui au P</w:t>
      </w:r>
      <w:r w:rsidR="00BF2501">
        <w:t>lan National de Développement de la filière Cacao</w:t>
      </w:r>
      <w:r w:rsidR="008D75F3">
        <w:t xml:space="preserve"> (environ 2 millions sont attendus)</w:t>
      </w:r>
      <w:r w:rsidR="00FB31C0">
        <w:t xml:space="preserve">. </w:t>
      </w:r>
    </w:p>
    <w:p w14:paraId="71564F45" w14:textId="11CA6B6B" w:rsidR="00AA493C" w:rsidRDefault="006A434E" w:rsidP="008B0EB3">
      <w:pPr>
        <w:pStyle w:val="ListParagraph"/>
        <w:numPr>
          <w:ilvl w:val="0"/>
          <w:numId w:val="21"/>
        </w:numPr>
        <w:spacing w:after="60"/>
      </w:pPr>
      <w:r>
        <w:t>Prospectives, communication et vulgarisation</w:t>
      </w:r>
      <w:r w:rsidR="00AA493C">
        <w:t xml:space="preserve">. </w:t>
      </w:r>
      <w:r>
        <w:t xml:space="preserve">Dans le cadre de cette composante, le PFDE prévoit notamment des appuis au </w:t>
      </w:r>
      <w:r w:rsidR="00BF2501" w:rsidRPr="00BF2501">
        <w:t>Programme National d'Afforestation et de Reboisement</w:t>
      </w:r>
      <w:r w:rsidR="00BF2501">
        <w:t xml:space="preserve"> (</w:t>
      </w:r>
      <w:proofErr w:type="spellStart"/>
      <w:r>
        <w:t>ProNAR</w:t>
      </w:r>
      <w:proofErr w:type="spellEnd"/>
      <w:r w:rsidR="00BF2501">
        <w:t>)</w:t>
      </w:r>
      <w:r>
        <w:t xml:space="preserve"> et au développement de la stratégie nationale d’industrialisation de la filière bois.</w:t>
      </w:r>
    </w:p>
    <w:p w14:paraId="1B0B3859" w14:textId="5096418A" w:rsidR="00AA493C" w:rsidRDefault="00AA493C" w:rsidP="00AB0A52">
      <w:pPr>
        <w:ind w:left="709"/>
      </w:pPr>
      <w:r>
        <w:t>Le projet est mis en œuvre sur la période 2012-2017 pour un montant global de 32,6 millions d’USD et un montant engagé de la Banque Mondiale de 10 millions d’USD.</w:t>
      </w:r>
    </w:p>
    <w:p w14:paraId="5714CF06" w14:textId="1B4BEDD0" w:rsidR="00D86016" w:rsidRPr="00154085" w:rsidRDefault="00154085" w:rsidP="008B0EB3">
      <w:pPr>
        <w:pStyle w:val="ListParagraph"/>
        <w:numPr>
          <w:ilvl w:val="0"/>
          <w:numId w:val="42"/>
        </w:numPr>
        <w:rPr>
          <w:szCs w:val="36"/>
        </w:rPr>
      </w:pPr>
      <w:r w:rsidRPr="00154085">
        <w:t xml:space="preserve">Le </w:t>
      </w:r>
      <w:r w:rsidR="00D86016" w:rsidRPr="00154085">
        <w:rPr>
          <w:b/>
        </w:rPr>
        <w:t>Projet de développement agricole et de réhabilitation des pistes rurales</w:t>
      </w:r>
      <w:r w:rsidR="00187D3C" w:rsidRPr="00154085">
        <w:rPr>
          <w:b/>
        </w:rPr>
        <w:t xml:space="preserve"> (PDARP)</w:t>
      </w:r>
    </w:p>
    <w:p w14:paraId="2C270590" w14:textId="16F0C119" w:rsidR="00AB0A52" w:rsidRPr="00AB0A52" w:rsidRDefault="00AB0A52" w:rsidP="00187D3C">
      <w:pPr>
        <w:spacing w:after="60"/>
        <w:ind w:left="709"/>
        <w:rPr>
          <w:rFonts w:eastAsiaTheme="minorHAnsi"/>
          <w:lang w:eastAsia="en-US"/>
        </w:rPr>
      </w:pPr>
      <w:r>
        <w:t>Le projet est divisé en 4 composante : (1) Renforcement des capacités du MAE, (2)</w:t>
      </w:r>
      <w:r w:rsidR="000D0252">
        <w:rPr>
          <w:rFonts w:eastAsiaTheme="minorHAnsi"/>
          <w:lang w:eastAsia="en-US"/>
        </w:rPr>
        <w:t xml:space="preserve"> R</w:t>
      </w:r>
      <w:r>
        <w:rPr>
          <w:rFonts w:eastAsiaTheme="minorHAnsi"/>
          <w:lang w:eastAsia="en-US"/>
        </w:rPr>
        <w:t>éhabilitation de pistes rurales et des infrastructures de marchés ; (3) Soutien aux activités productrices et génératrices de revenus en milieu rural; (4) Gestion et coordination du projet.</w:t>
      </w:r>
    </w:p>
    <w:p w14:paraId="6A6470A1" w14:textId="02444581" w:rsidR="00D86016" w:rsidRPr="0037453D" w:rsidRDefault="00D86016" w:rsidP="00187D3C">
      <w:pPr>
        <w:spacing w:after="60"/>
        <w:ind w:left="709"/>
      </w:pPr>
      <w:r>
        <w:t>Le projet</w:t>
      </w:r>
      <w:r w:rsidR="00154085">
        <w:t>,</w:t>
      </w:r>
      <w:r>
        <w:t xml:space="preserve"> d’un montant initial de 40 millions </w:t>
      </w:r>
      <w:r w:rsidR="00B0444B">
        <w:t>d’USD</w:t>
      </w:r>
      <w:r>
        <w:t xml:space="preserve"> (50% République du Congo, 50% </w:t>
      </w:r>
      <w:r w:rsidR="008C2EB3">
        <w:t>AID</w:t>
      </w:r>
      <w:r>
        <w:t>)</w:t>
      </w:r>
      <w:r w:rsidR="00154085">
        <w:t>,</w:t>
      </w:r>
      <w:r>
        <w:t xml:space="preserve"> a bénéficié en 2014 d’un financement additionnel prévu de 10,5 mill</w:t>
      </w:r>
      <w:r w:rsidR="00154085">
        <w:t xml:space="preserve">ions d’USD dont 8 de la part de l’Etat </w:t>
      </w:r>
      <w:r>
        <w:t>et 2,5 de l’</w:t>
      </w:r>
      <w:r w:rsidR="008C2EB3">
        <w:t>AID</w:t>
      </w:r>
      <w:r>
        <w:t xml:space="preserve">. </w:t>
      </w:r>
    </w:p>
    <w:p w14:paraId="25A5F7A9" w14:textId="76E0A3DF" w:rsidR="006614C8" w:rsidRDefault="006614C8" w:rsidP="002260A2">
      <w:pPr>
        <w:pStyle w:val="NormalWeb"/>
        <w:spacing w:after="120" w:afterAutospacing="0"/>
        <w:jc w:val="both"/>
        <w:rPr>
          <w:rFonts w:asciiTheme="minorHAnsi" w:hAnsiTheme="minorHAnsi"/>
          <w:i/>
          <w:color w:val="DD8047" w:themeColor="accent2"/>
          <w:sz w:val="22"/>
        </w:rPr>
      </w:pPr>
      <w:r w:rsidRPr="00BD1F6A">
        <w:rPr>
          <w:rFonts w:asciiTheme="minorHAnsi" w:hAnsiTheme="minorHAnsi"/>
          <w:i/>
          <w:color w:val="DD8047" w:themeColor="accent2"/>
          <w:sz w:val="22"/>
        </w:rPr>
        <w:t>La société financière internationale (IFC) : Appui au secteur privé</w:t>
      </w:r>
      <w:r w:rsidR="00BF2501">
        <w:rPr>
          <w:rStyle w:val="FootnoteReference"/>
          <w:rFonts w:asciiTheme="minorHAnsi" w:hAnsiTheme="minorHAnsi"/>
          <w:i/>
          <w:color w:val="DD8047" w:themeColor="accent2"/>
          <w:sz w:val="22"/>
        </w:rPr>
        <w:footnoteReference w:id="6"/>
      </w:r>
    </w:p>
    <w:p w14:paraId="046DFB8C" w14:textId="5FA339D9" w:rsidR="00202693" w:rsidRPr="00DE2320" w:rsidRDefault="006A61BB" w:rsidP="00EA3CB2">
      <w:pPr>
        <w:pStyle w:val="NormalWeb"/>
        <w:spacing w:before="0" w:beforeAutospacing="0" w:after="120" w:afterAutospacing="0"/>
        <w:jc w:val="both"/>
        <w:rPr>
          <w:rFonts w:asciiTheme="minorHAnsi" w:hAnsiTheme="minorHAnsi" w:cs="Arial"/>
          <w:sz w:val="22"/>
          <w:szCs w:val="22"/>
        </w:rPr>
      </w:pPr>
      <w:r w:rsidRPr="00DE2320">
        <w:rPr>
          <w:rFonts w:asciiTheme="minorHAnsi" w:hAnsiTheme="minorHAnsi" w:cs="Arial"/>
          <w:sz w:val="22"/>
          <w:szCs w:val="22"/>
        </w:rPr>
        <w:t xml:space="preserve">L’IFC est une institution internationale de développement </w:t>
      </w:r>
      <w:r w:rsidR="00BF2501">
        <w:rPr>
          <w:rFonts w:asciiTheme="minorHAnsi" w:hAnsiTheme="minorHAnsi" w:cs="Arial"/>
          <w:sz w:val="22"/>
          <w:szCs w:val="22"/>
        </w:rPr>
        <w:t>d’appui au</w:t>
      </w:r>
      <w:r w:rsidRPr="00DE2320">
        <w:rPr>
          <w:rFonts w:asciiTheme="minorHAnsi" w:hAnsiTheme="minorHAnsi" w:cs="Arial"/>
          <w:sz w:val="22"/>
          <w:szCs w:val="22"/>
        </w:rPr>
        <w:t xml:space="preserve"> secteur privé dans plus de 100 pays. Pendant l'année fiscale 2014, l’IFC a fourni plus de 22 milliards </w:t>
      </w:r>
      <w:r w:rsidR="00B0444B">
        <w:rPr>
          <w:rFonts w:asciiTheme="minorHAnsi" w:hAnsiTheme="minorHAnsi" w:cs="Arial"/>
          <w:sz w:val="22"/>
          <w:szCs w:val="22"/>
        </w:rPr>
        <w:t>d’USD</w:t>
      </w:r>
      <w:r w:rsidRPr="00DE2320">
        <w:rPr>
          <w:rFonts w:asciiTheme="minorHAnsi" w:hAnsiTheme="minorHAnsi" w:cs="Arial"/>
          <w:sz w:val="22"/>
          <w:szCs w:val="22"/>
        </w:rPr>
        <w:t xml:space="preserve"> en financement pour l’amélioration des conditions de vie dans les pays en développement dont 9,3 aux micros, petites et moyennes entreprises en Afrique sub-saharienne</w:t>
      </w:r>
      <w:r w:rsidR="00BF2501">
        <w:rPr>
          <w:rFonts w:asciiTheme="minorHAnsi" w:hAnsiTheme="minorHAnsi" w:cs="Arial"/>
          <w:sz w:val="22"/>
          <w:szCs w:val="22"/>
        </w:rPr>
        <w:t>.</w:t>
      </w:r>
      <w:r w:rsidRPr="00DE2320">
        <w:rPr>
          <w:rFonts w:asciiTheme="minorHAnsi" w:hAnsiTheme="minorHAnsi" w:cs="Arial"/>
          <w:sz w:val="22"/>
          <w:szCs w:val="22"/>
        </w:rPr>
        <w:t xml:space="preserve"> </w:t>
      </w:r>
    </w:p>
    <w:p w14:paraId="7672F3BE" w14:textId="726C420C" w:rsidR="006A61BB" w:rsidRPr="00DE2320" w:rsidRDefault="006A61BB" w:rsidP="00EA3CB2">
      <w:pPr>
        <w:pStyle w:val="NormalWeb"/>
        <w:spacing w:before="0" w:beforeAutospacing="0" w:after="60" w:afterAutospacing="0"/>
        <w:jc w:val="both"/>
        <w:rPr>
          <w:rFonts w:asciiTheme="minorHAnsi" w:hAnsiTheme="minorHAnsi" w:cs="Arial"/>
          <w:sz w:val="22"/>
          <w:szCs w:val="22"/>
        </w:rPr>
      </w:pPr>
      <w:r w:rsidRPr="00DE2320">
        <w:rPr>
          <w:rFonts w:asciiTheme="minorHAnsi" w:hAnsiTheme="minorHAnsi" w:cs="Arial"/>
          <w:sz w:val="22"/>
          <w:szCs w:val="22"/>
        </w:rPr>
        <w:t xml:space="preserve">Entre 1980 et 2014, l’IFC a </w:t>
      </w:r>
      <w:r w:rsidR="00DE2320" w:rsidRPr="00DE2320">
        <w:rPr>
          <w:rFonts w:asciiTheme="minorHAnsi" w:hAnsiTheme="minorHAnsi" w:cs="Arial"/>
          <w:sz w:val="22"/>
          <w:szCs w:val="22"/>
        </w:rPr>
        <w:t>investi</w:t>
      </w:r>
      <w:r w:rsidRPr="00DE2320">
        <w:rPr>
          <w:rFonts w:asciiTheme="minorHAnsi" w:hAnsiTheme="minorHAnsi" w:cs="Arial"/>
          <w:sz w:val="22"/>
          <w:szCs w:val="22"/>
        </w:rPr>
        <w:t xml:space="preserve"> 138 millions d’USD au Congo dont 7 millions en 2014. Le 9 juin 2014, l’IFC a exprimé son intérêt à augmenter son appui dans le pays dans les secteurs de l’infrastructure, </w:t>
      </w:r>
      <w:r w:rsidR="00154085">
        <w:rPr>
          <w:rFonts w:asciiTheme="minorHAnsi" w:hAnsiTheme="minorHAnsi" w:cs="Arial"/>
          <w:sz w:val="22"/>
          <w:szCs w:val="22"/>
        </w:rPr>
        <w:t>des mines</w:t>
      </w:r>
      <w:r w:rsidRPr="00DE2320">
        <w:rPr>
          <w:rFonts w:asciiTheme="minorHAnsi" w:hAnsiTheme="minorHAnsi" w:cs="Arial"/>
          <w:sz w:val="22"/>
          <w:szCs w:val="22"/>
        </w:rPr>
        <w:t xml:space="preserve">, </w:t>
      </w:r>
      <w:r w:rsidR="00154085">
        <w:rPr>
          <w:rFonts w:asciiTheme="minorHAnsi" w:hAnsiTheme="minorHAnsi" w:cs="Arial"/>
          <w:sz w:val="22"/>
          <w:szCs w:val="22"/>
        </w:rPr>
        <w:t>de l’</w:t>
      </w:r>
      <w:r w:rsidR="00DE2320" w:rsidRPr="00DE2320">
        <w:rPr>
          <w:rFonts w:asciiTheme="minorHAnsi" w:hAnsiTheme="minorHAnsi" w:cs="Arial"/>
          <w:sz w:val="22"/>
          <w:szCs w:val="22"/>
        </w:rPr>
        <w:t>agro-business</w:t>
      </w:r>
      <w:r w:rsidRPr="00DE2320">
        <w:rPr>
          <w:rFonts w:asciiTheme="minorHAnsi" w:hAnsiTheme="minorHAnsi" w:cs="Arial"/>
          <w:sz w:val="22"/>
          <w:szCs w:val="22"/>
        </w:rPr>
        <w:t xml:space="preserve">, </w:t>
      </w:r>
      <w:r w:rsidR="00154085">
        <w:rPr>
          <w:rFonts w:asciiTheme="minorHAnsi" w:hAnsiTheme="minorHAnsi" w:cs="Arial"/>
          <w:sz w:val="22"/>
          <w:szCs w:val="22"/>
        </w:rPr>
        <w:t>de la finance</w:t>
      </w:r>
      <w:r w:rsidRPr="00DE2320">
        <w:rPr>
          <w:rFonts w:asciiTheme="minorHAnsi" w:hAnsiTheme="minorHAnsi" w:cs="Arial"/>
          <w:sz w:val="22"/>
          <w:szCs w:val="22"/>
        </w:rPr>
        <w:t xml:space="preserve"> et de la santé</w:t>
      </w:r>
      <w:r w:rsidR="00DE2320" w:rsidRPr="00DE2320">
        <w:rPr>
          <w:rStyle w:val="FootnoteReference"/>
          <w:rFonts w:asciiTheme="minorHAnsi" w:hAnsiTheme="minorHAnsi" w:cs="Arial"/>
          <w:sz w:val="22"/>
          <w:szCs w:val="22"/>
          <w:lang w:val="en-US"/>
        </w:rPr>
        <w:footnoteReference w:id="7"/>
      </w:r>
      <w:r w:rsidR="00154085">
        <w:rPr>
          <w:rFonts w:asciiTheme="minorHAnsi" w:hAnsiTheme="minorHAnsi" w:cs="Arial"/>
          <w:sz w:val="22"/>
          <w:szCs w:val="22"/>
        </w:rPr>
        <w:t xml:space="preserve"> et l</w:t>
      </w:r>
      <w:r w:rsidR="00DE2320" w:rsidRPr="00DE2320">
        <w:rPr>
          <w:rFonts w:asciiTheme="minorHAnsi" w:hAnsiTheme="minorHAnsi" w:cs="Arial"/>
          <w:sz w:val="22"/>
          <w:szCs w:val="22"/>
        </w:rPr>
        <w:t xml:space="preserve">e 11 octobre </w:t>
      </w:r>
      <w:r w:rsidR="00154085">
        <w:rPr>
          <w:rFonts w:asciiTheme="minorHAnsi" w:hAnsiTheme="minorHAnsi" w:cs="Arial"/>
          <w:sz w:val="22"/>
          <w:szCs w:val="22"/>
        </w:rPr>
        <w:t>l’IFC</w:t>
      </w:r>
      <w:r w:rsidR="00DE2320" w:rsidRPr="00DE2320">
        <w:rPr>
          <w:rFonts w:asciiTheme="minorHAnsi" w:hAnsiTheme="minorHAnsi" w:cs="Arial"/>
          <w:sz w:val="22"/>
          <w:szCs w:val="22"/>
        </w:rPr>
        <w:t xml:space="preserve"> </w:t>
      </w:r>
      <w:r w:rsidR="00154085">
        <w:rPr>
          <w:rFonts w:asciiTheme="minorHAnsi" w:hAnsiTheme="minorHAnsi" w:cs="Arial"/>
          <w:sz w:val="22"/>
          <w:szCs w:val="22"/>
        </w:rPr>
        <w:t xml:space="preserve">a </w:t>
      </w:r>
      <w:r w:rsidR="00DE2320" w:rsidRPr="00DE2320">
        <w:rPr>
          <w:rFonts w:asciiTheme="minorHAnsi" w:hAnsiTheme="minorHAnsi" w:cs="Arial"/>
          <w:sz w:val="22"/>
          <w:szCs w:val="22"/>
        </w:rPr>
        <w:lastRenderedPageBreak/>
        <w:t xml:space="preserve">signé un accord avec le Gouvernement de la République du Congo, afin de réaliser des études de faisabilité pour évaluer le potentiel du projet d'aménagement hydroélectrique de la </w:t>
      </w:r>
      <w:proofErr w:type="spellStart"/>
      <w:r w:rsidR="00DE2320" w:rsidRPr="00DE2320">
        <w:rPr>
          <w:rFonts w:asciiTheme="minorHAnsi" w:hAnsiTheme="minorHAnsi" w:cs="Arial"/>
          <w:sz w:val="22"/>
          <w:szCs w:val="22"/>
        </w:rPr>
        <w:t>Sounda</w:t>
      </w:r>
      <w:proofErr w:type="spellEnd"/>
      <w:r w:rsidR="00DE2320" w:rsidRPr="00DE2320">
        <w:rPr>
          <w:rStyle w:val="FootnoteReference"/>
          <w:rFonts w:asciiTheme="minorHAnsi" w:hAnsiTheme="minorHAnsi" w:cs="Arial"/>
          <w:sz w:val="22"/>
          <w:szCs w:val="22"/>
        </w:rPr>
        <w:footnoteReference w:id="8"/>
      </w:r>
      <w:r w:rsidR="00DE2320" w:rsidRPr="00DE2320">
        <w:rPr>
          <w:rFonts w:asciiTheme="minorHAnsi" w:hAnsiTheme="minorHAnsi" w:cs="Arial"/>
          <w:sz w:val="22"/>
          <w:szCs w:val="22"/>
        </w:rPr>
        <w:t>.</w:t>
      </w:r>
    </w:p>
    <w:p w14:paraId="1A0DE461" w14:textId="04B19BBA" w:rsidR="006614C8" w:rsidRPr="00BD1F6A" w:rsidRDefault="00BD1F6A" w:rsidP="002260A2">
      <w:pPr>
        <w:spacing w:before="120"/>
        <w:rPr>
          <w:i/>
          <w:color w:val="DD8047" w:themeColor="accent2"/>
        </w:rPr>
      </w:pPr>
      <w:r>
        <w:rPr>
          <w:i/>
          <w:color w:val="DD8047" w:themeColor="accent2"/>
        </w:rPr>
        <w:t xml:space="preserve">Les fonds </w:t>
      </w:r>
      <w:r w:rsidR="001E101B">
        <w:rPr>
          <w:i/>
          <w:color w:val="DD8047" w:themeColor="accent2"/>
        </w:rPr>
        <w:t xml:space="preserve">et initiatives </w:t>
      </w:r>
      <w:r w:rsidR="00AF4823">
        <w:rPr>
          <w:i/>
          <w:color w:val="DD8047" w:themeColor="accent2"/>
        </w:rPr>
        <w:t>administrés par la Banque Mondiale</w:t>
      </w:r>
    </w:p>
    <w:p w14:paraId="72E0368D" w14:textId="7D2E80A6" w:rsidR="00E454CC" w:rsidRDefault="00D3496F" w:rsidP="008B0EB3">
      <w:pPr>
        <w:pStyle w:val="ListParagraph"/>
        <w:numPr>
          <w:ilvl w:val="0"/>
          <w:numId w:val="19"/>
        </w:numPr>
        <w:ind w:left="851" w:hanging="284"/>
        <w:rPr>
          <w:color w:val="548AB7" w:themeColor="accent1" w:themeShade="BF"/>
        </w:rPr>
      </w:pPr>
      <w:r w:rsidRPr="001E101B">
        <w:rPr>
          <w:color w:val="548AB7" w:themeColor="accent1" w:themeShade="BF"/>
        </w:rPr>
        <w:t>Le</w:t>
      </w:r>
      <w:r w:rsidR="006614C8" w:rsidRPr="001E101B">
        <w:rPr>
          <w:color w:val="548AB7" w:themeColor="accent1" w:themeShade="BF"/>
        </w:rPr>
        <w:t xml:space="preserve"> F</w:t>
      </w:r>
      <w:r w:rsidR="00E454CC">
        <w:rPr>
          <w:color w:val="548AB7" w:themeColor="accent1" w:themeShade="BF"/>
        </w:rPr>
        <w:t>onds du Partenariat pour le Carbone Forestier (F</w:t>
      </w:r>
      <w:r w:rsidR="006614C8" w:rsidRPr="001E101B">
        <w:rPr>
          <w:color w:val="548AB7" w:themeColor="accent1" w:themeShade="BF"/>
        </w:rPr>
        <w:t>CPF</w:t>
      </w:r>
      <w:r w:rsidR="00E454CC">
        <w:rPr>
          <w:color w:val="548AB7" w:themeColor="accent1" w:themeShade="BF"/>
        </w:rPr>
        <w:t>)</w:t>
      </w:r>
      <w:r w:rsidR="001F10DC">
        <w:rPr>
          <w:rStyle w:val="FootnoteReference"/>
          <w:color w:val="548AB7" w:themeColor="accent1" w:themeShade="BF"/>
        </w:rPr>
        <w:footnoteReference w:id="9"/>
      </w:r>
    </w:p>
    <w:p w14:paraId="1E7AF831" w14:textId="442B7469" w:rsidR="00817977" w:rsidRPr="00817977" w:rsidRDefault="00817977" w:rsidP="00817977">
      <w:r w:rsidRPr="00817977">
        <w:t xml:space="preserve">Créé en 2008, le FCPF est un programme de la Banque Mondiale qui regroupe des membres des gouvernements, du secteur privé, de la société civile et des représentants </w:t>
      </w:r>
      <w:r>
        <w:t xml:space="preserve">des </w:t>
      </w:r>
      <w:r w:rsidRPr="00817977">
        <w:t xml:space="preserve">peuples autochtones et qui vise la mise en œuvre du REDD+ dans les PED. </w:t>
      </w:r>
    </w:p>
    <w:p w14:paraId="0DD38162" w14:textId="493DAB63" w:rsidR="00817977" w:rsidRPr="00817977" w:rsidRDefault="00817977" w:rsidP="002260A2">
      <w:pPr>
        <w:spacing w:after="60"/>
      </w:pPr>
      <w:r w:rsidRPr="00817977">
        <w:t>Dans le cadre du FCPF, deux mécanismes de financement ont été mis en place :</w:t>
      </w:r>
    </w:p>
    <w:p w14:paraId="6E913F35" w14:textId="76D19908" w:rsidR="00817977" w:rsidRDefault="00817977" w:rsidP="008B0EB3">
      <w:pPr>
        <w:pStyle w:val="ListParagraph"/>
        <w:numPr>
          <w:ilvl w:val="0"/>
          <w:numId w:val="36"/>
        </w:numPr>
      </w:pPr>
      <w:r w:rsidRPr="00817977">
        <w:t xml:space="preserve">Le </w:t>
      </w:r>
      <w:r w:rsidRPr="002B07CE">
        <w:rPr>
          <w:u w:val="single"/>
        </w:rPr>
        <w:t>fonds de préparation</w:t>
      </w:r>
      <w:r w:rsidRPr="00817977">
        <w:t xml:space="preserve"> à la REDD+ qui vise à appuyer les pays dans leur phase de préparation au niveau national </w:t>
      </w:r>
      <w:r w:rsidR="00154085">
        <w:t xml:space="preserve">via des </w:t>
      </w:r>
      <w:r w:rsidR="0075453F">
        <w:t>don</w:t>
      </w:r>
      <w:r w:rsidR="00154085">
        <w:t>s</w:t>
      </w:r>
      <w:r w:rsidRPr="00817977">
        <w:t>;</w:t>
      </w:r>
    </w:p>
    <w:p w14:paraId="5A29D50F" w14:textId="58E8FB97" w:rsidR="002B07CE" w:rsidRDefault="00154085" w:rsidP="002B07CE">
      <w:pPr>
        <w:pStyle w:val="ListParagraph"/>
      </w:pPr>
      <w:r>
        <w:t>En date du 20 mars 2015, l</w:t>
      </w:r>
      <w:r w:rsidR="002B07CE">
        <w:t xml:space="preserve">a République du Congo a obtenu au titre de la préparation à la REDD+ 3,4 millions </w:t>
      </w:r>
      <w:r w:rsidR="00B0444B">
        <w:t>d’USD</w:t>
      </w:r>
      <w:r w:rsidR="002B07CE">
        <w:t xml:space="preserve"> de la part du FCPF et 172 000 dollars étaient toujours disponible</w:t>
      </w:r>
      <w:r>
        <w:t>s</w:t>
      </w:r>
      <w:r w:rsidR="002B07CE">
        <w:t xml:space="preserve">. </w:t>
      </w:r>
    </w:p>
    <w:p w14:paraId="0C897C2D" w14:textId="52F525B8" w:rsidR="002B07CE" w:rsidRDefault="002B07CE" w:rsidP="002B07CE">
      <w:pPr>
        <w:pStyle w:val="ListParagraph"/>
      </w:pPr>
      <w:r>
        <w:t xml:space="preserve">La République du Congo a effectué une demande de financements additionnels auprès du FCPF de 5,2 millions </w:t>
      </w:r>
      <w:r w:rsidR="00B0444B">
        <w:t>d’USD</w:t>
      </w:r>
      <w:r>
        <w:t xml:space="preserve"> pour la période 2016-2017 afin de finaliser son processus de préparation</w:t>
      </w:r>
      <w:r w:rsidR="001F10DC">
        <w:t xml:space="preserve"> (CN REDD, 2015)</w:t>
      </w:r>
      <w:r>
        <w:t>. Les activités visées sont :</w:t>
      </w:r>
    </w:p>
    <w:p w14:paraId="11DF4B87" w14:textId="5AF6B046" w:rsidR="002B07CE" w:rsidRPr="002B07CE" w:rsidRDefault="002B07CE" w:rsidP="008B0EB3">
      <w:pPr>
        <w:pStyle w:val="ListParagraph"/>
        <w:numPr>
          <w:ilvl w:val="0"/>
          <w:numId w:val="37"/>
        </w:numPr>
        <w:autoSpaceDE w:val="0"/>
        <w:autoSpaceDN w:val="0"/>
        <w:adjustRightInd w:val="0"/>
        <w:spacing w:after="0"/>
        <w:ind w:left="1276" w:hanging="425"/>
        <w:jc w:val="left"/>
        <w:rPr>
          <w:rFonts w:eastAsiaTheme="minorHAnsi" w:cs="Calibri"/>
          <w:szCs w:val="22"/>
          <w:lang w:eastAsia="en-US"/>
        </w:rPr>
      </w:pPr>
      <w:r>
        <w:rPr>
          <w:rFonts w:eastAsiaTheme="minorHAnsi" w:cs="Calibri"/>
          <w:szCs w:val="22"/>
          <w:lang w:eastAsia="en-US"/>
        </w:rPr>
        <w:t>La f</w:t>
      </w:r>
      <w:r w:rsidRPr="002B07CE">
        <w:rPr>
          <w:rFonts w:eastAsiaTheme="minorHAnsi" w:cs="Calibri"/>
          <w:szCs w:val="22"/>
          <w:lang w:eastAsia="en-US"/>
        </w:rPr>
        <w:t>inalis</w:t>
      </w:r>
      <w:r>
        <w:rPr>
          <w:rFonts w:eastAsiaTheme="minorHAnsi" w:cs="Calibri"/>
          <w:szCs w:val="22"/>
          <w:lang w:eastAsia="en-US"/>
        </w:rPr>
        <w:t>ation</w:t>
      </w:r>
      <w:r w:rsidRPr="002B07CE">
        <w:rPr>
          <w:rFonts w:eastAsiaTheme="minorHAnsi" w:cs="Calibri"/>
          <w:szCs w:val="22"/>
          <w:lang w:eastAsia="en-US"/>
        </w:rPr>
        <w:t xml:space="preserve"> et </w:t>
      </w:r>
      <w:r>
        <w:rPr>
          <w:rFonts w:eastAsiaTheme="minorHAnsi" w:cs="Calibri"/>
          <w:szCs w:val="22"/>
          <w:lang w:eastAsia="en-US"/>
        </w:rPr>
        <w:t xml:space="preserve">la </w:t>
      </w:r>
      <w:r w:rsidRPr="002B07CE">
        <w:rPr>
          <w:rFonts w:eastAsiaTheme="minorHAnsi" w:cs="Calibri"/>
          <w:szCs w:val="22"/>
          <w:lang w:eastAsia="en-US"/>
        </w:rPr>
        <w:t>consolid</w:t>
      </w:r>
      <w:r>
        <w:rPr>
          <w:rFonts w:eastAsiaTheme="minorHAnsi" w:cs="Calibri"/>
          <w:szCs w:val="22"/>
          <w:lang w:eastAsia="en-US"/>
        </w:rPr>
        <w:t>ation des</w:t>
      </w:r>
      <w:r w:rsidRPr="002B07CE">
        <w:rPr>
          <w:rFonts w:eastAsiaTheme="minorHAnsi" w:cs="Calibri"/>
          <w:szCs w:val="22"/>
          <w:lang w:eastAsia="en-US"/>
        </w:rPr>
        <w:t xml:space="preserve"> outils</w:t>
      </w:r>
      <w:r>
        <w:rPr>
          <w:rFonts w:eastAsiaTheme="minorHAnsi" w:cs="Calibri"/>
          <w:szCs w:val="22"/>
          <w:lang w:eastAsia="en-US"/>
        </w:rPr>
        <w:t xml:space="preserve"> nationaux</w:t>
      </w:r>
      <w:r w:rsidRPr="002B07CE">
        <w:rPr>
          <w:rFonts w:eastAsiaTheme="minorHAnsi" w:cs="Calibri"/>
          <w:szCs w:val="22"/>
          <w:lang w:eastAsia="en-US"/>
        </w:rPr>
        <w:t xml:space="preserve"> de la REDD+ ;</w:t>
      </w:r>
    </w:p>
    <w:p w14:paraId="3371FE17" w14:textId="1A776AFA" w:rsidR="002B07CE" w:rsidRPr="002B07CE" w:rsidRDefault="002B07CE" w:rsidP="008B0EB3">
      <w:pPr>
        <w:pStyle w:val="ListParagraph"/>
        <w:numPr>
          <w:ilvl w:val="0"/>
          <w:numId w:val="37"/>
        </w:numPr>
        <w:autoSpaceDE w:val="0"/>
        <w:autoSpaceDN w:val="0"/>
        <w:adjustRightInd w:val="0"/>
        <w:spacing w:after="0"/>
        <w:ind w:left="1276" w:hanging="425"/>
        <w:jc w:val="left"/>
        <w:rPr>
          <w:rFonts w:eastAsiaTheme="minorHAnsi" w:cs="Calibri"/>
          <w:szCs w:val="22"/>
          <w:lang w:eastAsia="en-US"/>
        </w:rPr>
      </w:pPr>
      <w:r>
        <w:rPr>
          <w:rFonts w:eastAsiaTheme="minorHAnsi" w:cs="Calibri"/>
          <w:szCs w:val="22"/>
          <w:lang w:eastAsia="en-US"/>
        </w:rPr>
        <w:t>La c</w:t>
      </w:r>
      <w:r w:rsidRPr="002B07CE">
        <w:rPr>
          <w:rFonts w:eastAsiaTheme="minorHAnsi" w:cs="Calibri"/>
          <w:szCs w:val="22"/>
          <w:lang w:eastAsia="en-US"/>
        </w:rPr>
        <w:t>ommunication avec toutes les parties prenantes et renforcement des</w:t>
      </w:r>
      <w:r>
        <w:rPr>
          <w:rFonts w:eastAsiaTheme="minorHAnsi" w:cs="Calibri"/>
          <w:szCs w:val="22"/>
          <w:lang w:eastAsia="en-US"/>
        </w:rPr>
        <w:t xml:space="preserve"> </w:t>
      </w:r>
      <w:r w:rsidRPr="002B07CE">
        <w:rPr>
          <w:rFonts w:eastAsiaTheme="minorHAnsi" w:cs="Calibri"/>
          <w:szCs w:val="22"/>
          <w:lang w:eastAsia="en-US"/>
        </w:rPr>
        <w:t>capacités ;</w:t>
      </w:r>
    </w:p>
    <w:p w14:paraId="612E045B" w14:textId="77777777" w:rsidR="002B07CE" w:rsidRDefault="002B07CE" w:rsidP="008B0EB3">
      <w:pPr>
        <w:pStyle w:val="ListParagraph"/>
        <w:numPr>
          <w:ilvl w:val="0"/>
          <w:numId w:val="37"/>
        </w:numPr>
        <w:autoSpaceDE w:val="0"/>
        <w:autoSpaceDN w:val="0"/>
        <w:adjustRightInd w:val="0"/>
        <w:spacing w:after="0"/>
        <w:ind w:left="1276" w:hanging="425"/>
        <w:jc w:val="left"/>
        <w:rPr>
          <w:rFonts w:eastAsiaTheme="minorHAnsi" w:cs="Calibri"/>
          <w:szCs w:val="22"/>
          <w:lang w:eastAsia="en-US"/>
        </w:rPr>
      </w:pPr>
      <w:r>
        <w:rPr>
          <w:rFonts w:eastAsiaTheme="minorHAnsi" w:cs="Calibri"/>
          <w:szCs w:val="22"/>
          <w:lang w:eastAsia="en-US"/>
        </w:rPr>
        <w:t xml:space="preserve">La </w:t>
      </w:r>
      <w:r w:rsidRPr="002B07CE">
        <w:rPr>
          <w:rFonts w:eastAsiaTheme="minorHAnsi" w:cs="Calibri"/>
          <w:szCs w:val="22"/>
          <w:lang w:eastAsia="en-US"/>
        </w:rPr>
        <w:t xml:space="preserve">mise en place et </w:t>
      </w:r>
      <w:r>
        <w:rPr>
          <w:rFonts w:eastAsiaTheme="minorHAnsi" w:cs="Calibri"/>
          <w:szCs w:val="22"/>
          <w:lang w:eastAsia="en-US"/>
        </w:rPr>
        <w:t xml:space="preserve">le </w:t>
      </w:r>
      <w:r w:rsidRPr="002B07CE">
        <w:rPr>
          <w:rFonts w:eastAsiaTheme="minorHAnsi" w:cs="Calibri"/>
          <w:szCs w:val="22"/>
          <w:lang w:eastAsia="en-US"/>
        </w:rPr>
        <w:t>fonctionnement efficace des arrangements institutionnels, notamment la</w:t>
      </w:r>
      <w:r>
        <w:rPr>
          <w:rFonts w:eastAsiaTheme="minorHAnsi" w:cs="Calibri"/>
          <w:szCs w:val="22"/>
          <w:lang w:eastAsia="en-US"/>
        </w:rPr>
        <w:t xml:space="preserve"> </w:t>
      </w:r>
      <w:r w:rsidRPr="002B07CE">
        <w:rPr>
          <w:rFonts w:eastAsiaTheme="minorHAnsi" w:cs="Calibri"/>
          <w:szCs w:val="22"/>
          <w:lang w:eastAsia="en-US"/>
        </w:rPr>
        <w:t>coordination multisectorielle en haut niveau ainsi que les structures décentralisées ;</w:t>
      </w:r>
    </w:p>
    <w:p w14:paraId="621BCEE9" w14:textId="0E8A9542" w:rsidR="002B07CE" w:rsidRPr="002260A2" w:rsidRDefault="002B07CE" w:rsidP="008B0EB3">
      <w:pPr>
        <w:pStyle w:val="ListParagraph"/>
        <w:numPr>
          <w:ilvl w:val="0"/>
          <w:numId w:val="37"/>
        </w:numPr>
        <w:autoSpaceDE w:val="0"/>
        <w:autoSpaceDN w:val="0"/>
        <w:adjustRightInd w:val="0"/>
        <w:spacing w:after="0"/>
        <w:ind w:left="1276" w:hanging="425"/>
        <w:jc w:val="left"/>
        <w:rPr>
          <w:rFonts w:eastAsiaTheme="minorHAnsi" w:cs="Calibri"/>
          <w:szCs w:val="22"/>
          <w:lang w:eastAsia="en-US"/>
        </w:rPr>
      </w:pPr>
      <w:r>
        <w:rPr>
          <w:rFonts w:eastAsiaTheme="minorHAnsi" w:cs="Calibri"/>
          <w:szCs w:val="22"/>
          <w:lang w:eastAsia="en-US"/>
        </w:rPr>
        <w:t>L</w:t>
      </w:r>
      <w:r w:rsidRPr="002B07CE">
        <w:rPr>
          <w:rFonts w:eastAsiaTheme="minorHAnsi" w:cs="Calibri"/>
          <w:szCs w:val="22"/>
          <w:lang w:eastAsia="en-US"/>
        </w:rPr>
        <w:t>a coordination du processus REDD+ par la CN-REDD.</w:t>
      </w:r>
    </w:p>
    <w:p w14:paraId="1193EC9D" w14:textId="0FFA4C5C" w:rsidR="00817977" w:rsidRDefault="00817977" w:rsidP="008B0EB3">
      <w:pPr>
        <w:pStyle w:val="ListParagraph"/>
        <w:numPr>
          <w:ilvl w:val="0"/>
          <w:numId w:val="36"/>
        </w:numPr>
        <w:spacing w:before="60"/>
      </w:pPr>
      <w:r w:rsidRPr="00817977">
        <w:t xml:space="preserve">Le </w:t>
      </w:r>
      <w:r w:rsidRPr="00254D3C">
        <w:rPr>
          <w:u w:val="single"/>
        </w:rPr>
        <w:t>fonds carbone</w:t>
      </w:r>
      <w:r w:rsidRPr="00817977">
        <w:t xml:space="preserve"> </w:t>
      </w:r>
      <w:r w:rsidR="0075453F">
        <w:t>qui vise le paiement</w:t>
      </w:r>
      <w:r w:rsidRPr="00817977">
        <w:t xml:space="preserve"> </w:t>
      </w:r>
      <w:r w:rsidR="0075453F">
        <w:t>aux</w:t>
      </w:r>
      <w:r w:rsidRPr="00817977">
        <w:t xml:space="preserve"> résultats </w:t>
      </w:r>
      <w:r w:rsidR="0075453F">
        <w:t>REDD+ (achat des réductions d’émissions)</w:t>
      </w:r>
      <w:r w:rsidR="008544D6">
        <w:t> ;</w:t>
      </w:r>
    </w:p>
    <w:p w14:paraId="59FC1E65" w14:textId="7D20357F" w:rsidR="00D3496F" w:rsidRPr="008544D6" w:rsidRDefault="008544D6" w:rsidP="008544D6">
      <w:pPr>
        <w:pStyle w:val="ListParagraph"/>
      </w:pPr>
      <w:r>
        <w:t>La République du Congo est actuellement en phase de finalisation du plan de financement de son projet de réduction d’émissions au Nord Congo. Dans le cadre de ce projet, il est prévu qu’une partie des réductions d’émissions soient achetées par le fonds carbone à raison de 12 millions de tonnes de CO2 équivalent sur la p</w:t>
      </w:r>
      <w:r w:rsidR="00154085">
        <w:t>ériode 2017-2022 à 5 dollars</w:t>
      </w:r>
      <w:r>
        <w:t xml:space="preserve">/tonne soit 60 millions </w:t>
      </w:r>
      <w:r w:rsidR="00B0444B">
        <w:t>d’USD</w:t>
      </w:r>
      <w:r w:rsidR="001F10DC">
        <w:t xml:space="preserve"> (</w:t>
      </w:r>
      <w:r w:rsidR="00EC5AD7">
        <w:t>source :</w:t>
      </w:r>
      <w:r w:rsidR="001F10DC">
        <w:t xml:space="preserve"> Banque Mondiale)</w:t>
      </w:r>
      <w:r>
        <w:t xml:space="preserve">. </w:t>
      </w:r>
    </w:p>
    <w:p w14:paraId="50A68C8D" w14:textId="2296E492" w:rsidR="006614C8" w:rsidRDefault="000211DD" w:rsidP="000211DD">
      <w:r>
        <w:t xml:space="preserve">On note </w:t>
      </w:r>
      <w:r w:rsidR="00813BE9">
        <w:t>qu’au-delà</w:t>
      </w:r>
      <w:r>
        <w:t xml:space="preserve"> </w:t>
      </w:r>
      <w:r w:rsidR="00254D3C">
        <w:t>du fonds c</w:t>
      </w:r>
      <w:r>
        <w:t xml:space="preserve">arbone du FCPF, il existe au niveau du groupe banque mondiale deux autres fonds carbone de paiements aux résultats auxquels la République du Congo ne participe pas à savoir : le </w:t>
      </w:r>
      <w:proofErr w:type="spellStart"/>
      <w:r w:rsidRPr="000211DD">
        <w:rPr>
          <w:i/>
        </w:rPr>
        <w:t>BioCarbon</w:t>
      </w:r>
      <w:proofErr w:type="spellEnd"/>
      <w:r w:rsidRPr="000211DD">
        <w:rPr>
          <w:i/>
        </w:rPr>
        <w:t xml:space="preserve"> </w:t>
      </w:r>
      <w:proofErr w:type="spellStart"/>
      <w:r w:rsidRPr="000211DD">
        <w:rPr>
          <w:i/>
        </w:rPr>
        <w:t>Fund</w:t>
      </w:r>
      <w:proofErr w:type="spellEnd"/>
      <w:r>
        <w:t xml:space="preserve"> et le </w:t>
      </w:r>
      <w:proofErr w:type="spellStart"/>
      <w:r w:rsidRPr="000211DD">
        <w:rPr>
          <w:i/>
        </w:rPr>
        <w:t>Partnership</w:t>
      </w:r>
      <w:proofErr w:type="spellEnd"/>
      <w:r w:rsidRPr="000211DD">
        <w:rPr>
          <w:i/>
        </w:rPr>
        <w:t xml:space="preserve"> for </w:t>
      </w:r>
      <w:proofErr w:type="spellStart"/>
      <w:r w:rsidRPr="000211DD">
        <w:rPr>
          <w:i/>
        </w:rPr>
        <w:t>Market</w:t>
      </w:r>
      <w:proofErr w:type="spellEnd"/>
      <w:r w:rsidRPr="000211DD">
        <w:rPr>
          <w:i/>
        </w:rPr>
        <w:t xml:space="preserve"> </w:t>
      </w:r>
      <w:proofErr w:type="spellStart"/>
      <w:r w:rsidRPr="000211DD">
        <w:rPr>
          <w:i/>
        </w:rPr>
        <w:t>Readiness</w:t>
      </w:r>
      <w:proofErr w:type="spellEnd"/>
      <w:r>
        <w:t xml:space="preserve">. </w:t>
      </w:r>
      <w:r w:rsidR="00F20061">
        <w:t xml:space="preserve">Le </w:t>
      </w:r>
      <w:proofErr w:type="spellStart"/>
      <w:r w:rsidR="00F20061">
        <w:t>Biocarbon</w:t>
      </w:r>
      <w:proofErr w:type="spellEnd"/>
      <w:r w:rsidR="00F20061">
        <w:t xml:space="preserve"> </w:t>
      </w:r>
      <w:proofErr w:type="spellStart"/>
      <w:r w:rsidR="00F20061">
        <w:t>fund</w:t>
      </w:r>
      <w:proofErr w:type="spellEnd"/>
      <w:r w:rsidR="00F20061">
        <w:t xml:space="preserve"> est initiative publique privée crée en 2004 de la Banque Mondiale dédiée aux projets d’utilisation des terres. En Afrique Centrale, le fonds permet de financer un projet de reboisement en RDC. Le </w:t>
      </w:r>
      <w:proofErr w:type="spellStart"/>
      <w:r w:rsidR="00F20061" w:rsidRPr="00F20061">
        <w:rPr>
          <w:i/>
        </w:rPr>
        <w:t>Partnership</w:t>
      </w:r>
      <w:proofErr w:type="spellEnd"/>
      <w:r w:rsidR="00F20061" w:rsidRPr="00F20061">
        <w:rPr>
          <w:i/>
        </w:rPr>
        <w:t xml:space="preserve"> for </w:t>
      </w:r>
      <w:proofErr w:type="spellStart"/>
      <w:r w:rsidR="00F20061" w:rsidRPr="00F20061">
        <w:rPr>
          <w:i/>
        </w:rPr>
        <w:t>Market</w:t>
      </w:r>
      <w:proofErr w:type="spellEnd"/>
      <w:r w:rsidR="00F20061" w:rsidRPr="00F20061">
        <w:rPr>
          <w:i/>
        </w:rPr>
        <w:t xml:space="preserve"> </w:t>
      </w:r>
      <w:proofErr w:type="spellStart"/>
      <w:r w:rsidR="00F20061" w:rsidRPr="00F20061">
        <w:rPr>
          <w:i/>
        </w:rPr>
        <w:t>Readiness</w:t>
      </w:r>
      <w:proofErr w:type="spellEnd"/>
      <w:r w:rsidR="00F20061">
        <w:t xml:space="preserve"> est également une initiative de la Banque Mondiale. Pour en bénéficier le pays do</w:t>
      </w:r>
      <w:r w:rsidR="00EA3CB2">
        <w:t xml:space="preserve">it exprimer son intérêt, </w:t>
      </w:r>
      <w:r w:rsidR="00F20061">
        <w:t xml:space="preserve">développer </w:t>
      </w:r>
      <w:r w:rsidR="00EA3CB2">
        <w:t xml:space="preserve">et </w:t>
      </w:r>
      <w:r w:rsidR="00F20061">
        <w:t xml:space="preserve">mettre en place un plan de préparation aux mécanismes de marché pour la commercialisation de ses réductions d’émissions.  </w:t>
      </w:r>
    </w:p>
    <w:tbl>
      <w:tblPr>
        <w:tblStyle w:val="TableGrid"/>
        <w:tblW w:w="0" w:type="auto"/>
        <w:tblLook w:val="04A0" w:firstRow="1" w:lastRow="0" w:firstColumn="1" w:lastColumn="0" w:noHBand="0" w:noVBand="1"/>
      </w:tblPr>
      <w:tblGrid>
        <w:gridCol w:w="9212"/>
      </w:tblGrid>
      <w:tr w:rsidR="003D1D5D" w14:paraId="2E3EBD2B" w14:textId="77777777" w:rsidTr="005C3FB1">
        <w:tc>
          <w:tcPr>
            <w:tcW w:w="9212" w:type="dxa"/>
            <w:shd w:val="clear" w:color="auto" w:fill="F8E5DA" w:themeFill="accent2" w:themeFillTint="33"/>
          </w:tcPr>
          <w:p w14:paraId="35075D79" w14:textId="1A4EED9B" w:rsidR="003D1D5D" w:rsidRDefault="005C3FB1" w:rsidP="005C3FB1">
            <w:pPr>
              <w:pStyle w:val="Caption"/>
              <w:tabs>
                <w:tab w:val="left" w:pos="814"/>
                <w:tab w:val="center" w:pos="4498"/>
              </w:tabs>
              <w:jc w:val="left"/>
            </w:pPr>
            <w:r>
              <w:tab/>
            </w:r>
            <w:r>
              <w:tab/>
            </w:r>
            <w:r w:rsidR="003D1D5D">
              <w:t xml:space="preserve">Encadré  </w:t>
            </w:r>
            <w:r w:rsidR="003D1D5D">
              <w:fldChar w:fldCharType="begin"/>
            </w:r>
            <w:r w:rsidR="003D1D5D">
              <w:instrText xml:space="preserve"> SEQ Encadré_ \* ARABIC </w:instrText>
            </w:r>
            <w:r w:rsidR="003D1D5D">
              <w:fldChar w:fldCharType="separate"/>
            </w:r>
            <w:r w:rsidR="0080491D">
              <w:rPr>
                <w:noProof/>
              </w:rPr>
              <w:t>1</w:t>
            </w:r>
            <w:r w:rsidR="003D1D5D">
              <w:fldChar w:fldCharType="end"/>
            </w:r>
            <w:r w:rsidR="003D1D5D">
              <w:t> : Le programme de réduction d’émissions au Nord Congo (</w:t>
            </w:r>
            <w:r>
              <w:rPr>
                <w:i/>
              </w:rPr>
              <w:t>source : CN REDD, 2014</w:t>
            </w:r>
            <w:r w:rsidR="003D1D5D">
              <w:t>)</w:t>
            </w:r>
          </w:p>
          <w:p w14:paraId="02C6A113" w14:textId="279A8A3A" w:rsidR="003D1D5D" w:rsidRPr="005C3FB1" w:rsidRDefault="003D1D5D" w:rsidP="005C3FB1">
            <w:pPr>
              <w:spacing w:after="0"/>
              <w:rPr>
                <w:sz w:val="20"/>
                <w:szCs w:val="20"/>
              </w:rPr>
            </w:pPr>
            <w:r w:rsidRPr="005C3FB1">
              <w:rPr>
                <w:sz w:val="20"/>
                <w:szCs w:val="20"/>
              </w:rPr>
              <w:t>Le programme de réduction d’émissions au Nord Congo est un p</w:t>
            </w:r>
            <w:r w:rsidRPr="003D1D5D">
              <w:rPr>
                <w:sz w:val="20"/>
                <w:szCs w:val="20"/>
              </w:rPr>
              <w:t xml:space="preserve">rogramme juridictionnel de REDD+ à grande échelle </w:t>
            </w:r>
            <w:r w:rsidRPr="005C3FB1">
              <w:rPr>
                <w:sz w:val="20"/>
                <w:szCs w:val="20"/>
              </w:rPr>
              <w:t>comprenant les départements de la Sangha et de la Likouala au Nord Congo</w:t>
            </w:r>
            <w:r w:rsidRPr="003D1D5D">
              <w:rPr>
                <w:sz w:val="20"/>
                <w:szCs w:val="20"/>
              </w:rPr>
              <w:t xml:space="preserve">. </w:t>
            </w:r>
          </w:p>
          <w:p w14:paraId="27A6EDF5" w14:textId="634489A8" w:rsidR="003D1D5D" w:rsidRPr="005C3FB1" w:rsidRDefault="003D1D5D" w:rsidP="00EA3CB2">
            <w:pPr>
              <w:spacing w:after="0"/>
              <w:rPr>
                <w:sz w:val="20"/>
                <w:szCs w:val="20"/>
              </w:rPr>
            </w:pPr>
            <w:r w:rsidRPr="005C3FB1">
              <w:rPr>
                <w:sz w:val="20"/>
                <w:szCs w:val="20"/>
              </w:rPr>
              <w:t xml:space="preserve">Parmi les activités </w:t>
            </w:r>
            <w:r w:rsidR="005C3FB1" w:rsidRPr="005C3FB1">
              <w:rPr>
                <w:sz w:val="20"/>
                <w:szCs w:val="20"/>
              </w:rPr>
              <w:t xml:space="preserve">principales </w:t>
            </w:r>
            <w:r w:rsidRPr="005C3FB1">
              <w:rPr>
                <w:sz w:val="20"/>
                <w:szCs w:val="20"/>
              </w:rPr>
              <w:t>qui seront mises en œuvre sur cette zone, on peut citer :</w:t>
            </w:r>
          </w:p>
          <w:p w14:paraId="3299860C" w14:textId="69128BE1" w:rsidR="003D1D5D" w:rsidRPr="005C3FB1" w:rsidRDefault="003D1D5D" w:rsidP="008B0EB3">
            <w:pPr>
              <w:pStyle w:val="ListParagraph"/>
              <w:numPr>
                <w:ilvl w:val="0"/>
                <w:numId w:val="37"/>
              </w:numPr>
              <w:spacing w:after="0"/>
              <w:rPr>
                <w:sz w:val="20"/>
                <w:szCs w:val="20"/>
              </w:rPr>
            </w:pPr>
            <w:r w:rsidRPr="005C3FB1">
              <w:rPr>
                <w:sz w:val="20"/>
                <w:szCs w:val="20"/>
              </w:rPr>
              <w:t>La production durable de cacao en alternative à la déforestation non planifiée</w:t>
            </w:r>
            <w:r w:rsidR="005C3FB1">
              <w:rPr>
                <w:sz w:val="20"/>
                <w:szCs w:val="20"/>
              </w:rPr>
              <w:t> ;</w:t>
            </w:r>
          </w:p>
          <w:p w14:paraId="0404B690" w14:textId="3E82F7EE" w:rsidR="003D1D5D" w:rsidRPr="005C3FB1" w:rsidRDefault="005C3FB1" w:rsidP="008B0EB3">
            <w:pPr>
              <w:pStyle w:val="ListParagraph"/>
              <w:numPr>
                <w:ilvl w:val="0"/>
                <w:numId w:val="37"/>
              </w:numPr>
              <w:spacing w:after="0"/>
              <w:rPr>
                <w:sz w:val="20"/>
                <w:szCs w:val="20"/>
              </w:rPr>
            </w:pPr>
            <w:r w:rsidRPr="005C3FB1">
              <w:rPr>
                <w:sz w:val="20"/>
                <w:szCs w:val="20"/>
              </w:rPr>
              <w:t xml:space="preserve">La production améliorée de charbon de bois associée à l’utilisation du </w:t>
            </w:r>
            <w:proofErr w:type="spellStart"/>
            <w:r w:rsidRPr="005C3FB1">
              <w:rPr>
                <w:sz w:val="20"/>
                <w:szCs w:val="20"/>
              </w:rPr>
              <w:t>biochar</w:t>
            </w:r>
            <w:proofErr w:type="spellEnd"/>
            <w:r>
              <w:rPr>
                <w:sz w:val="20"/>
                <w:szCs w:val="20"/>
              </w:rPr>
              <w:t> ;</w:t>
            </w:r>
          </w:p>
          <w:p w14:paraId="78E12A5C" w14:textId="7FC036AA" w:rsidR="005C3FB1" w:rsidRPr="005C3FB1" w:rsidRDefault="005C3FB1" w:rsidP="008B0EB3">
            <w:pPr>
              <w:pStyle w:val="ListParagraph"/>
              <w:numPr>
                <w:ilvl w:val="0"/>
                <w:numId w:val="37"/>
              </w:numPr>
              <w:spacing w:after="0"/>
              <w:rPr>
                <w:sz w:val="20"/>
                <w:szCs w:val="20"/>
              </w:rPr>
            </w:pPr>
            <w:r w:rsidRPr="005C3FB1">
              <w:rPr>
                <w:sz w:val="20"/>
                <w:szCs w:val="20"/>
              </w:rPr>
              <w:t>La mise en place de pratiques d’exploitation à faible impact dans les concessions forestières et la promotion de la certification ;</w:t>
            </w:r>
          </w:p>
          <w:p w14:paraId="0BFE26CD" w14:textId="3D2BE265" w:rsidR="005C3FB1" w:rsidRPr="005C3FB1" w:rsidRDefault="005C3FB1" w:rsidP="008B0EB3">
            <w:pPr>
              <w:pStyle w:val="ListParagraph"/>
              <w:numPr>
                <w:ilvl w:val="0"/>
                <w:numId w:val="37"/>
              </w:numPr>
              <w:spacing w:after="0"/>
              <w:rPr>
                <w:sz w:val="20"/>
                <w:szCs w:val="20"/>
              </w:rPr>
            </w:pPr>
            <w:r w:rsidRPr="005C3FB1">
              <w:rPr>
                <w:sz w:val="20"/>
                <w:szCs w:val="20"/>
              </w:rPr>
              <w:t>La mise en conservation de zones de concession forestière</w:t>
            </w:r>
            <w:r>
              <w:rPr>
                <w:sz w:val="20"/>
                <w:szCs w:val="20"/>
              </w:rPr>
              <w:t> ;</w:t>
            </w:r>
          </w:p>
          <w:p w14:paraId="29618D84" w14:textId="57991A80" w:rsidR="005C3FB1" w:rsidRPr="005C3FB1" w:rsidRDefault="005C3FB1" w:rsidP="008B0EB3">
            <w:pPr>
              <w:pStyle w:val="ListParagraph"/>
              <w:numPr>
                <w:ilvl w:val="0"/>
                <w:numId w:val="37"/>
              </w:numPr>
              <w:spacing w:after="0"/>
              <w:rPr>
                <w:sz w:val="20"/>
                <w:szCs w:val="20"/>
              </w:rPr>
            </w:pPr>
            <w:r w:rsidRPr="005C3FB1">
              <w:rPr>
                <w:sz w:val="20"/>
                <w:szCs w:val="20"/>
              </w:rPr>
              <w:t>Le boisement/reboisement (incluant l’agroforesterie communautaire)</w:t>
            </w:r>
            <w:r>
              <w:rPr>
                <w:sz w:val="20"/>
                <w:szCs w:val="20"/>
              </w:rPr>
              <w:t>.</w:t>
            </w:r>
          </w:p>
          <w:p w14:paraId="46289D7F" w14:textId="1B4E0B09" w:rsidR="005C3FB1" w:rsidRPr="005C3FB1" w:rsidRDefault="005C3FB1" w:rsidP="005C3FB1">
            <w:pPr>
              <w:spacing w:after="0"/>
              <w:rPr>
                <w:sz w:val="20"/>
                <w:szCs w:val="20"/>
              </w:rPr>
            </w:pPr>
            <w:r w:rsidRPr="005C3FB1">
              <w:rPr>
                <w:sz w:val="20"/>
                <w:szCs w:val="20"/>
              </w:rPr>
              <w:t xml:space="preserve">A ces activités s’ajoutent des activités secondaires à savoir la diffusion de foyers améliorés, la cogénération et la mise en œuvre d’activités minières vertes.  </w:t>
            </w:r>
          </w:p>
          <w:p w14:paraId="5EB56138" w14:textId="77777777" w:rsidR="00EA3CB2" w:rsidRDefault="003D1D5D" w:rsidP="005C3FB1">
            <w:pPr>
              <w:spacing w:after="0"/>
              <w:rPr>
                <w:sz w:val="20"/>
                <w:szCs w:val="20"/>
              </w:rPr>
            </w:pPr>
            <w:r w:rsidRPr="003D1D5D">
              <w:rPr>
                <w:sz w:val="20"/>
                <w:szCs w:val="20"/>
              </w:rPr>
              <w:t xml:space="preserve">Le processus implique diverses parties prenantes, y compris les membres du gouvernement </w:t>
            </w:r>
            <w:r w:rsidR="005C3FB1" w:rsidRPr="005C3FB1">
              <w:rPr>
                <w:sz w:val="20"/>
                <w:szCs w:val="20"/>
              </w:rPr>
              <w:t xml:space="preserve">central et départemental, le </w:t>
            </w:r>
            <w:r w:rsidRPr="003D1D5D">
              <w:rPr>
                <w:sz w:val="20"/>
                <w:szCs w:val="20"/>
              </w:rPr>
              <w:t xml:space="preserve">secteur privé et </w:t>
            </w:r>
            <w:r w:rsidR="005C3FB1" w:rsidRPr="005C3FB1">
              <w:rPr>
                <w:sz w:val="20"/>
                <w:szCs w:val="20"/>
              </w:rPr>
              <w:t>les membres des organisations de la société civile</w:t>
            </w:r>
            <w:r w:rsidRPr="003D1D5D">
              <w:rPr>
                <w:sz w:val="20"/>
                <w:szCs w:val="20"/>
              </w:rPr>
              <w:t xml:space="preserve"> nationales et internationales.</w:t>
            </w:r>
            <w:r w:rsidRPr="005C3FB1">
              <w:rPr>
                <w:sz w:val="20"/>
                <w:szCs w:val="20"/>
              </w:rPr>
              <w:t xml:space="preserve"> </w:t>
            </w:r>
          </w:p>
          <w:p w14:paraId="15350648" w14:textId="6F5F8705" w:rsidR="003D1D5D" w:rsidRPr="00EA3CB2" w:rsidRDefault="005C3FB1" w:rsidP="005C3FB1">
            <w:pPr>
              <w:spacing w:after="0"/>
              <w:rPr>
                <w:sz w:val="20"/>
                <w:szCs w:val="20"/>
              </w:rPr>
            </w:pPr>
            <w:r w:rsidRPr="005C3FB1">
              <w:rPr>
                <w:sz w:val="20"/>
                <w:szCs w:val="20"/>
              </w:rPr>
              <w:t xml:space="preserve">Actuellement, l’élaboration du document du projet dont le plan de financement est en cours de finalisation. </w:t>
            </w:r>
          </w:p>
        </w:tc>
      </w:tr>
    </w:tbl>
    <w:p w14:paraId="4FF6F875" w14:textId="1DB8E233" w:rsidR="006614C8" w:rsidRDefault="006614C8" w:rsidP="008B0EB3">
      <w:pPr>
        <w:pStyle w:val="ListParagraph"/>
        <w:numPr>
          <w:ilvl w:val="0"/>
          <w:numId w:val="19"/>
        </w:numPr>
        <w:ind w:left="851" w:hanging="284"/>
      </w:pPr>
      <w:r w:rsidRPr="001E101B">
        <w:rPr>
          <w:color w:val="548AB7" w:themeColor="accent1" w:themeShade="BF"/>
        </w:rPr>
        <w:lastRenderedPageBreak/>
        <w:t xml:space="preserve">Les </w:t>
      </w:r>
      <w:r w:rsidR="00D521CA">
        <w:rPr>
          <w:color w:val="548AB7" w:themeColor="accent1" w:themeShade="BF"/>
        </w:rPr>
        <w:t>Fonds d’Investissement pour le C</w:t>
      </w:r>
      <w:r w:rsidRPr="001E101B">
        <w:rPr>
          <w:color w:val="548AB7" w:themeColor="accent1" w:themeShade="BF"/>
        </w:rPr>
        <w:t>limat</w:t>
      </w:r>
      <w:r w:rsidR="001E101B">
        <w:rPr>
          <w:color w:val="548AB7" w:themeColor="accent1" w:themeShade="BF"/>
        </w:rPr>
        <w:t xml:space="preserve"> (FIC)</w:t>
      </w:r>
      <w:r w:rsidR="00B404D3" w:rsidRPr="00154085">
        <w:rPr>
          <w:rStyle w:val="FootnoteReference"/>
          <w:color w:val="548AB7" w:themeColor="accent1" w:themeShade="BF"/>
        </w:rPr>
        <w:footnoteReference w:id="10"/>
      </w:r>
      <w:r w:rsidRPr="00154085">
        <w:rPr>
          <w:color w:val="548AB7" w:themeColor="accent1" w:themeShade="BF"/>
        </w:rPr>
        <w:t xml:space="preserve"> </w:t>
      </w:r>
    </w:p>
    <w:p w14:paraId="3F1AF3E7" w14:textId="5F609AFE" w:rsidR="00EE132B" w:rsidRPr="00EC7D60" w:rsidRDefault="002F0828" w:rsidP="002F0828">
      <w:r>
        <w:t>Le sommet du G8 de juillet 2008 a approuvé la création de deux Fonds d’Investissement pour le Climat (FIC), administrés par la Banque mondiale. Le Fonds pour les Technologies Propres (</w:t>
      </w:r>
      <w:r w:rsidRPr="002F0828">
        <w:rPr>
          <w:i/>
          <w:iCs/>
        </w:rPr>
        <w:t xml:space="preserve">Clean </w:t>
      </w:r>
      <w:proofErr w:type="spellStart"/>
      <w:r w:rsidRPr="002F0828">
        <w:rPr>
          <w:i/>
          <w:iCs/>
        </w:rPr>
        <w:t>Technology</w:t>
      </w:r>
      <w:proofErr w:type="spellEnd"/>
      <w:r w:rsidRPr="002F0828">
        <w:rPr>
          <w:i/>
          <w:iCs/>
        </w:rPr>
        <w:t xml:space="preserve"> </w:t>
      </w:r>
      <w:proofErr w:type="spellStart"/>
      <w:r w:rsidRPr="002F0828">
        <w:rPr>
          <w:i/>
          <w:iCs/>
        </w:rPr>
        <w:t>Fund</w:t>
      </w:r>
      <w:proofErr w:type="spellEnd"/>
      <w:r w:rsidRPr="002F0828">
        <w:rPr>
          <w:i/>
          <w:iCs/>
        </w:rPr>
        <w:t xml:space="preserve"> ou CTF</w:t>
      </w:r>
      <w:r>
        <w:t xml:space="preserve">) a pour but d’aider les pays en développement à catalyser les investissements publics et privés nécessaires pour déployer des technologies économes en carbone à large échelle dans les pays émergents. Le </w:t>
      </w:r>
      <w:bookmarkStart w:id="20" w:name="OLE_LINK6"/>
      <w:r>
        <w:t xml:space="preserve">Fonds Stratégique Climat </w:t>
      </w:r>
      <w:bookmarkEnd w:id="20"/>
      <w:r>
        <w:t>(</w:t>
      </w:r>
      <w:r w:rsidRPr="002F0828">
        <w:rPr>
          <w:i/>
          <w:iCs/>
        </w:rPr>
        <w:t xml:space="preserve">Strategic </w:t>
      </w:r>
      <w:proofErr w:type="spellStart"/>
      <w:r w:rsidRPr="002F0828">
        <w:rPr>
          <w:i/>
          <w:iCs/>
        </w:rPr>
        <w:t>Climate</w:t>
      </w:r>
      <w:proofErr w:type="spellEnd"/>
      <w:r w:rsidRPr="002F0828">
        <w:rPr>
          <w:i/>
          <w:iCs/>
        </w:rPr>
        <w:t xml:space="preserve"> </w:t>
      </w:r>
      <w:proofErr w:type="spellStart"/>
      <w:r w:rsidRPr="002F0828">
        <w:rPr>
          <w:i/>
          <w:iCs/>
        </w:rPr>
        <w:t>Fund</w:t>
      </w:r>
      <w:proofErr w:type="spellEnd"/>
      <w:r w:rsidRPr="002F0828">
        <w:rPr>
          <w:i/>
          <w:iCs/>
        </w:rPr>
        <w:t xml:space="preserve"> ou SCF</w:t>
      </w:r>
      <w:r>
        <w:t>) vise</w:t>
      </w:r>
      <w:r w:rsidR="00965AE2">
        <w:t>,</w:t>
      </w:r>
      <w:r w:rsidR="00732207">
        <w:t xml:space="preserve"> quant à </w:t>
      </w:r>
      <w:r w:rsidR="00BF3094">
        <w:t>lui</w:t>
      </w:r>
      <w:r w:rsidR="00965AE2">
        <w:t>,</w:t>
      </w:r>
      <w:r>
        <w:t xml:space="preserve"> à financer des approches nouvelles ayant un potentiel de transformation et d’effet d’échelle pour lutter contre le changement climatique, et recouvre à ce stade trois programmes : lutte contre la déforestation et la dégradation des forêts, </w:t>
      </w:r>
      <w:r w:rsidR="00965AE2">
        <w:t>risque climatique et résilience et</w:t>
      </w:r>
      <w:r>
        <w:t xml:space="preserve"> développement des énergies renouvelables dans les pays pauvres.</w:t>
      </w:r>
      <w:r w:rsidR="006F2BFB">
        <w:t xml:space="preserve"> Ces fonds sont</w:t>
      </w:r>
      <w:r w:rsidR="00965AE2">
        <w:t xml:space="preserve"> notamment</w:t>
      </w:r>
      <w:r w:rsidR="006F2BFB">
        <w:t xml:space="preserve"> </w:t>
      </w:r>
      <w:r w:rsidR="00B404D3">
        <w:t>implantés</w:t>
      </w:r>
      <w:r w:rsidR="006F2BFB">
        <w:t xml:space="preserve"> </w:t>
      </w:r>
      <w:r w:rsidR="00965AE2">
        <w:t xml:space="preserve">en Afrique </w:t>
      </w:r>
      <w:r w:rsidR="006F2BFB">
        <w:t>a</w:t>
      </w:r>
      <w:r w:rsidR="00965AE2">
        <w:t>u travers de la Banque Mondiale et de la BAD</w:t>
      </w:r>
      <w:r w:rsidR="00B404D3">
        <w:t xml:space="preserve">. </w:t>
      </w:r>
      <w:r w:rsidR="006F2BFB">
        <w:t xml:space="preserve"> </w:t>
      </w:r>
    </w:p>
    <w:p w14:paraId="0F9FC7F5" w14:textId="5180E57D" w:rsidR="00444A74" w:rsidRDefault="00444A74" w:rsidP="00001000">
      <w:r>
        <w:t xml:space="preserve">Le </w:t>
      </w:r>
      <w:r w:rsidRPr="00444A74">
        <w:rPr>
          <w:b/>
        </w:rPr>
        <w:t>Fonds pour les Technologies Propres</w:t>
      </w:r>
      <w:r w:rsidR="00433A2C">
        <w:rPr>
          <w:b/>
        </w:rPr>
        <w:t xml:space="preserve"> (CTF)</w:t>
      </w:r>
      <w:r>
        <w:rPr>
          <w:b/>
        </w:rPr>
        <w:t xml:space="preserve">, </w:t>
      </w:r>
      <w:r>
        <w:t>d’un montant total</w:t>
      </w:r>
      <w:r w:rsidR="00B404D3">
        <w:t xml:space="preserve"> prévu</w:t>
      </w:r>
      <w:r>
        <w:t xml:space="preserve"> de 5,2 milliards </w:t>
      </w:r>
      <w:r w:rsidR="00B0444B">
        <w:t>d’USD</w:t>
      </w:r>
      <w:r w:rsidR="00B404D3">
        <w:t>,</w:t>
      </w:r>
      <w:r>
        <w:t xml:space="preserve"> finance les activités de réduction de </w:t>
      </w:r>
      <w:r w:rsidR="00965AE2">
        <w:t>gaz à effet de serre (</w:t>
      </w:r>
      <w:r>
        <w:t>GES</w:t>
      </w:r>
      <w:r w:rsidR="00965AE2">
        <w:t>)</w:t>
      </w:r>
      <w:r>
        <w:t xml:space="preserve"> en lien avec </w:t>
      </w:r>
      <w:r w:rsidR="00C958BD">
        <w:t xml:space="preserve">les énergies renouvelables </w:t>
      </w:r>
      <w:r>
        <w:t xml:space="preserve">le transport, et l’amélioration de l’efficacité énergétique. Aujourd’hui, 3,5 milliards </w:t>
      </w:r>
      <w:r w:rsidR="00B0444B">
        <w:t>d’USD</w:t>
      </w:r>
      <w:r w:rsidR="00433A2C">
        <w:t xml:space="preserve"> de financements concessionnels</w:t>
      </w:r>
      <w:r>
        <w:t xml:space="preserve"> </w:t>
      </w:r>
      <w:r w:rsidR="00433A2C">
        <w:t>ont</w:t>
      </w:r>
      <w:r>
        <w:t xml:space="preserve"> été approuvé pour le dévelo</w:t>
      </w:r>
      <w:r w:rsidR="008D75F3">
        <w:t>ppement d’activités au niveau mondial</w:t>
      </w:r>
      <w:r w:rsidR="003C7256">
        <w:t xml:space="preserve"> (16 pays bénéficiaires et la région Afrique du Nord/Moyen-Orient)</w:t>
      </w:r>
      <w:r w:rsidR="00C958BD">
        <w:t xml:space="preserve"> dont environ 70% pour des projets d’énergie renouvelables (solaire, éolien et géothermie principalement), 15% pour les projets dans le secteur du transport et 15% dans le domaine de l’efficacité énergétique</w:t>
      </w:r>
      <w:r w:rsidR="008D75F3">
        <w:t xml:space="preserve">. </w:t>
      </w:r>
      <w:r w:rsidR="00B404D3">
        <w:t>La République du Congo</w:t>
      </w:r>
      <w:r w:rsidR="00BF3094">
        <w:t xml:space="preserve"> est éligible mais</w:t>
      </w:r>
      <w:r w:rsidR="00B404D3">
        <w:t xml:space="preserve"> ne figure actuellement pas parmi les pays bénéficiaires. </w:t>
      </w:r>
      <w:r w:rsidR="00291166">
        <w:t xml:space="preserve">Pour bénéficier de ce fonds, le pays doit exprimer son intérêt et sélectionner une banque de développement multilatérale (telle que la Banque Mondiale ou la BAD) qui mènera une mission conjointe pour évaluer les activités, les implications des différentes parties prenantes et les besoins en financement. Un plan d’investissement pour la mise en œuvre des activités </w:t>
      </w:r>
      <w:r w:rsidR="003A6990">
        <w:t>éligibles au CTF</w:t>
      </w:r>
      <w:r w:rsidR="00291166">
        <w:t xml:space="preserve"> devra être élaboré et approuvé par le CTF pour permettre par la suite le financement des activités. </w:t>
      </w:r>
    </w:p>
    <w:p w14:paraId="2F1ADC59" w14:textId="5DABF030" w:rsidR="00BF3094" w:rsidRDefault="00BF3094" w:rsidP="00001000">
      <w:r w:rsidRPr="00BF3094">
        <w:rPr>
          <w:b/>
        </w:rPr>
        <w:t>Le</w:t>
      </w:r>
      <w:r>
        <w:rPr>
          <w:b/>
        </w:rPr>
        <w:t xml:space="preserve"> Fonds</w:t>
      </w:r>
      <w:r w:rsidRPr="00BF3094">
        <w:rPr>
          <w:b/>
        </w:rPr>
        <w:t xml:space="preserve"> Stratégique Climat</w:t>
      </w:r>
      <w:r>
        <w:rPr>
          <w:b/>
        </w:rPr>
        <w:t xml:space="preserve"> (SCF)</w:t>
      </w:r>
      <w:r>
        <w:t xml:space="preserve"> : </w:t>
      </w:r>
    </w:p>
    <w:p w14:paraId="38CC594B" w14:textId="539D73AB" w:rsidR="00892192" w:rsidRDefault="001E101B" w:rsidP="008B0EB3">
      <w:pPr>
        <w:pStyle w:val="ListParagraph"/>
        <w:numPr>
          <w:ilvl w:val="0"/>
          <w:numId w:val="37"/>
        </w:numPr>
      </w:pPr>
      <w:r>
        <w:t xml:space="preserve">Le </w:t>
      </w:r>
      <w:r w:rsidR="00892192" w:rsidRPr="00BF3094">
        <w:rPr>
          <w:b/>
        </w:rPr>
        <w:t>Programme d’Investissement pour la Forêt (FIP)</w:t>
      </w:r>
      <w:r w:rsidR="00B9707B" w:rsidRPr="00BF3094">
        <w:rPr>
          <w:b/>
        </w:rPr>
        <w:t>,</w:t>
      </w:r>
      <w:r w:rsidR="00B9707B">
        <w:t xml:space="preserve"> d’un montant total prévu de 771 millions </w:t>
      </w:r>
      <w:r w:rsidR="00B0444B">
        <w:t>d’USD</w:t>
      </w:r>
      <w:r w:rsidR="00704885">
        <w:t xml:space="preserve"> (emprunts à taux concessionnels et dons)</w:t>
      </w:r>
      <w:r w:rsidR="00B9707B">
        <w:t xml:space="preserve">, </w:t>
      </w:r>
      <w:r w:rsidR="00B9707B" w:rsidRPr="00BF3094">
        <w:rPr>
          <w:rStyle w:val="st"/>
          <w:rFonts w:eastAsiaTheme="majorEastAsia"/>
        </w:rPr>
        <w:t>soutient les initiatives</w:t>
      </w:r>
      <w:r w:rsidR="00965AE2" w:rsidRPr="00BF3094">
        <w:rPr>
          <w:rStyle w:val="st"/>
          <w:rFonts w:eastAsiaTheme="majorEastAsia"/>
        </w:rPr>
        <w:t xml:space="preserve"> de type</w:t>
      </w:r>
      <w:r w:rsidR="00B9707B" w:rsidRPr="00BF3094">
        <w:rPr>
          <w:rStyle w:val="st"/>
          <w:rFonts w:eastAsiaTheme="majorEastAsia"/>
        </w:rPr>
        <w:t xml:space="preserve"> REDD+</w:t>
      </w:r>
      <w:r w:rsidR="00B9707B">
        <w:t xml:space="preserve">. Aujourd’hui, le </w:t>
      </w:r>
      <w:r w:rsidR="00704885">
        <w:t xml:space="preserve">programme </w:t>
      </w:r>
      <w:r w:rsidR="00B9707B">
        <w:t xml:space="preserve">a approuvé un financement total de </w:t>
      </w:r>
      <w:r w:rsidR="00704885">
        <w:t>298</w:t>
      </w:r>
      <w:r w:rsidR="00B9707B">
        <w:t xml:space="preserve"> millions </w:t>
      </w:r>
      <w:r w:rsidR="00B0444B">
        <w:t>d’USD</w:t>
      </w:r>
      <w:r w:rsidR="00B9707B">
        <w:t xml:space="preserve"> pour le développement de </w:t>
      </w:r>
      <w:r w:rsidR="00704885">
        <w:t>18</w:t>
      </w:r>
      <w:r w:rsidR="00B9707B">
        <w:t xml:space="preserve"> projets au niveau mondial.</w:t>
      </w:r>
      <w:r w:rsidR="00704885">
        <w:t xml:space="preserve"> </w:t>
      </w:r>
      <w:r w:rsidR="00965AE2">
        <w:t>Il est prévu que l</w:t>
      </w:r>
      <w:r w:rsidR="00892192">
        <w:t>a République du Congo s</w:t>
      </w:r>
      <w:r w:rsidR="00965AE2">
        <w:t>oit</w:t>
      </w:r>
      <w:r w:rsidR="00892192">
        <w:t xml:space="preserve"> bénéficiaire de ce programme pour un montant actuellement estimé à 24 millions </w:t>
      </w:r>
      <w:r w:rsidR="00B0444B">
        <w:t>d’USD</w:t>
      </w:r>
      <w:r w:rsidR="00892192">
        <w:t xml:space="preserve"> dont 18</w:t>
      </w:r>
      <w:r w:rsidR="00965AE2">
        <w:t xml:space="preserve"> millions</w:t>
      </w:r>
      <w:r w:rsidR="00892192">
        <w:t xml:space="preserve"> sous forme de prêts à taux concessionnels et 6</w:t>
      </w:r>
      <w:r w:rsidR="00965AE2">
        <w:t xml:space="preserve"> millions</w:t>
      </w:r>
      <w:r w:rsidR="00892192">
        <w:t xml:space="preserve"> sous forme de dons (</w:t>
      </w:r>
      <w:r w:rsidR="00BA6569">
        <w:t xml:space="preserve">source </w:t>
      </w:r>
      <w:r w:rsidR="00E904D0">
        <w:t>:</w:t>
      </w:r>
      <w:r w:rsidR="00BA6569">
        <w:t xml:space="preserve"> </w:t>
      </w:r>
      <w:r w:rsidR="00892192">
        <w:t>Banque Mondiale).</w:t>
      </w:r>
      <w:r w:rsidR="00B9707B">
        <w:t xml:space="preserve"> A cet effet, le pays travaille actuellement à la préparation de son </w:t>
      </w:r>
      <w:r w:rsidR="00630427">
        <w:t>plan</w:t>
      </w:r>
      <w:r w:rsidR="00B9707B">
        <w:t xml:space="preserve"> d’investissement</w:t>
      </w:r>
      <w:r w:rsidR="00630427" w:rsidRPr="00630427">
        <w:t xml:space="preserve"> </w:t>
      </w:r>
      <w:r w:rsidR="00630427">
        <w:t>REDD+ national.</w:t>
      </w:r>
      <w:r w:rsidR="00892192">
        <w:t xml:space="preserve"> Ces financements permettront notamment d’appuyer le programme de rédu</w:t>
      </w:r>
      <w:r w:rsidR="00965AE2">
        <w:t>ction d’émissions du Nord Congo et</w:t>
      </w:r>
      <w:r w:rsidR="00892192">
        <w:t xml:space="preserve"> un projet d’approvisionneme</w:t>
      </w:r>
      <w:r w:rsidR="00965AE2">
        <w:t>nt en bois-énergie renouvelable</w:t>
      </w:r>
      <w:r w:rsidR="00892192">
        <w:t xml:space="preserve"> dans les départements du Pool et de la Cuvette. </w:t>
      </w:r>
    </w:p>
    <w:p w14:paraId="5A6B3BCA" w14:textId="507FB8AE" w:rsidR="00630427" w:rsidRDefault="00630427" w:rsidP="00630427">
      <w:pPr>
        <w:pStyle w:val="ListParagraph"/>
      </w:pPr>
      <w:r>
        <w:t>On note que selon les discussions menées avec le panel d’expert, la République du Congo bénéficie d’un financement  250 000 USD de la part du FIP et de 620 000 USD de la part du CAFI pour le préparation de son plan d’investissement REDD+.</w:t>
      </w:r>
    </w:p>
    <w:p w14:paraId="6BC2DCEC" w14:textId="6D713E3E" w:rsidR="00B404D3" w:rsidRPr="00061909" w:rsidRDefault="00B404D3" w:rsidP="008B0EB3">
      <w:pPr>
        <w:pStyle w:val="ListParagraph"/>
        <w:numPr>
          <w:ilvl w:val="0"/>
          <w:numId w:val="37"/>
        </w:numPr>
      </w:pPr>
      <w:r w:rsidRPr="00061909">
        <w:t xml:space="preserve">Le </w:t>
      </w:r>
      <w:r w:rsidR="00892192" w:rsidRPr="00061909">
        <w:rPr>
          <w:b/>
        </w:rPr>
        <w:t>P</w:t>
      </w:r>
      <w:r w:rsidRPr="00061909">
        <w:rPr>
          <w:b/>
        </w:rPr>
        <w:t>rogramme pilote pour la résilience climatique (PPCR),</w:t>
      </w:r>
      <w:r w:rsidRPr="00061909">
        <w:t xml:space="preserve"> d’un montant total prévu de 1,2 milliards </w:t>
      </w:r>
      <w:r w:rsidR="00B0444B" w:rsidRPr="00061909">
        <w:t>d’USD</w:t>
      </w:r>
      <w:r w:rsidRPr="00061909">
        <w:t xml:space="preserve">, </w:t>
      </w:r>
      <w:r w:rsidR="00DB33F0" w:rsidRPr="00061909">
        <w:rPr>
          <w:rStyle w:val="st"/>
          <w:rFonts w:eastAsiaTheme="majorEastAsia"/>
        </w:rPr>
        <w:t xml:space="preserve">soutient le développement de </w:t>
      </w:r>
      <w:r w:rsidR="00DB33F0" w:rsidRPr="00061909">
        <w:rPr>
          <w:rStyle w:val="Emphasis"/>
          <w:i w:val="0"/>
        </w:rPr>
        <w:t>la résilience climatique</w:t>
      </w:r>
      <w:r w:rsidR="00DB33F0" w:rsidRPr="00061909">
        <w:rPr>
          <w:rStyle w:val="st"/>
          <w:rFonts w:eastAsiaTheme="majorEastAsia"/>
        </w:rPr>
        <w:t xml:space="preserve"> en investissant dans </w:t>
      </w:r>
      <w:r w:rsidR="00DB33F0" w:rsidRPr="00061909">
        <w:t xml:space="preserve">des </w:t>
      </w:r>
      <w:r w:rsidRPr="00061909">
        <w:t>projets</w:t>
      </w:r>
      <w:r w:rsidR="00DB33F0" w:rsidRPr="00061909">
        <w:t xml:space="preserve"> de gestion des ressources en eau, de développement urbain et des infrastructures, d’amélioration du cadre légal et réglementaire, de gestion des zones côtières, agricoles et des paysages, d’appui à la mise en place de systèmes d’information climatique et de gestion des risques</w:t>
      </w:r>
      <w:r w:rsidRPr="00061909">
        <w:t xml:space="preserve">. </w:t>
      </w:r>
      <w:r w:rsidR="00433A2C" w:rsidRPr="00061909">
        <w:t xml:space="preserve">Les emprunts sont prioritairement accordés aux pays les moins développés avec des taux d’intérêt et conditions préférentiels (jusque 20 ans). </w:t>
      </w:r>
      <w:r w:rsidRPr="00061909">
        <w:t xml:space="preserve">Aujourd’hui, le fonds a approuvé un financement total de 910 millions </w:t>
      </w:r>
      <w:r w:rsidR="00B0444B" w:rsidRPr="00061909">
        <w:t>d’USD</w:t>
      </w:r>
      <w:r w:rsidRPr="00061909">
        <w:t xml:space="preserve"> pour le développement de 54 projets au niveau mondial. La République du Congo ne figure actuellement pas parmi les pays bénéficiaires.</w:t>
      </w:r>
      <w:r w:rsidR="00061909" w:rsidRPr="00061909">
        <w:t xml:space="preserve"> Pour bénéficier du fonds pour le financement des activités REDD+ ayant un double objectif atténuation/adaptation, le pays doit formuler un programme d’actions nationales d’adaptation (qui peut être appuyer avec les financements du PPCR). Une fois ce plan adopté, un cadre d’investissement pourra être proposé et des projets pourront être élaborés pour accéder aux financements du PPCR.</w:t>
      </w:r>
    </w:p>
    <w:p w14:paraId="36363BC4" w14:textId="4208B5AA" w:rsidR="008E2384" w:rsidRDefault="00BF3094" w:rsidP="00001000">
      <w:r>
        <w:lastRenderedPageBreak/>
        <w:t>On note qu’il existe un troisième programme</w:t>
      </w:r>
      <w:r w:rsidR="003A6990">
        <w:t xml:space="preserve"> dans le cadre du</w:t>
      </w:r>
      <w:r>
        <w:t xml:space="preserve"> </w:t>
      </w:r>
      <w:r w:rsidR="003A6990">
        <w:t>SCF</w:t>
      </w:r>
      <w:r>
        <w:t xml:space="preserve"> (</w:t>
      </w:r>
      <w:r w:rsidR="008E2384" w:rsidRPr="00BF3094">
        <w:rPr>
          <w:rStyle w:val="st"/>
          <w:rFonts w:eastAsiaTheme="majorEastAsia"/>
        </w:rPr>
        <w:t xml:space="preserve">Programme de valorisation à grande échelle des </w:t>
      </w:r>
      <w:r w:rsidR="008E2384" w:rsidRPr="00BF3094">
        <w:rPr>
          <w:rStyle w:val="Emphasis"/>
          <w:i w:val="0"/>
        </w:rPr>
        <w:t>énergies renouvelables dans les pays à faible revenus</w:t>
      </w:r>
      <w:r w:rsidRPr="00BF3094">
        <w:rPr>
          <w:rStyle w:val="Emphasis"/>
          <w:i w:val="0"/>
        </w:rPr>
        <w:t xml:space="preserve">, </w:t>
      </w:r>
      <w:r w:rsidR="008E2384" w:rsidRPr="00BF3094">
        <w:rPr>
          <w:rStyle w:val="Emphasis"/>
          <w:i w:val="0"/>
        </w:rPr>
        <w:t>SREP</w:t>
      </w:r>
      <w:r w:rsidR="008E2384" w:rsidRPr="008E2384">
        <w:rPr>
          <w:rStyle w:val="Emphasis"/>
          <w:b/>
          <w:i w:val="0"/>
        </w:rPr>
        <w:t>)</w:t>
      </w:r>
      <w:r w:rsidR="008E2384">
        <w:rPr>
          <w:rStyle w:val="Emphasis"/>
          <w:i w:val="0"/>
        </w:rPr>
        <w:t xml:space="preserve"> </w:t>
      </w:r>
      <w:r>
        <w:t xml:space="preserve">mais celui-ci est à destination des pays à faible revenu. </w:t>
      </w:r>
    </w:p>
    <w:p w14:paraId="152A9A04" w14:textId="1925D8D6" w:rsidR="0054477D" w:rsidRDefault="001E101B" w:rsidP="008B0EB3">
      <w:pPr>
        <w:pStyle w:val="ListParagraph"/>
        <w:numPr>
          <w:ilvl w:val="0"/>
          <w:numId w:val="22"/>
        </w:numPr>
        <w:ind w:left="851" w:hanging="284"/>
      </w:pPr>
      <w:r>
        <w:rPr>
          <w:color w:val="548AB7" w:themeColor="accent1" w:themeShade="BF"/>
        </w:rPr>
        <w:t>L’i</w:t>
      </w:r>
      <w:r w:rsidR="0054477D" w:rsidRPr="001E101B">
        <w:rPr>
          <w:color w:val="548AB7" w:themeColor="accent1" w:themeShade="BF"/>
        </w:rPr>
        <w:t>nitiative pour la forêt de</w:t>
      </w:r>
      <w:r w:rsidR="0054477D" w:rsidRPr="005E7151">
        <w:rPr>
          <w:color w:val="548AB7" w:themeColor="accent1" w:themeShade="BF"/>
        </w:rPr>
        <w:t xml:space="preserve"> l’Afrique </w:t>
      </w:r>
      <w:r w:rsidR="0054477D" w:rsidRPr="001E101B">
        <w:rPr>
          <w:color w:val="548AB7" w:themeColor="accent1" w:themeShade="BF"/>
        </w:rPr>
        <w:t>Centrale (CAFI)</w:t>
      </w:r>
      <w:r w:rsidR="00415EAC" w:rsidRPr="00965AE2">
        <w:rPr>
          <w:rStyle w:val="FootnoteReference"/>
          <w:color w:val="548AB7" w:themeColor="accent1" w:themeShade="BF"/>
        </w:rPr>
        <w:footnoteReference w:id="11"/>
      </w:r>
    </w:p>
    <w:p w14:paraId="6843A94A" w14:textId="67B1AB46" w:rsidR="0054477D" w:rsidRPr="00B672BA" w:rsidRDefault="0054477D" w:rsidP="00B672BA">
      <w:pPr>
        <w:rPr>
          <w:rFonts w:ascii="Tw Cen MT" w:hAnsi="Tw Cen MT" w:cs="Arial"/>
          <w:szCs w:val="22"/>
        </w:rPr>
      </w:pPr>
      <w:r w:rsidRPr="00B672BA">
        <w:rPr>
          <w:rFonts w:ascii="Tw Cen MT" w:hAnsi="Tw Cen MT"/>
          <w:szCs w:val="22"/>
        </w:rPr>
        <w:t>Le CAFI</w:t>
      </w:r>
      <w:r w:rsidR="005925AC" w:rsidRPr="00B672BA">
        <w:rPr>
          <w:rFonts w:ascii="Tw Cen MT" w:hAnsi="Tw Cen MT"/>
          <w:szCs w:val="22"/>
        </w:rPr>
        <w:t>, lancé officiellement en septembre 2015,</w:t>
      </w:r>
      <w:r w:rsidRPr="00B672BA">
        <w:rPr>
          <w:rFonts w:ascii="Tw Cen MT" w:hAnsi="Tw Cen MT"/>
          <w:szCs w:val="22"/>
        </w:rPr>
        <w:t xml:space="preserve"> est un fonds fiduciaire </w:t>
      </w:r>
      <w:proofErr w:type="spellStart"/>
      <w:r w:rsidRPr="00B672BA">
        <w:rPr>
          <w:rFonts w:ascii="Tw Cen MT" w:hAnsi="Tw Cen MT"/>
          <w:szCs w:val="22"/>
        </w:rPr>
        <w:t>multi-partenaires</w:t>
      </w:r>
      <w:proofErr w:type="spellEnd"/>
      <w:r w:rsidR="00E87A14">
        <w:rPr>
          <w:rFonts w:ascii="Tw Cen MT" w:hAnsi="Tw Cen MT"/>
          <w:szCs w:val="22"/>
        </w:rPr>
        <w:t xml:space="preserve"> (incluant notamment la France et la Norvège)</w:t>
      </w:r>
      <w:r w:rsidR="005925AC" w:rsidRPr="00B672BA">
        <w:rPr>
          <w:rFonts w:ascii="Tw Cen MT" w:hAnsi="Tw Cen MT"/>
          <w:szCs w:val="22"/>
        </w:rPr>
        <w:t xml:space="preserve"> </w:t>
      </w:r>
      <w:r w:rsidR="00B672BA" w:rsidRPr="00B672BA">
        <w:rPr>
          <w:rFonts w:ascii="Tw Cen MT" w:hAnsi="Tw Cen MT" w:cs="Arial"/>
          <w:szCs w:val="22"/>
        </w:rPr>
        <w:t>héberg</w:t>
      </w:r>
      <w:r w:rsidR="00965AE2">
        <w:rPr>
          <w:rFonts w:ascii="Tw Cen MT" w:hAnsi="Tw Cen MT" w:cs="Arial"/>
          <w:szCs w:val="22"/>
        </w:rPr>
        <w:t xml:space="preserve">é par le Bureau des Fonds </w:t>
      </w:r>
      <w:proofErr w:type="spellStart"/>
      <w:r w:rsidR="00965AE2">
        <w:rPr>
          <w:rFonts w:ascii="Tw Cen MT" w:hAnsi="Tw Cen MT" w:cs="Arial"/>
          <w:szCs w:val="22"/>
        </w:rPr>
        <w:t>multi-</w:t>
      </w:r>
      <w:r w:rsidR="00B672BA" w:rsidRPr="00B672BA">
        <w:rPr>
          <w:rFonts w:ascii="Tw Cen MT" w:hAnsi="Tw Cen MT" w:cs="Arial"/>
          <w:szCs w:val="22"/>
        </w:rPr>
        <w:t>partenaires</w:t>
      </w:r>
      <w:proofErr w:type="spellEnd"/>
      <w:r w:rsidR="00B672BA" w:rsidRPr="00B672BA">
        <w:rPr>
          <w:rFonts w:ascii="Tw Cen MT" w:hAnsi="Tw Cen MT" w:cs="Arial"/>
          <w:szCs w:val="22"/>
        </w:rPr>
        <w:t xml:space="preserve"> du PNUD et </w:t>
      </w:r>
      <w:r w:rsidR="005925AC" w:rsidRPr="00B672BA">
        <w:rPr>
          <w:rFonts w:ascii="Tw Cen MT" w:hAnsi="Tw Cen MT"/>
          <w:szCs w:val="22"/>
        </w:rPr>
        <w:t xml:space="preserve">destiné à appuyer le financement de la gestion durable et de la conservation des forêts au Cameroun, République Centrafricaine, République Démocratique du Congo, Guinée Equatoriale, Gabon et République du Congo. </w:t>
      </w:r>
    </w:p>
    <w:p w14:paraId="41E1B2DD" w14:textId="1ED3D8CB" w:rsidR="00B672BA" w:rsidRDefault="005925AC" w:rsidP="00B672BA">
      <w:pPr>
        <w:rPr>
          <w:rFonts w:ascii="Tw Cen MT" w:hAnsi="Tw Cen MT"/>
          <w:szCs w:val="22"/>
        </w:rPr>
      </w:pPr>
      <w:r w:rsidRPr="00B672BA">
        <w:rPr>
          <w:rFonts w:ascii="Tw Cen MT" w:hAnsi="Tw Cen MT" w:cs="Arial"/>
          <w:szCs w:val="22"/>
        </w:rPr>
        <w:t>Le Fonds sera mis en œuvre par le biais de</w:t>
      </w:r>
      <w:r w:rsidR="00965AE2">
        <w:rPr>
          <w:rFonts w:ascii="Tw Cen MT" w:hAnsi="Tw Cen MT" w:cs="Arial"/>
          <w:szCs w:val="22"/>
        </w:rPr>
        <w:t xml:space="preserve">s </w:t>
      </w:r>
      <w:r w:rsidRPr="00B672BA">
        <w:rPr>
          <w:rFonts w:ascii="Tw Cen MT" w:hAnsi="Tw Cen MT" w:cs="Arial"/>
          <w:szCs w:val="22"/>
        </w:rPr>
        <w:t xml:space="preserve">organisations de l’ONU participantes, </w:t>
      </w:r>
      <w:r w:rsidR="00415EAC">
        <w:rPr>
          <w:rFonts w:ascii="Tw Cen MT" w:hAnsi="Tw Cen MT" w:cs="Arial"/>
          <w:szCs w:val="22"/>
        </w:rPr>
        <w:t>l</w:t>
      </w:r>
      <w:r w:rsidR="00965AE2">
        <w:rPr>
          <w:rFonts w:ascii="Tw Cen MT" w:hAnsi="Tw Cen MT" w:cs="Arial"/>
          <w:szCs w:val="22"/>
        </w:rPr>
        <w:t>a Banque mondiale et de</w:t>
      </w:r>
      <w:r w:rsidRPr="00B672BA">
        <w:rPr>
          <w:rFonts w:ascii="Tw Cen MT" w:hAnsi="Tw Cen MT" w:cs="Arial"/>
          <w:szCs w:val="22"/>
        </w:rPr>
        <w:t>s agences de coopération internationale.</w:t>
      </w:r>
      <w:r w:rsidRPr="00B672BA">
        <w:rPr>
          <w:rFonts w:ascii="Tw Cen MT" w:hAnsi="Tw Cen MT"/>
          <w:szCs w:val="22"/>
        </w:rPr>
        <w:t xml:space="preserve"> </w:t>
      </w:r>
      <w:r w:rsidR="0054477D" w:rsidRPr="00B672BA">
        <w:rPr>
          <w:rFonts w:ascii="Tw Cen MT" w:hAnsi="Tw Cen MT"/>
          <w:szCs w:val="22"/>
        </w:rPr>
        <w:t>Pour y accéder les pays doivent soumettre un cadre national d'investissement, une lettre d'intention et les documents de programme.</w:t>
      </w:r>
      <w:r w:rsidRPr="00B672BA">
        <w:rPr>
          <w:rFonts w:ascii="Tw Cen MT" w:hAnsi="Tw Cen MT"/>
          <w:szCs w:val="22"/>
        </w:rPr>
        <w:t xml:space="preserve"> </w:t>
      </w:r>
      <w:r w:rsidR="0037030C">
        <w:rPr>
          <w:rFonts w:ascii="Tw Cen MT" w:hAnsi="Tw Cen MT"/>
          <w:szCs w:val="22"/>
        </w:rPr>
        <w:t>Dans ce cadre,</w:t>
      </w:r>
      <w:r w:rsidR="0037030C" w:rsidRPr="0037030C">
        <w:rPr>
          <w:rFonts w:ascii="Tw Cen MT" w:hAnsi="Tw Cen MT"/>
          <w:szCs w:val="22"/>
        </w:rPr>
        <w:t xml:space="preserve"> </w:t>
      </w:r>
      <w:r w:rsidR="0037030C">
        <w:rPr>
          <w:rFonts w:ascii="Tw Cen MT" w:hAnsi="Tw Cen MT"/>
          <w:szCs w:val="22"/>
        </w:rPr>
        <w:t xml:space="preserve">le 16 avril 2016, la RDC est le premier pays a signé une lettre d’intention pour un accord de financement de 200 millions </w:t>
      </w:r>
      <w:r w:rsidR="00B0444B">
        <w:rPr>
          <w:rFonts w:ascii="Tw Cen MT" w:hAnsi="Tw Cen MT"/>
          <w:szCs w:val="22"/>
        </w:rPr>
        <w:t>d’USD</w:t>
      </w:r>
      <w:r w:rsidR="0037030C">
        <w:rPr>
          <w:rStyle w:val="FootnoteReference"/>
          <w:rFonts w:ascii="Tw Cen MT" w:hAnsi="Tw Cen MT"/>
          <w:szCs w:val="22"/>
        </w:rPr>
        <w:footnoteReference w:id="12"/>
      </w:r>
      <w:r w:rsidR="0037030C">
        <w:rPr>
          <w:rFonts w:ascii="Tw Cen MT" w:hAnsi="Tw Cen MT"/>
          <w:szCs w:val="22"/>
        </w:rPr>
        <w:t>.</w:t>
      </w:r>
    </w:p>
    <w:p w14:paraId="1F7B7833" w14:textId="136DC56C" w:rsidR="00734D2C" w:rsidRDefault="0054477D" w:rsidP="00FD1E40">
      <w:pPr>
        <w:rPr>
          <w:rFonts w:ascii="Tw Cen MT" w:hAnsi="Tw Cen MT"/>
          <w:szCs w:val="22"/>
        </w:rPr>
      </w:pPr>
      <w:r w:rsidRPr="00B672BA">
        <w:rPr>
          <w:rFonts w:ascii="Tw Cen MT" w:hAnsi="Tw Cen MT"/>
          <w:szCs w:val="22"/>
        </w:rPr>
        <w:t xml:space="preserve">Pour la République du Congo, la déclaration conjointe a été signée et la subvention préparatoire a été accordée pour développer le </w:t>
      </w:r>
      <w:r w:rsidR="00630427">
        <w:rPr>
          <w:rFonts w:ascii="Tw Cen MT" w:hAnsi="Tw Cen MT"/>
          <w:szCs w:val="22"/>
        </w:rPr>
        <w:t>plan</w:t>
      </w:r>
      <w:r w:rsidRPr="00B672BA">
        <w:rPr>
          <w:rFonts w:ascii="Tw Cen MT" w:hAnsi="Tw Cen MT"/>
          <w:szCs w:val="22"/>
        </w:rPr>
        <w:t xml:space="preserve"> national d’investissement. Les actions qui seront financées et </w:t>
      </w:r>
      <w:r w:rsidR="00630427">
        <w:rPr>
          <w:rFonts w:ascii="Tw Cen MT" w:hAnsi="Tw Cen MT"/>
          <w:szCs w:val="22"/>
        </w:rPr>
        <w:t xml:space="preserve">les </w:t>
      </w:r>
      <w:r w:rsidRPr="00B672BA">
        <w:rPr>
          <w:rFonts w:ascii="Tw Cen MT" w:hAnsi="Tw Cen MT"/>
          <w:szCs w:val="22"/>
        </w:rPr>
        <w:t>montants qui seront alloués à la République du Congo ne sont pas encore connus.</w:t>
      </w:r>
      <w:r w:rsidR="005925AC" w:rsidRPr="00B672BA">
        <w:rPr>
          <w:rFonts w:ascii="Tw Cen MT" w:hAnsi="Tw Cen MT"/>
          <w:szCs w:val="22"/>
        </w:rPr>
        <w:t xml:space="preserve"> </w:t>
      </w:r>
    </w:p>
    <w:p w14:paraId="2370807B" w14:textId="77777777" w:rsidR="00AF4823" w:rsidRDefault="00AF4823" w:rsidP="00AF4823">
      <w:pPr>
        <w:pStyle w:val="Heading5"/>
      </w:pPr>
      <w:r>
        <w:t>Le Groupe de la</w:t>
      </w:r>
      <w:r w:rsidRPr="00C178BB">
        <w:t xml:space="preserve"> Banque Africaine de Développement (BAD)</w:t>
      </w:r>
      <w:r>
        <w:rPr>
          <w:rStyle w:val="FootnoteReference"/>
        </w:rPr>
        <w:footnoteReference w:id="13"/>
      </w:r>
    </w:p>
    <w:p w14:paraId="2DFDB2A5" w14:textId="2DB4C1B3" w:rsidR="00AF4823" w:rsidRPr="0063635C" w:rsidRDefault="00AF4823" w:rsidP="00AF4823">
      <w:r>
        <w:t>Les opérations de prêts et subventions</w:t>
      </w:r>
      <w:r w:rsidRPr="0063635C">
        <w:t xml:space="preserve"> du Groupe de la Banque pour les projets et les programmes sont menées par le biais de trois guichets </w:t>
      </w:r>
      <w:r>
        <w:t xml:space="preserve">dont </w:t>
      </w:r>
      <w:r w:rsidRPr="00332859">
        <w:rPr>
          <w:rFonts w:eastAsiaTheme="majorEastAsia"/>
        </w:rPr>
        <w:t>la Banque africaine de développement</w:t>
      </w:r>
      <w:r w:rsidRPr="0063635C">
        <w:t xml:space="preserve"> et </w:t>
      </w:r>
      <w:r w:rsidRPr="00332859">
        <w:rPr>
          <w:rFonts w:eastAsiaTheme="majorEastAsia"/>
        </w:rPr>
        <w:t>le Fonds africain de développement</w:t>
      </w:r>
      <w:r w:rsidRPr="0063635C">
        <w:t xml:space="preserve"> (FAD) qui est le guichet concessionnel de la Banque. En 2015, les montants octroyés par la Banque s’élève à 8,8 milliard </w:t>
      </w:r>
      <w:r>
        <w:t>d’USD</w:t>
      </w:r>
      <w:r w:rsidRPr="0063635C">
        <w:t xml:space="preserve"> dont 71% par la Banque et 29% par le Fonds. </w:t>
      </w:r>
    </w:p>
    <w:p w14:paraId="78BB341D" w14:textId="639AFC87" w:rsidR="00AF4823" w:rsidRDefault="00AF4823" w:rsidP="00AF4823">
      <w:r>
        <w:t xml:space="preserve">En 2015, </w:t>
      </w:r>
      <w:r w:rsidRPr="0063635C">
        <w:t>2,9% des prêts et dons accordés par le groupe</w:t>
      </w:r>
      <w:r>
        <w:t xml:space="preserve"> ont bénéficié à</w:t>
      </w:r>
      <w:r w:rsidRPr="0063635C">
        <w:t xml:space="preserve"> </w:t>
      </w:r>
      <w:r>
        <w:t>l’</w:t>
      </w:r>
      <w:r w:rsidRPr="0063635C">
        <w:t xml:space="preserve">Afrique Centrale </w:t>
      </w:r>
      <w:r>
        <w:t xml:space="preserve">dont </w:t>
      </w:r>
      <w:r w:rsidRPr="0063635C">
        <w:t xml:space="preserve">50,1 % </w:t>
      </w:r>
      <w:r>
        <w:t>a</w:t>
      </w:r>
      <w:r w:rsidRPr="0063635C">
        <w:t xml:space="preserve"> été alloué a</w:t>
      </w:r>
      <w:r>
        <w:t>ux opérations multisectorielles,</w:t>
      </w:r>
      <w:r w:rsidRPr="0063635C">
        <w:t xml:space="preserve"> 19,8 % au secteur des communications, 12,3 % au secteur de l’énergie et 9,7 % aux interventions dans le domaine social, tandis que les opérations dans le </w:t>
      </w:r>
      <w:r w:rsidRPr="00332859">
        <w:rPr>
          <w:rFonts w:eastAsiaTheme="majorEastAsia"/>
        </w:rPr>
        <w:t>secteur agricole</w:t>
      </w:r>
      <w:r>
        <w:t xml:space="preserve"> ont représenté 8,1 % du montant total.</w:t>
      </w:r>
    </w:p>
    <w:p w14:paraId="40CB2403" w14:textId="40D198B6" w:rsidR="00AF4823" w:rsidRPr="003F4F07" w:rsidRDefault="00AF4823" w:rsidP="00AF4823">
      <w:r>
        <w:t xml:space="preserve">La majorité des projets actuellement cofinancés par la BAD/FAD en République du Congo sont des projets d’appui au climat des affaires et finances publics et d’infrastructures (transport, énergie, eaux et assainissement). En lien direct avec les activités de la stratégie REDD+, le FAD finance le projet d’appui au climat d’investissement et à la gouvernance forestière (PACIGOF) dont le démarrage est prévu en juin 2016. D’un montant total estimé à 38 millions d’USD (50% FAD, 50% gouvernement), le projet vise le renforcement </w:t>
      </w:r>
      <w:r w:rsidRPr="0063635C">
        <w:rPr>
          <w:iCs/>
        </w:rPr>
        <w:t>des capacités des institutions d’appui au secteur privé, encouragera les initiatives privées, et améliorera la gouvernance du secteur forestier et de la filière bois dans le pays</w:t>
      </w:r>
      <w:r>
        <w:rPr>
          <w:rStyle w:val="FootnoteReference"/>
          <w:i/>
          <w:iCs/>
        </w:rPr>
        <w:footnoteReference w:id="14"/>
      </w:r>
      <w:r>
        <w:rPr>
          <w:i/>
          <w:iCs/>
        </w:rPr>
        <w:t>.</w:t>
      </w:r>
      <w:r w:rsidRPr="003F4F07">
        <w:rPr>
          <w:iCs/>
        </w:rPr>
        <w:t xml:space="preserve"> </w:t>
      </w:r>
      <w:r>
        <w:rPr>
          <w:iCs/>
        </w:rPr>
        <w:t xml:space="preserve">En lien direct avec les activités </w:t>
      </w:r>
      <w:r w:rsidR="0005273F">
        <w:rPr>
          <w:iCs/>
        </w:rPr>
        <w:t>d</w:t>
      </w:r>
      <w:r>
        <w:rPr>
          <w:iCs/>
        </w:rPr>
        <w:t xml:space="preserve">e la stratégie REDD+, le projet vise notamment de renforcer les capacités du MEFDDE (techniques et matérielles), de l’API, d’appuyer la mise en place d’un système de certification forestière nationale (PAFC Congo) et de la stratégie nationale d’industrialisation (BAD, 2015).  </w:t>
      </w:r>
    </w:p>
    <w:p w14:paraId="4C315B16" w14:textId="2CAFD7A2" w:rsidR="00AF4823" w:rsidRPr="00DF187B" w:rsidRDefault="00AF4823" w:rsidP="00AF4823">
      <w:pPr>
        <w:rPr>
          <w:i/>
          <w:color w:val="DD8047" w:themeColor="accent2"/>
        </w:rPr>
      </w:pPr>
      <w:r>
        <w:rPr>
          <w:i/>
          <w:color w:val="DD8047" w:themeColor="accent2"/>
        </w:rPr>
        <w:t>Les fonds et initiatives administrés par la BAD</w:t>
      </w:r>
    </w:p>
    <w:p w14:paraId="2BE5448F" w14:textId="77777777" w:rsidR="00AF4823" w:rsidRDefault="00AF4823" w:rsidP="008B0EB3">
      <w:pPr>
        <w:pStyle w:val="ListParagraph"/>
        <w:numPr>
          <w:ilvl w:val="0"/>
          <w:numId w:val="20"/>
        </w:numPr>
        <w:tabs>
          <w:tab w:val="left" w:pos="1134"/>
        </w:tabs>
        <w:ind w:left="851" w:hanging="284"/>
        <w:rPr>
          <w:color w:val="548AB7" w:themeColor="accent1" w:themeShade="BF"/>
        </w:rPr>
      </w:pPr>
      <w:r>
        <w:rPr>
          <w:color w:val="548AB7" w:themeColor="accent1" w:themeShade="BF"/>
        </w:rPr>
        <w:t xml:space="preserve">Le Fonds pour les Changements Climatiques en Afrique (FCCA) </w:t>
      </w:r>
    </w:p>
    <w:p w14:paraId="1583DCC6" w14:textId="77777777" w:rsidR="00AF4823" w:rsidRPr="0012243C" w:rsidRDefault="00AF4823" w:rsidP="00AF4823">
      <w:pPr>
        <w:tabs>
          <w:tab w:val="left" w:pos="1134"/>
        </w:tabs>
      </w:pPr>
      <w:r w:rsidRPr="0012243C">
        <w:t xml:space="preserve">Créé en avril 2014, le FFCA est un programme administré par la BAD qui vise à appuyer le financement (sous forme de dons) de projets, programmes et activités de préparation aux changements climatiques (adaptation et atténuation). Au 31 décembre 2014, le Fonds avait reçu des contributions à hauteur de 6,2 millions </w:t>
      </w:r>
      <w:r>
        <w:t>d’USD</w:t>
      </w:r>
      <w:r w:rsidRPr="0012243C">
        <w:t xml:space="preserve"> (FCCA, 2014).</w:t>
      </w:r>
    </w:p>
    <w:p w14:paraId="7EB95298" w14:textId="77777777" w:rsidR="00AF4823" w:rsidRPr="00AE17B3" w:rsidRDefault="00AF4823" w:rsidP="00AF4823">
      <w:pPr>
        <w:tabs>
          <w:tab w:val="left" w:pos="1134"/>
        </w:tabs>
      </w:pPr>
      <w:r w:rsidRPr="0012243C">
        <w:t xml:space="preserve">En juillet 2014, la BAD a lancé un appel à projets pour lesquels les montants minimums octroyés sont de 250 000 dollars par projets. Dans ce cadre, 20 projets ont été retenus dont un en République du Congo (FCCA, 2014). </w:t>
      </w:r>
    </w:p>
    <w:p w14:paraId="26A29A0A" w14:textId="77777777" w:rsidR="00AF4823" w:rsidRDefault="00AF4823" w:rsidP="00AF4823">
      <w:pPr>
        <w:pStyle w:val="Heading5"/>
      </w:pPr>
      <w:r w:rsidRPr="00C178BB">
        <w:lastRenderedPageBreak/>
        <w:t>La Banque de Développement des Etats de l’Afrique Centrale (BDEAC)</w:t>
      </w:r>
      <w:r>
        <w:rPr>
          <w:rStyle w:val="FootnoteReference"/>
        </w:rPr>
        <w:footnoteReference w:id="15"/>
      </w:r>
    </w:p>
    <w:p w14:paraId="46FC3F2F" w14:textId="77777777" w:rsidR="00AF4823" w:rsidRPr="00CD4C67" w:rsidRDefault="00AF4823" w:rsidP="00AF4823">
      <w:pPr>
        <w:rPr>
          <w:rFonts w:cs="Arial"/>
          <w:szCs w:val="22"/>
        </w:rPr>
      </w:pPr>
      <w:r w:rsidRPr="00CD4C67">
        <w:rPr>
          <w:rFonts w:cs="Arial"/>
          <w:szCs w:val="22"/>
        </w:rPr>
        <w:t xml:space="preserve">La </w:t>
      </w:r>
      <w:r>
        <w:rPr>
          <w:rFonts w:cs="Arial"/>
          <w:szCs w:val="22"/>
        </w:rPr>
        <w:t>BDEAC est l'institution de f</w:t>
      </w:r>
      <w:r w:rsidRPr="00CD4C67">
        <w:rPr>
          <w:rFonts w:cs="Arial"/>
          <w:szCs w:val="22"/>
        </w:rPr>
        <w:t xml:space="preserve">inancement du développement de la </w:t>
      </w:r>
      <w:r>
        <w:rPr>
          <w:rFonts w:cs="Arial"/>
          <w:szCs w:val="22"/>
        </w:rPr>
        <w:t>CEMAC dont les Etats membres sont le</w:t>
      </w:r>
      <w:r w:rsidRPr="00CD4C67">
        <w:rPr>
          <w:rFonts w:cs="Arial"/>
          <w:szCs w:val="22"/>
        </w:rPr>
        <w:t xml:space="preserve"> Cameroun, la Centrafrique, le Congo, le Gabon, la Guinée Equatoriale et le Tchad.</w:t>
      </w:r>
    </w:p>
    <w:p w14:paraId="5610C7D6" w14:textId="77777777" w:rsidR="00AF4823" w:rsidRDefault="00AF4823" w:rsidP="00AF4823">
      <w:pPr>
        <w:spacing w:after="0"/>
        <w:rPr>
          <w:rFonts w:cs="Arial"/>
          <w:szCs w:val="22"/>
        </w:rPr>
      </w:pPr>
      <w:r w:rsidRPr="00036ADD">
        <w:rPr>
          <w:rFonts w:cs="Arial"/>
          <w:szCs w:val="22"/>
        </w:rPr>
        <w:t>La BDEAC intervient dans le financement d’investissements relevant des secteurs public et privé et concernant:</w:t>
      </w:r>
    </w:p>
    <w:p w14:paraId="5CCF4DCF" w14:textId="77777777" w:rsidR="00AF4823" w:rsidRDefault="00AF4823" w:rsidP="008B0EB3">
      <w:pPr>
        <w:pStyle w:val="ListParagraph"/>
        <w:numPr>
          <w:ilvl w:val="0"/>
          <w:numId w:val="33"/>
        </w:numPr>
        <w:rPr>
          <w:rFonts w:cs="Arial"/>
          <w:szCs w:val="22"/>
        </w:rPr>
      </w:pPr>
      <w:r>
        <w:rPr>
          <w:rFonts w:cs="Arial"/>
          <w:szCs w:val="22"/>
        </w:rPr>
        <w:t xml:space="preserve">Les </w:t>
      </w:r>
      <w:r w:rsidRPr="00036ADD">
        <w:rPr>
          <w:rFonts w:cs="Arial"/>
          <w:szCs w:val="22"/>
        </w:rPr>
        <w:t>infrastructures (énergie, télécommunications, ports, aéroports, chemins de fer, routes</w:t>
      </w:r>
      <w:r>
        <w:rPr>
          <w:rFonts w:cs="Arial"/>
          <w:szCs w:val="22"/>
        </w:rPr>
        <w:t>, matériels de transport, etc.) ;</w:t>
      </w:r>
    </w:p>
    <w:p w14:paraId="17E8DBB6" w14:textId="77777777" w:rsidR="00AF4823" w:rsidRDefault="00AF4823" w:rsidP="008B0EB3">
      <w:pPr>
        <w:pStyle w:val="ListParagraph"/>
        <w:numPr>
          <w:ilvl w:val="0"/>
          <w:numId w:val="33"/>
        </w:numPr>
        <w:rPr>
          <w:rFonts w:cs="Arial"/>
          <w:szCs w:val="22"/>
        </w:rPr>
      </w:pPr>
      <w:r>
        <w:rPr>
          <w:rFonts w:cs="Arial"/>
          <w:szCs w:val="22"/>
        </w:rPr>
        <w:t xml:space="preserve">Les </w:t>
      </w:r>
      <w:r w:rsidRPr="00036ADD">
        <w:rPr>
          <w:rFonts w:cs="Arial"/>
          <w:szCs w:val="22"/>
        </w:rPr>
        <w:t>industries et agro-industries</w:t>
      </w:r>
      <w:r>
        <w:rPr>
          <w:rFonts w:cs="Arial"/>
          <w:szCs w:val="22"/>
        </w:rPr>
        <w:t xml:space="preserve"> </w:t>
      </w:r>
      <w:r w:rsidRPr="00036ADD">
        <w:rPr>
          <w:rFonts w:cs="Arial"/>
          <w:szCs w:val="22"/>
        </w:rPr>
        <w:t>;</w:t>
      </w:r>
    </w:p>
    <w:p w14:paraId="5B41A2F7" w14:textId="77777777" w:rsidR="00AF4823" w:rsidRDefault="00AF4823" w:rsidP="008B0EB3">
      <w:pPr>
        <w:pStyle w:val="ListParagraph"/>
        <w:numPr>
          <w:ilvl w:val="0"/>
          <w:numId w:val="33"/>
        </w:numPr>
        <w:rPr>
          <w:rFonts w:cs="Arial"/>
          <w:szCs w:val="22"/>
        </w:rPr>
      </w:pPr>
      <w:r>
        <w:rPr>
          <w:rFonts w:cs="Arial"/>
          <w:szCs w:val="22"/>
        </w:rPr>
        <w:t>La</w:t>
      </w:r>
      <w:r w:rsidRPr="00036ADD">
        <w:rPr>
          <w:rFonts w:cs="Arial"/>
          <w:szCs w:val="22"/>
        </w:rPr>
        <w:t xml:space="preserve"> </w:t>
      </w:r>
      <w:r>
        <w:rPr>
          <w:rFonts w:cs="Arial"/>
          <w:szCs w:val="22"/>
        </w:rPr>
        <w:t>microfinance;</w:t>
      </w:r>
    </w:p>
    <w:p w14:paraId="0015D35F" w14:textId="77777777" w:rsidR="00AF4823" w:rsidRPr="00036ADD" w:rsidRDefault="00AF4823" w:rsidP="008B0EB3">
      <w:pPr>
        <w:pStyle w:val="ListParagraph"/>
        <w:numPr>
          <w:ilvl w:val="0"/>
          <w:numId w:val="33"/>
        </w:numPr>
        <w:rPr>
          <w:rFonts w:cs="Arial"/>
          <w:szCs w:val="22"/>
        </w:rPr>
      </w:pPr>
      <w:r>
        <w:rPr>
          <w:rFonts w:cs="Arial"/>
          <w:szCs w:val="22"/>
        </w:rPr>
        <w:t xml:space="preserve">Les </w:t>
      </w:r>
      <w:r w:rsidRPr="00036ADD">
        <w:rPr>
          <w:rFonts w:cs="Arial"/>
          <w:szCs w:val="22"/>
        </w:rPr>
        <w:t>programmes immobiliers, hôtellerie, technologies de l'information.</w:t>
      </w:r>
    </w:p>
    <w:p w14:paraId="605A9DBB" w14:textId="37AE51B9" w:rsidR="00AF4823" w:rsidRPr="00CD4C67" w:rsidRDefault="00AF4823" w:rsidP="00AF4823">
      <w:pPr>
        <w:rPr>
          <w:szCs w:val="22"/>
        </w:rPr>
      </w:pPr>
      <w:r w:rsidRPr="00CD4C67">
        <w:rPr>
          <w:szCs w:val="22"/>
        </w:rPr>
        <w:t>En 2013, la Banque a consenti sous forme de prêts directs un montant de 155 600 millions</w:t>
      </w:r>
      <w:r w:rsidR="009B2454" w:rsidRPr="009B2454">
        <w:rPr>
          <w:szCs w:val="22"/>
        </w:rPr>
        <w:t xml:space="preserve"> </w:t>
      </w:r>
      <w:r w:rsidR="009B2454" w:rsidRPr="00CD4C67">
        <w:rPr>
          <w:szCs w:val="22"/>
        </w:rPr>
        <w:t>FCFA</w:t>
      </w:r>
      <w:r w:rsidRPr="00CD4C67">
        <w:rPr>
          <w:szCs w:val="22"/>
        </w:rPr>
        <w:t>, représentant 94,0 % du volume total des engagements. Ces financements directs sont allés majoritairement (50,8 %) au</w:t>
      </w:r>
      <w:r>
        <w:rPr>
          <w:szCs w:val="22"/>
        </w:rPr>
        <w:t>x</w:t>
      </w:r>
      <w:r w:rsidRPr="00CD4C67">
        <w:rPr>
          <w:szCs w:val="22"/>
        </w:rPr>
        <w:t xml:space="preserve"> infrastructures (routes et assainissement urbain), aux télécommunications (24,1 %), à la diversification de la production industrielle et agroindustrielle (19,7 %) ainsi qu’aux secteurs </w:t>
      </w:r>
      <w:r>
        <w:rPr>
          <w:szCs w:val="22"/>
        </w:rPr>
        <w:t>de l’</w:t>
      </w:r>
      <w:r w:rsidRPr="00CD4C67">
        <w:rPr>
          <w:szCs w:val="22"/>
        </w:rPr>
        <w:t>immobilier et des services (5,5 %).</w:t>
      </w:r>
    </w:p>
    <w:p w14:paraId="0F61EDF3" w14:textId="77777777" w:rsidR="00AF4823" w:rsidRDefault="00AF4823" w:rsidP="00670836">
      <w:pPr>
        <w:spacing w:after="0"/>
        <w:rPr>
          <w:szCs w:val="22"/>
        </w:rPr>
      </w:pPr>
      <w:r w:rsidRPr="00CD4C67">
        <w:rPr>
          <w:szCs w:val="22"/>
        </w:rPr>
        <w:t>La répartition des concours entre les instruments mis en œuvre:</w:t>
      </w:r>
    </w:p>
    <w:p w14:paraId="3AF22A51" w14:textId="77777777" w:rsidR="00AF4823" w:rsidRPr="00036ADD" w:rsidRDefault="00AF4823" w:rsidP="008B0EB3">
      <w:pPr>
        <w:pStyle w:val="ListParagraph"/>
        <w:numPr>
          <w:ilvl w:val="0"/>
          <w:numId w:val="34"/>
        </w:numPr>
        <w:spacing w:after="0"/>
        <w:ind w:left="714" w:hanging="357"/>
        <w:rPr>
          <w:szCs w:val="22"/>
        </w:rPr>
      </w:pPr>
      <w:r w:rsidRPr="00036ADD">
        <w:rPr>
          <w:szCs w:val="22"/>
        </w:rPr>
        <w:t>620 039 millions de FCFA sous forme de prêts et lignes de crédits affectés à 82 projets ou programmes, dont 605 646 millions au titre des prêts directs en faveur de 71 opérations, et 17 542 millions destinés aux refinancements de 3 banques commerciales, d’une société de leasing, de 5 établissements de micro finance et d’un groupement de femmes ;</w:t>
      </w:r>
    </w:p>
    <w:p w14:paraId="774E3140" w14:textId="77777777" w:rsidR="00AF4823" w:rsidRPr="00CD4C67" w:rsidRDefault="00AF4823" w:rsidP="008B0EB3">
      <w:pPr>
        <w:numPr>
          <w:ilvl w:val="0"/>
          <w:numId w:val="34"/>
        </w:numPr>
        <w:spacing w:before="100" w:beforeAutospacing="1" w:after="100" w:afterAutospacing="1"/>
        <w:rPr>
          <w:szCs w:val="22"/>
        </w:rPr>
      </w:pPr>
      <w:r w:rsidRPr="00CD4C67">
        <w:rPr>
          <w:szCs w:val="22"/>
        </w:rPr>
        <w:t>7 783 millions</w:t>
      </w:r>
      <w:r>
        <w:rPr>
          <w:szCs w:val="22"/>
        </w:rPr>
        <w:t xml:space="preserve"> de FCFA</w:t>
      </w:r>
      <w:r w:rsidRPr="00CD4C67">
        <w:rPr>
          <w:szCs w:val="22"/>
        </w:rPr>
        <w:t xml:space="preserve"> au titre d’avances pour 11 études relatives à la réalisation d’opérations d’intégration régionale dont trois études correspondent à des subventions à l’Etat Centrafricain (FCFA 3 412 millions) adossées sur l’Aide Budgétaire Globale (ABG) française, au profit des services sociaux de base ;</w:t>
      </w:r>
    </w:p>
    <w:p w14:paraId="0DC45D90" w14:textId="77777777" w:rsidR="00AF4823" w:rsidRPr="00CD4C67" w:rsidRDefault="00AF4823" w:rsidP="008B0EB3">
      <w:pPr>
        <w:numPr>
          <w:ilvl w:val="0"/>
          <w:numId w:val="34"/>
        </w:numPr>
        <w:spacing w:before="100" w:beforeAutospacing="1" w:after="100" w:afterAutospacing="1"/>
        <w:rPr>
          <w:szCs w:val="22"/>
        </w:rPr>
      </w:pPr>
      <w:r w:rsidRPr="00CD4C67">
        <w:rPr>
          <w:szCs w:val="22"/>
        </w:rPr>
        <w:t xml:space="preserve">3 000 millions </w:t>
      </w:r>
      <w:r>
        <w:rPr>
          <w:szCs w:val="22"/>
        </w:rPr>
        <w:t xml:space="preserve">de </w:t>
      </w:r>
      <w:r w:rsidRPr="00CD4C67">
        <w:rPr>
          <w:szCs w:val="22"/>
        </w:rPr>
        <w:t>FCFA sous forme de contributions non remboursables supportés par une ressource spéciale en faveur d’un projet ;</w:t>
      </w:r>
    </w:p>
    <w:p w14:paraId="414613C9" w14:textId="77777777" w:rsidR="00AF4823" w:rsidRPr="00CD4C67" w:rsidRDefault="00AF4823" w:rsidP="008B0EB3">
      <w:pPr>
        <w:numPr>
          <w:ilvl w:val="0"/>
          <w:numId w:val="34"/>
        </w:numPr>
        <w:spacing w:before="100" w:beforeAutospacing="1" w:after="100" w:afterAutospacing="1"/>
        <w:rPr>
          <w:szCs w:val="22"/>
        </w:rPr>
      </w:pPr>
      <w:r w:rsidRPr="00CD4C67">
        <w:rPr>
          <w:szCs w:val="22"/>
        </w:rPr>
        <w:t>700 millions</w:t>
      </w:r>
      <w:r>
        <w:rPr>
          <w:szCs w:val="22"/>
        </w:rPr>
        <w:t xml:space="preserve"> de FCFA</w:t>
      </w:r>
      <w:r w:rsidRPr="00CD4C67">
        <w:rPr>
          <w:szCs w:val="22"/>
        </w:rPr>
        <w:t xml:space="preserve"> au titre de 3 opérations de prise de participation au capital de 2 sociétés régionales et de la Banque Congolaise de l’Habitat (BCH) ;</w:t>
      </w:r>
    </w:p>
    <w:p w14:paraId="3871E1E2" w14:textId="77777777" w:rsidR="00AF4823" w:rsidRPr="002F0322" w:rsidRDefault="00AF4823" w:rsidP="008B0EB3">
      <w:pPr>
        <w:numPr>
          <w:ilvl w:val="0"/>
          <w:numId w:val="34"/>
        </w:numPr>
        <w:spacing w:before="100" w:beforeAutospacing="1" w:after="100" w:afterAutospacing="1"/>
        <w:rPr>
          <w:szCs w:val="22"/>
        </w:rPr>
      </w:pPr>
      <w:r w:rsidRPr="00CD4C67">
        <w:rPr>
          <w:szCs w:val="22"/>
        </w:rPr>
        <w:t>15</w:t>
      </w:r>
      <w:r>
        <w:rPr>
          <w:szCs w:val="22"/>
        </w:rPr>
        <w:t xml:space="preserve"> </w:t>
      </w:r>
      <w:r w:rsidRPr="00CD4C67">
        <w:rPr>
          <w:szCs w:val="22"/>
        </w:rPr>
        <w:t xml:space="preserve">000 millions </w:t>
      </w:r>
      <w:r>
        <w:rPr>
          <w:szCs w:val="22"/>
        </w:rPr>
        <w:t xml:space="preserve">de </w:t>
      </w:r>
      <w:r w:rsidRPr="00CD4C67">
        <w:rPr>
          <w:szCs w:val="22"/>
        </w:rPr>
        <w:t>FCFA pour deux lettres de garantie aux banques, dont un établissement de micro finance.</w:t>
      </w:r>
    </w:p>
    <w:p w14:paraId="03F3691B" w14:textId="77777777" w:rsidR="00AF4823" w:rsidRPr="00CD4C67" w:rsidRDefault="00AF4823" w:rsidP="00AF4823">
      <w:pPr>
        <w:rPr>
          <w:rFonts w:cs="Arial"/>
          <w:szCs w:val="22"/>
        </w:rPr>
      </w:pPr>
      <w:r>
        <w:rPr>
          <w:szCs w:val="22"/>
        </w:rPr>
        <w:t>En 2014, l</w:t>
      </w:r>
      <w:r w:rsidRPr="00CD4C67">
        <w:rPr>
          <w:szCs w:val="22"/>
        </w:rPr>
        <w:t>a Banque des États de l’Afrique Centrale (BEAC) a exprimé son souhait de développer un guichet concessionnel au niveau de la BDEAC et une étude de faisabilité a été financée à cet effet par la Banque mondiale (</w:t>
      </w:r>
      <w:r>
        <w:rPr>
          <w:szCs w:val="22"/>
        </w:rPr>
        <w:t>AID</w:t>
      </w:r>
      <w:r w:rsidRPr="00CD4C67">
        <w:rPr>
          <w:szCs w:val="22"/>
        </w:rPr>
        <w:t>)</w:t>
      </w:r>
      <w:r>
        <w:rPr>
          <w:rStyle w:val="FootnoteReference"/>
          <w:szCs w:val="22"/>
        </w:rPr>
        <w:footnoteReference w:id="16"/>
      </w:r>
      <w:r>
        <w:rPr>
          <w:szCs w:val="22"/>
        </w:rPr>
        <w:t>.</w:t>
      </w:r>
    </w:p>
    <w:p w14:paraId="2C13E7A8" w14:textId="77777777" w:rsidR="00AF4823" w:rsidRPr="00D06CE2" w:rsidRDefault="00AF4823" w:rsidP="00AF4823">
      <w:pPr>
        <w:rPr>
          <w:rFonts w:cs="Arial"/>
          <w:szCs w:val="22"/>
        </w:rPr>
      </w:pPr>
      <w:r w:rsidRPr="00CD4C67">
        <w:rPr>
          <w:rFonts w:cs="Arial"/>
          <w:szCs w:val="22"/>
        </w:rPr>
        <w:t xml:space="preserve">La BDEAC intervient aussi aux travers de « programmes spéciaux » comme le projet FINFORTROP de l’AFD en tant que maître d’ouvrage (cf. Encadré 2). </w:t>
      </w:r>
    </w:p>
    <w:p w14:paraId="12AAF060" w14:textId="3FF345DD" w:rsidR="00AF4823" w:rsidRDefault="00AF4823" w:rsidP="00AF4823">
      <w:pPr>
        <w:rPr>
          <w:i/>
          <w:color w:val="DD8047" w:themeColor="accent2"/>
        </w:rPr>
      </w:pPr>
      <w:r>
        <w:rPr>
          <w:i/>
          <w:color w:val="DD8047" w:themeColor="accent2"/>
        </w:rPr>
        <w:t>Les fonds et initiatives</w:t>
      </w:r>
      <w:r w:rsidR="006959B6">
        <w:rPr>
          <w:i/>
          <w:color w:val="DD8047" w:themeColor="accent2"/>
        </w:rPr>
        <w:t xml:space="preserve"> administrés par la BDEAC</w:t>
      </w:r>
    </w:p>
    <w:p w14:paraId="42D44C45" w14:textId="77777777" w:rsidR="00AF4823" w:rsidRDefault="00AF4823" w:rsidP="008B0EB3">
      <w:pPr>
        <w:pStyle w:val="ListParagraph"/>
        <w:numPr>
          <w:ilvl w:val="0"/>
          <w:numId w:val="22"/>
        </w:numPr>
        <w:tabs>
          <w:tab w:val="left" w:pos="1134"/>
        </w:tabs>
        <w:ind w:left="851" w:hanging="284"/>
        <w:rPr>
          <w:color w:val="548AB7" w:themeColor="accent1" w:themeShade="BF"/>
        </w:rPr>
      </w:pPr>
      <w:bookmarkStart w:id="21" w:name="OLE_LINK13"/>
      <w:bookmarkStart w:id="22" w:name="OLE_LINK14"/>
      <w:r w:rsidRPr="005E7151">
        <w:rPr>
          <w:color w:val="548AB7" w:themeColor="accent1" w:themeShade="BF"/>
        </w:rPr>
        <w:t xml:space="preserve">Fonds pour l’Economie Verte en Afrique Centrale </w:t>
      </w:r>
      <w:bookmarkEnd w:id="21"/>
      <w:bookmarkEnd w:id="22"/>
      <w:r w:rsidRPr="005E7151">
        <w:rPr>
          <w:color w:val="548AB7" w:themeColor="accent1" w:themeShade="BF"/>
        </w:rPr>
        <w:t>(FEVAC)</w:t>
      </w:r>
    </w:p>
    <w:p w14:paraId="657ED226" w14:textId="77777777" w:rsidR="00AF4823" w:rsidRDefault="00AF4823" w:rsidP="00AF4823">
      <w:pPr>
        <w:spacing w:after="0" w:line="264" w:lineRule="auto"/>
      </w:pPr>
      <w:r>
        <w:t>Le FEVAC, initié par le secrétariat général de la Communauté Economique des Etats de l’Afrique Centrale (CEEAC) et la BDEAC, a pour objectifs :</w:t>
      </w:r>
    </w:p>
    <w:p w14:paraId="4D50E8E6" w14:textId="77777777" w:rsidR="00AF4823" w:rsidRDefault="00AF4823" w:rsidP="008B0EB3">
      <w:pPr>
        <w:pStyle w:val="ListParagraph"/>
        <w:numPr>
          <w:ilvl w:val="0"/>
          <w:numId w:val="34"/>
        </w:numPr>
        <w:spacing w:after="180" w:line="264" w:lineRule="auto"/>
      </w:pPr>
      <w:r>
        <w:t xml:space="preserve">sur le plan politique, de permettre la diversification des économies des pays de l’Afrique Centrale, hors secteur pétrolier, avec des activités devant assurer la transition de ces économies vers une économie verte intégrée dans la chaîne de valeur mondiale et, </w:t>
      </w:r>
    </w:p>
    <w:p w14:paraId="3403AB61" w14:textId="77777777" w:rsidR="00AF4823" w:rsidRDefault="00AF4823" w:rsidP="008B0EB3">
      <w:pPr>
        <w:pStyle w:val="ListParagraph"/>
        <w:numPr>
          <w:ilvl w:val="0"/>
          <w:numId w:val="34"/>
        </w:numPr>
        <w:spacing w:after="180" w:line="264" w:lineRule="auto"/>
      </w:pPr>
      <w:r>
        <w:t xml:space="preserve">sur le plan socio-économique, de financer le développement des petites entreprises déjà impliquées dans les différents secteurs de l’économie verte à forte valeur sociale, tels que la valorisation des déchets et des produits forestiers non ligneux. </w:t>
      </w:r>
    </w:p>
    <w:p w14:paraId="51EA5F3E" w14:textId="70F02A01" w:rsidR="00FD1E40" w:rsidRPr="00AF4823" w:rsidRDefault="00AF4823" w:rsidP="00AF4823">
      <w:pPr>
        <w:spacing w:after="180" w:line="264" w:lineRule="auto"/>
      </w:pPr>
      <w:r>
        <w:t xml:space="preserve">Le Fonds n’a aujourd’hui pas encore été lancé. </w:t>
      </w:r>
    </w:p>
    <w:p w14:paraId="366ED87C" w14:textId="6AB46718" w:rsidR="005834C5" w:rsidRPr="005834C5" w:rsidRDefault="005834C5" w:rsidP="00DF187B">
      <w:pPr>
        <w:pStyle w:val="Heading5"/>
      </w:pPr>
      <w:r>
        <w:lastRenderedPageBreak/>
        <w:t>Le Fonds International de Développement A</w:t>
      </w:r>
      <w:r w:rsidRPr="005834C5">
        <w:t xml:space="preserve">gricole </w:t>
      </w:r>
      <w:r w:rsidR="006614C8">
        <w:t>(FIDA)</w:t>
      </w:r>
      <w:r w:rsidR="00856272" w:rsidRPr="005834C5">
        <w:rPr>
          <w:rStyle w:val="FootnoteReference"/>
        </w:rPr>
        <w:footnoteReference w:id="17"/>
      </w:r>
    </w:p>
    <w:p w14:paraId="7AE29581" w14:textId="167ECCE7" w:rsidR="005834C5" w:rsidRPr="005834C5" w:rsidRDefault="005834C5" w:rsidP="005834C5">
      <w:r w:rsidRPr="005834C5">
        <w:t xml:space="preserve">Le </w:t>
      </w:r>
      <w:r w:rsidR="00856272">
        <w:t>FIDA</w:t>
      </w:r>
      <w:r w:rsidRPr="005834C5">
        <w:t>, organisme spécialisé des Nations Unies, est une IFD créée en 1977 a</w:t>
      </w:r>
      <w:r w:rsidR="00856272">
        <w:t>vec</w:t>
      </w:r>
      <w:r w:rsidRPr="005834C5">
        <w:t xml:space="preserve"> pour but d’aider les populations rurales pauvres des </w:t>
      </w:r>
      <w:r w:rsidR="00856272">
        <w:t>PED</w:t>
      </w:r>
      <w:r w:rsidRPr="005834C5">
        <w:t xml:space="preserve"> à améliorer leur sécurité alimentaire et nutritionnelle, à accroître leurs revenus et à renforcer leur résilience.</w:t>
      </w:r>
      <w:r w:rsidR="00856272">
        <w:t xml:space="preserve"> Dans cet objectif, le FIDA </w:t>
      </w:r>
      <w:r w:rsidRPr="005834C5">
        <w:t xml:space="preserve">accorde des prêts à faible taux d’intérêt et des dons aux </w:t>
      </w:r>
      <w:r w:rsidR="00856272">
        <w:t>PED</w:t>
      </w:r>
      <w:r w:rsidRPr="005834C5">
        <w:t xml:space="preserve"> afin de financer des programmes et projets novateurs de développement agricole et rural</w:t>
      </w:r>
      <w:r w:rsidRPr="007F1584">
        <w:rPr>
          <w:rStyle w:val="FootnoteReference"/>
        </w:rPr>
        <w:footnoteReference w:id="18"/>
      </w:r>
      <w:r w:rsidRPr="005834C5">
        <w:t xml:space="preserve">. </w:t>
      </w:r>
    </w:p>
    <w:p w14:paraId="33064878" w14:textId="38D3126F" w:rsidR="005834C5" w:rsidRPr="005834C5" w:rsidRDefault="005834C5" w:rsidP="005834C5">
      <w:r w:rsidRPr="005834C5">
        <w:t>Le FIDA est l’une des principales institutions multilatérales qui œuvrent pour l’agriculture en Afrique. Le Fonds compte au total 176 pays membres: des États membres de l’</w:t>
      </w:r>
      <w:r w:rsidR="00856272" w:rsidRPr="00856272">
        <w:rPr>
          <w:rStyle w:val="Emphasis"/>
          <w:i w:val="0"/>
        </w:rPr>
        <w:t>Organisation</w:t>
      </w:r>
      <w:r w:rsidR="00856272" w:rsidRPr="00856272">
        <w:rPr>
          <w:rStyle w:val="st"/>
          <w:rFonts w:eastAsiaTheme="majorEastAsia"/>
          <w:i/>
        </w:rPr>
        <w:t xml:space="preserve"> </w:t>
      </w:r>
      <w:r w:rsidR="00856272">
        <w:rPr>
          <w:rStyle w:val="st"/>
          <w:rFonts w:eastAsiaTheme="majorEastAsia"/>
        </w:rPr>
        <w:t>des pays exportateurs de pétrole</w:t>
      </w:r>
      <w:r w:rsidR="00856272" w:rsidRPr="005834C5">
        <w:t xml:space="preserve"> </w:t>
      </w:r>
      <w:r w:rsidR="00856272">
        <w:t>(</w:t>
      </w:r>
      <w:r w:rsidRPr="005834C5">
        <w:t>OPEP</w:t>
      </w:r>
      <w:r w:rsidR="00856272">
        <w:t>)</w:t>
      </w:r>
      <w:r w:rsidRPr="005834C5">
        <w:t xml:space="preserve"> et de l’OCDE, des pays en développement et des pays à revenu intermédiaire (FIDA, 2016).</w:t>
      </w:r>
    </w:p>
    <w:p w14:paraId="74C5F454" w14:textId="07CC105F" w:rsidR="005834C5" w:rsidRPr="005834C5" w:rsidRDefault="005834C5" w:rsidP="005834C5">
      <w:r w:rsidRPr="005834C5">
        <w:t>Les principaux appuis apportés concernent l’amélioration des pratiques agricoles, la prise en compte des facteurs climatiques et environnement</w:t>
      </w:r>
      <w:r w:rsidR="00856272">
        <w:t>aux</w:t>
      </w:r>
      <w:r w:rsidRPr="005834C5">
        <w:t xml:space="preserve"> </w:t>
      </w:r>
      <w:r w:rsidR="00856272">
        <w:t>(</w:t>
      </w:r>
      <w:r w:rsidRPr="005834C5">
        <w:t>notamment pour l’adaptation aux changements climatiques</w:t>
      </w:r>
      <w:r w:rsidR="00856272">
        <w:t>)</w:t>
      </w:r>
      <w:r w:rsidRPr="005834C5">
        <w:t>, le développement de la finance rurale, la meilleure intégration des femmes et des minorités et le renforcement institutionnel.</w:t>
      </w:r>
    </w:p>
    <w:p w14:paraId="1F14E45B" w14:textId="05E8B14E" w:rsidR="005834C5" w:rsidRDefault="005834C5" w:rsidP="005834C5">
      <w:r w:rsidRPr="005834C5">
        <w:t xml:space="preserve">Le FIDA a appuyé 1 013 programmes et projets, en partenariat avec 123 gouvernements bénéficiaires et mobilisé environ 25,3 milliards </w:t>
      </w:r>
      <w:r w:rsidR="00B0444B">
        <w:t>d’USD</w:t>
      </w:r>
      <w:r w:rsidRPr="005834C5">
        <w:t xml:space="preserve"> pour des opérations en </w:t>
      </w:r>
      <w:r w:rsidR="00B0444B">
        <w:t>faveur du développement rural en</w:t>
      </w:r>
      <w:r w:rsidRPr="005834C5">
        <w:t xml:space="preserve"> apporté une contribution sup</w:t>
      </w:r>
      <w:r w:rsidR="00B0444B">
        <w:t xml:space="preserve">plémentaire de 17,6 milliards d’USD </w:t>
      </w:r>
      <w:r w:rsidRPr="005834C5">
        <w:t>(FIDA, 2016).</w:t>
      </w:r>
    </w:p>
    <w:p w14:paraId="26A55A3B" w14:textId="0C960A35" w:rsidR="005834C5" w:rsidRPr="005834C5" w:rsidRDefault="005834C5" w:rsidP="005834C5">
      <w:r w:rsidRPr="005834C5">
        <w:t>Depuis 1983, le FIDA a cofinancé 8 projets en République du Congo dont 6 sont terminés (dont les 3 PRODER) et 2 sont toujours en cours. Le coût total des proje</w:t>
      </w:r>
      <w:r w:rsidR="00B0444B">
        <w:t>ts est estimé à 116,5 millions d’USD</w:t>
      </w:r>
      <w:r w:rsidRPr="005834C5">
        <w:t xml:space="preserve"> pour une participation du FIDA sous forme de prêt de 63,7 millions </w:t>
      </w:r>
      <w:r w:rsidR="00B0444B">
        <w:t>d’USD</w:t>
      </w:r>
      <w:r w:rsidRPr="005834C5">
        <w:t xml:space="preserve">. </w:t>
      </w:r>
    </w:p>
    <w:p w14:paraId="30835D94" w14:textId="6C8DA732" w:rsidR="005834C5" w:rsidRPr="005834C5" w:rsidRDefault="005834C5" w:rsidP="005834C5">
      <w:r w:rsidRPr="005834C5">
        <w:t xml:space="preserve">En 2009, il a été défini </w:t>
      </w:r>
      <w:r w:rsidR="00B0444B">
        <w:t xml:space="preserve">un </w:t>
      </w:r>
      <w:r w:rsidRPr="005834C5">
        <w:t>programme d’option</w:t>
      </w:r>
      <w:r w:rsidR="00B0444B">
        <w:t>s</w:t>
      </w:r>
      <w:r w:rsidRPr="005834C5">
        <w:t xml:space="preserve"> stratégique</w:t>
      </w:r>
      <w:r w:rsidR="00B0444B">
        <w:t>s</w:t>
      </w:r>
      <w:r w:rsidRPr="005834C5">
        <w:t xml:space="preserve"> pour le pays (COSOP) </w:t>
      </w:r>
      <w:r w:rsidR="00B0444B">
        <w:t xml:space="preserve">avec le FIDA </w:t>
      </w:r>
      <w:r w:rsidRPr="005834C5">
        <w:t>pour la période 2010-2014. Les objectifs de ce programme étaient (FIDA, 2009) :</w:t>
      </w:r>
    </w:p>
    <w:p w14:paraId="3AA9CFEE" w14:textId="77777777" w:rsidR="005834C5" w:rsidRPr="005834C5" w:rsidRDefault="005834C5" w:rsidP="005022BD">
      <w:pPr>
        <w:pStyle w:val="ListParagraph"/>
        <w:numPr>
          <w:ilvl w:val="0"/>
          <w:numId w:val="10"/>
        </w:numPr>
      </w:pPr>
      <w:r w:rsidRPr="005834C5">
        <w:t xml:space="preserve">L’amélioration des pratiques des petits producteurs dans les secteurs de l’agriculture et de la pêche, </w:t>
      </w:r>
    </w:p>
    <w:p w14:paraId="1F9ABD26" w14:textId="77777777" w:rsidR="005834C5" w:rsidRPr="005834C5" w:rsidRDefault="005834C5" w:rsidP="005022BD">
      <w:pPr>
        <w:pStyle w:val="ListParagraph"/>
        <w:numPr>
          <w:ilvl w:val="0"/>
          <w:numId w:val="10"/>
        </w:numPr>
      </w:pPr>
      <w:r w:rsidRPr="005834C5">
        <w:t xml:space="preserve">L’amélioration de l’accès aux marchés et des chaînes de valeur ; </w:t>
      </w:r>
    </w:p>
    <w:p w14:paraId="0E570C8F" w14:textId="77777777" w:rsidR="005834C5" w:rsidRPr="005834C5" w:rsidRDefault="005834C5" w:rsidP="005022BD">
      <w:pPr>
        <w:pStyle w:val="ListParagraph"/>
        <w:numPr>
          <w:ilvl w:val="0"/>
          <w:numId w:val="10"/>
        </w:numPr>
      </w:pPr>
      <w:r w:rsidRPr="005834C5">
        <w:t>La promotion de l’organisation des producteurs et de leur participation à l’élaboration des politiques et de la planification locale et nationale.</w:t>
      </w:r>
    </w:p>
    <w:p w14:paraId="051E67EC" w14:textId="166BE7E4" w:rsidR="005834C5" w:rsidRPr="005834C5" w:rsidRDefault="005834C5" w:rsidP="005834C5">
      <w:r w:rsidRPr="005834C5">
        <w:t xml:space="preserve">Le COSOP 2016-2020 n’a pas encore été défini. </w:t>
      </w:r>
    </w:p>
    <w:p w14:paraId="7A858E57" w14:textId="4C4D9273" w:rsidR="005834C5" w:rsidRDefault="005834C5" w:rsidP="005834C5">
      <w:r w:rsidRPr="005834C5">
        <w:t>Parmi les projet</w:t>
      </w:r>
      <w:r w:rsidR="00B0444B">
        <w:t xml:space="preserve">s en cours, on compte le </w:t>
      </w:r>
      <w:r w:rsidRPr="005834C5">
        <w:t>Programme d’appui au dével</w:t>
      </w:r>
      <w:r w:rsidR="00B0444B">
        <w:t>oppement des filières agricoles (PADEF)</w:t>
      </w:r>
      <w:r w:rsidRPr="005834C5">
        <w:t xml:space="preserve"> pour un montant total de 17,3 millions d’USD financé à 57% par le FIDA et un projet d’appui à la pêche et l’aquaculture de 17,1 millions d’USD.</w:t>
      </w:r>
    </w:p>
    <w:p w14:paraId="47075BFB" w14:textId="4932F3EE" w:rsidR="00012410" w:rsidRDefault="00F44247" w:rsidP="008B0EB3">
      <w:pPr>
        <w:pStyle w:val="ListParagraph"/>
        <w:numPr>
          <w:ilvl w:val="0"/>
          <w:numId w:val="22"/>
        </w:numPr>
        <w:rPr>
          <w:color w:val="548AB7" w:themeColor="accent1" w:themeShade="BF"/>
        </w:rPr>
      </w:pPr>
      <w:r>
        <w:rPr>
          <w:color w:val="548AB7" w:themeColor="accent1" w:themeShade="BF"/>
        </w:rPr>
        <w:t xml:space="preserve">Le </w:t>
      </w:r>
      <w:bookmarkStart w:id="23" w:name="OLE_LINK9"/>
      <w:r>
        <w:rPr>
          <w:color w:val="548AB7" w:themeColor="accent1" w:themeShade="BF"/>
        </w:rPr>
        <w:t xml:space="preserve">Programme d’Adaptation pour les petits exploitants agricoles </w:t>
      </w:r>
      <w:bookmarkEnd w:id="23"/>
      <w:r>
        <w:rPr>
          <w:color w:val="548AB7" w:themeColor="accent1" w:themeShade="BF"/>
        </w:rPr>
        <w:t>(</w:t>
      </w:r>
      <w:r w:rsidRPr="00F44247">
        <w:rPr>
          <w:i/>
          <w:color w:val="548AB7" w:themeColor="accent1" w:themeShade="BF"/>
        </w:rPr>
        <w:t xml:space="preserve">Adaptation for </w:t>
      </w:r>
      <w:proofErr w:type="spellStart"/>
      <w:r w:rsidRPr="00F44247">
        <w:rPr>
          <w:i/>
          <w:color w:val="548AB7" w:themeColor="accent1" w:themeShade="BF"/>
        </w:rPr>
        <w:t>Smallholder</w:t>
      </w:r>
      <w:proofErr w:type="spellEnd"/>
      <w:r w:rsidRPr="00F44247">
        <w:rPr>
          <w:i/>
          <w:color w:val="548AB7" w:themeColor="accent1" w:themeShade="BF"/>
        </w:rPr>
        <w:t xml:space="preserve"> Agriculture Programme</w:t>
      </w:r>
      <w:r>
        <w:rPr>
          <w:color w:val="548AB7" w:themeColor="accent1" w:themeShade="BF"/>
        </w:rPr>
        <w:t xml:space="preserve"> – ASAP)</w:t>
      </w:r>
      <w:r w:rsidR="00A61AC9">
        <w:rPr>
          <w:rStyle w:val="FootnoteReference"/>
          <w:color w:val="548AB7" w:themeColor="accent1" w:themeShade="BF"/>
        </w:rPr>
        <w:footnoteReference w:id="19"/>
      </w:r>
    </w:p>
    <w:p w14:paraId="2BABBF89" w14:textId="44392576" w:rsidR="003A0C9B" w:rsidRPr="00F44247" w:rsidRDefault="001E3C5D" w:rsidP="002260A2">
      <w:pPr>
        <w:spacing w:after="180"/>
      </w:pPr>
      <w:r w:rsidRPr="00F44247">
        <w:t xml:space="preserve">Lancé en 2012, l’ASAP appui les projets </w:t>
      </w:r>
      <w:r w:rsidR="00F44247" w:rsidRPr="00F44247">
        <w:t>de développement rural</w:t>
      </w:r>
      <w:r w:rsidRPr="00F44247">
        <w:t xml:space="preserve"> dans les </w:t>
      </w:r>
      <w:r w:rsidR="00B0444B">
        <w:t>PED</w:t>
      </w:r>
      <w:r w:rsidRPr="00F44247">
        <w:t xml:space="preserve"> </w:t>
      </w:r>
      <w:r w:rsidR="00F44247" w:rsidRPr="00F44247">
        <w:t>visant l’adaptation aux changements climatiques d</w:t>
      </w:r>
      <w:r w:rsidRPr="00F44247">
        <w:t>es petits exploitants</w:t>
      </w:r>
      <w:r w:rsidR="00F44247" w:rsidRPr="00F44247">
        <w:t xml:space="preserve"> agricoles (</w:t>
      </w:r>
      <w:r w:rsidR="00B0444B">
        <w:t xml:space="preserve">en lien avec la </w:t>
      </w:r>
      <w:r w:rsidR="00F44247" w:rsidRPr="00F44247">
        <w:t>production agricole</w:t>
      </w:r>
      <w:r w:rsidR="00B0444B">
        <w:t>, la transformation, le stockage et l</w:t>
      </w:r>
      <w:r w:rsidR="00F44247" w:rsidRPr="00F44247">
        <w:t>’accès aux marchés)</w:t>
      </w:r>
      <w:r w:rsidRPr="00F44247">
        <w:t xml:space="preserve">. Aujourd’hui, le programme a permis de financer </w:t>
      </w:r>
      <w:r w:rsidR="00F44247" w:rsidRPr="00F44247">
        <w:t xml:space="preserve">36 projets pour un montant total de 285 millions </w:t>
      </w:r>
      <w:r w:rsidR="00B0444B">
        <w:t>d’USD</w:t>
      </w:r>
      <w:r w:rsidR="00F44247" w:rsidRPr="00F44247">
        <w:t xml:space="preserve"> touchant environ 6 millions de petits exploitants. La République du Congo ne figure pas à ce jour parmi les bénéficiaires du programme</w:t>
      </w:r>
      <w:r w:rsidR="00AE5CBF">
        <w:t xml:space="preserve"> mais du fait que le pays est éligible au FIDA, il l’est également au programme ASAP</w:t>
      </w:r>
      <w:r w:rsidR="00F44247" w:rsidRPr="00F44247">
        <w:t>.</w:t>
      </w:r>
      <w:r w:rsidR="00AE5CBF">
        <w:t xml:space="preserve"> </w:t>
      </w:r>
      <w:r w:rsidR="006473AE">
        <w:t xml:space="preserve">La procédure et les garanties pour l’obtention des financements ASAP sont identiques à celles du FIDA. </w:t>
      </w:r>
    </w:p>
    <w:p w14:paraId="61D65FDF" w14:textId="6AB8DB16" w:rsidR="00424DD5" w:rsidRPr="00A0435E" w:rsidRDefault="00A0435E" w:rsidP="00A0435E">
      <w:pPr>
        <w:pStyle w:val="Heading5"/>
        <w:rPr>
          <w:rFonts w:eastAsiaTheme="minorHAnsi"/>
          <w:sz w:val="24"/>
          <w:lang w:eastAsia="en-US"/>
        </w:rPr>
      </w:pPr>
      <w:r w:rsidRPr="00A0435E">
        <w:rPr>
          <w:rFonts w:eastAsiaTheme="minorHAnsi"/>
          <w:lang w:eastAsia="en-US"/>
        </w:rPr>
        <w:t xml:space="preserve">Le Fonds de </w:t>
      </w:r>
      <w:r>
        <w:rPr>
          <w:rFonts w:eastAsiaTheme="minorHAnsi"/>
          <w:lang w:eastAsia="en-US"/>
        </w:rPr>
        <w:t>l’</w:t>
      </w:r>
      <w:r>
        <w:rPr>
          <w:rStyle w:val="st"/>
          <w:rFonts w:eastAsiaTheme="majorEastAsia"/>
        </w:rPr>
        <w:t>OPEP</w:t>
      </w:r>
      <w:r>
        <w:rPr>
          <w:rFonts w:eastAsiaTheme="minorHAnsi"/>
          <w:lang w:eastAsia="en-US"/>
        </w:rPr>
        <w:t xml:space="preserve"> pour le Développement I</w:t>
      </w:r>
      <w:r w:rsidRPr="00A0435E">
        <w:rPr>
          <w:rFonts w:eastAsiaTheme="minorHAnsi"/>
          <w:lang w:eastAsia="en-US"/>
        </w:rPr>
        <w:t>nternational (FODI)</w:t>
      </w:r>
    </w:p>
    <w:p w14:paraId="39742486" w14:textId="26FB17DD" w:rsidR="00ED2283" w:rsidRPr="006718AF" w:rsidRDefault="00424DD5" w:rsidP="00ED2283">
      <w:pPr>
        <w:rPr>
          <w:sz w:val="20"/>
        </w:rPr>
      </w:pPr>
      <w:r w:rsidRPr="00A0435E">
        <w:rPr>
          <w:rFonts w:eastAsiaTheme="minorHAnsi"/>
          <w:color w:val="000000"/>
          <w:szCs w:val="23"/>
          <w:lang w:eastAsia="en-US"/>
        </w:rPr>
        <w:t xml:space="preserve">Le </w:t>
      </w:r>
      <w:bookmarkStart w:id="24" w:name="OLE_LINK10"/>
      <w:r w:rsidRPr="00A0435E">
        <w:rPr>
          <w:rFonts w:eastAsiaTheme="minorHAnsi"/>
          <w:color w:val="000000"/>
          <w:szCs w:val="23"/>
          <w:lang w:eastAsia="en-US"/>
        </w:rPr>
        <w:t xml:space="preserve">Fonds de </w:t>
      </w:r>
      <w:r w:rsidR="000A4DDB">
        <w:rPr>
          <w:rFonts w:eastAsiaTheme="minorHAnsi"/>
          <w:color w:val="000000"/>
          <w:szCs w:val="23"/>
          <w:lang w:eastAsia="en-US"/>
        </w:rPr>
        <w:t>l</w:t>
      </w:r>
      <w:r w:rsidR="000A4DDB">
        <w:rPr>
          <w:rStyle w:val="st"/>
          <w:rFonts w:eastAsiaTheme="majorEastAsia"/>
        </w:rPr>
        <w:t>’OPEP</w:t>
      </w:r>
      <w:r w:rsidRPr="00A0435E">
        <w:rPr>
          <w:rFonts w:eastAsiaTheme="minorHAnsi"/>
          <w:color w:val="000000"/>
          <w:szCs w:val="23"/>
          <w:lang w:eastAsia="en-US"/>
        </w:rPr>
        <w:t xml:space="preserve"> pour le développement international </w:t>
      </w:r>
      <w:bookmarkEnd w:id="24"/>
      <w:r w:rsidRPr="00A0435E">
        <w:rPr>
          <w:rFonts w:eastAsiaTheme="minorHAnsi"/>
          <w:color w:val="000000"/>
          <w:szCs w:val="23"/>
          <w:lang w:eastAsia="en-US"/>
        </w:rPr>
        <w:t>(FODI) est une institution financière de développement intergouvernementale fondée en 1976 par les membres de l’OPEP.</w:t>
      </w:r>
      <w:r w:rsidR="003416C6" w:rsidRPr="00A0435E">
        <w:rPr>
          <w:rFonts w:eastAsiaTheme="minorHAnsi"/>
          <w:color w:val="000000"/>
          <w:szCs w:val="23"/>
          <w:lang w:eastAsia="en-US"/>
        </w:rPr>
        <w:t xml:space="preserve"> En 2015, les engagements des membres de l’OPEP pour le FODI se sont élevés à 3 462 millions </w:t>
      </w:r>
      <w:r w:rsidR="00B0444B">
        <w:rPr>
          <w:rFonts w:eastAsiaTheme="minorHAnsi"/>
          <w:color w:val="000000"/>
          <w:szCs w:val="23"/>
          <w:lang w:eastAsia="en-US"/>
        </w:rPr>
        <w:t>d’USD</w:t>
      </w:r>
      <w:r w:rsidR="003416C6" w:rsidRPr="00A0435E">
        <w:rPr>
          <w:rFonts w:eastAsiaTheme="minorHAnsi"/>
          <w:color w:val="000000"/>
          <w:szCs w:val="23"/>
          <w:lang w:eastAsia="en-US"/>
        </w:rPr>
        <w:t>.</w:t>
      </w:r>
      <w:r w:rsidRPr="00A0435E">
        <w:rPr>
          <w:rFonts w:eastAsiaTheme="minorHAnsi"/>
          <w:color w:val="000000"/>
          <w:szCs w:val="23"/>
          <w:lang w:eastAsia="en-US"/>
        </w:rPr>
        <w:t xml:space="preserve"> </w:t>
      </w:r>
      <w:r w:rsidRPr="00A0435E">
        <w:rPr>
          <w:color w:val="000000"/>
          <w:szCs w:val="23"/>
        </w:rPr>
        <w:t>Les prêts du FODI sont concessionnels avec un élément don en gé</w:t>
      </w:r>
      <w:r w:rsidR="003416C6" w:rsidRPr="00A0435E">
        <w:rPr>
          <w:color w:val="000000"/>
          <w:szCs w:val="23"/>
        </w:rPr>
        <w:t>néral égal ou supérieur à 40 %, des taux d’intérêt variant entre 1 et 3,75 % et une</w:t>
      </w:r>
      <w:r w:rsidRPr="00A0435E">
        <w:rPr>
          <w:color w:val="000000"/>
          <w:szCs w:val="23"/>
        </w:rPr>
        <w:t xml:space="preserve"> durée de remboursement est entre 20 et 30 ans avec un différé de 4 </w:t>
      </w:r>
      <w:r w:rsidRPr="00A0435E">
        <w:rPr>
          <w:color w:val="000000"/>
          <w:szCs w:val="23"/>
        </w:rPr>
        <w:lastRenderedPageBreak/>
        <w:t>à 10 ans</w:t>
      </w:r>
      <w:r w:rsidR="003416C6" w:rsidRPr="00A0435E">
        <w:rPr>
          <w:rStyle w:val="FootnoteReference"/>
          <w:color w:val="000000"/>
          <w:szCs w:val="23"/>
        </w:rPr>
        <w:footnoteReference w:id="20"/>
      </w:r>
      <w:r w:rsidRPr="00A0435E">
        <w:rPr>
          <w:color w:val="000000"/>
          <w:szCs w:val="23"/>
        </w:rPr>
        <w:t>.</w:t>
      </w:r>
      <w:r w:rsidR="006718AF">
        <w:rPr>
          <w:sz w:val="20"/>
        </w:rPr>
        <w:t xml:space="preserve"> </w:t>
      </w:r>
      <w:r w:rsidR="00ED2283">
        <w:t xml:space="preserve">Entre </w:t>
      </w:r>
      <w:r w:rsidR="000A4DDB">
        <w:t>1976 et 2016, l’OPEP</w:t>
      </w:r>
      <w:r>
        <w:t xml:space="preserve"> a financé 8 projets de développement au Congo pour un total de 57,5 millions </w:t>
      </w:r>
      <w:r w:rsidR="00B0444B">
        <w:t>d’USD</w:t>
      </w:r>
      <w:r>
        <w:t xml:space="preserve"> dont 14,5 millions de cofinancement pour les projets PRODER 2 et PRODER 3</w:t>
      </w:r>
      <w:r>
        <w:rPr>
          <w:rStyle w:val="FootnoteReference"/>
        </w:rPr>
        <w:footnoteReference w:id="21"/>
      </w:r>
      <w:r>
        <w:t xml:space="preserve">. </w:t>
      </w:r>
    </w:p>
    <w:p w14:paraId="305B739A" w14:textId="151B81F6" w:rsidR="00265A63" w:rsidRDefault="00265A63" w:rsidP="00DF187B">
      <w:pPr>
        <w:pStyle w:val="Heading5"/>
      </w:pPr>
      <w:r>
        <w:t>Autres</w:t>
      </w:r>
    </w:p>
    <w:p w14:paraId="65E5E48C" w14:textId="1435749D" w:rsidR="002260A2" w:rsidRDefault="00C24AC6" w:rsidP="00265A63">
      <w:r w:rsidRPr="00B67EFD">
        <w:t>La Banque Arabe pour le développement économique en Afrique</w:t>
      </w:r>
      <w:r w:rsidR="00E25CFE" w:rsidRPr="00B67EFD">
        <w:t xml:space="preserve"> (BADEA)</w:t>
      </w:r>
      <w:r w:rsidRPr="00B67EFD">
        <w:t xml:space="preserve"> gère en partie l’aide a</w:t>
      </w:r>
      <w:r w:rsidR="007C1201" w:rsidRPr="00B67EFD">
        <w:t>u développement des pays arabes</w:t>
      </w:r>
      <w:r w:rsidRPr="00B67EFD">
        <w:t xml:space="preserve"> et a des activités dans les pays d’Afrique Subsaharienne et notamment au Congo. En République du Congo, </w:t>
      </w:r>
      <w:r w:rsidR="00E25CFE" w:rsidRPr="00B67EFD">
        <w:t>le montant des 14 opérations réalisées avec la BDEAC est de 94 millions d’USD entre 1975 et 2015 majoritairement dans le secteur des infrastructures (9% pour un projet de développement de plantions d’hévéas)</w:t>
      </w:r>
      <w:r w:rsidR="00E25CFE" w:rsidRPr="00B67EFD">
        <w:rPr>
          <w:rStyle w:val="FootnoteReference"/>
        </w:rPr>
        <w:footnoteReference w:id="22"/>
      </w:r>
      <w:r w:rsidR="00E25CFE" w:rsidRPr="00B67EFD">
        <w:t>.</w:t>
      </w:r>
      <w:r w:rsidR="00E25CFE">
        <w:t xml:space="preserve"> </w:t>
      </w:r>
    </w:p>
    <w:p w14:paraId="09BBEC73" w14:textId="77777777" w:rsidR="00AF4823" w:rsidRDefault="00AF4823" w:rsidP="00AF4823">
      <w:pPr>
        <w:pStyle w:val="Heading4"/>
      </w:pPr>
      <w:r>
        <w:t xml:space="preserve">La Commission </w:t>
      </w:r>
      <w:proofErr w:type="spellStart"/>
      <w:r>
        <w:t>Européenne</w:t>
      </w:r>
      <w:proofErr w:type="spellEnd"/>
      <w:r>
        <w:t xml:space="preserve"> (CE)</w:t>
      </w:r>
      <w:r>
        <w:rPr>
          <w:rStyle w:val="FootnoteReference"/>
        </w:rPr>
        <w:footnoteReference w:id="23"/>
      </w:r>
    </w:p>
    <w:p w14:paraId="096AAAF5" w14:textId="77777777" w:rsidR="00AF4823" w:rsidRDefault="00AF4823" w:rsidP="00EA3CB2">
      <w:pPr>
        <w:rPr>
          <w:szCs w:val="22"/>
        </w:rPr>
      </w:pPr>
      <w:r w:rsidRPr="000351A3">
        <w:rPr>
          <w:szCs w:val="22"/>
        </w:rPr>
        <w:t>L'Union européenne</w:t>
      </w:r>
      <w:r>
        <w:rPr>
          <w:szCs w:val="22"/>
        </w:rPr>
        <w:t xml:space="preserve"> (UE)</w:t>
      </w:r>
      <w:r w:rsidRPr="000351A3">
        <w:rPr>
          <w:szCs w:val="22"/>
        </w:rPr>
        <w:t xml:space="preserve"> gère une partie de l'aide financière totale des pays européens (moins de 20%), via l'office de coopération </w:t>
      </w:r>
      <w:proofErr w:type="spellStart"/>
      <w:r w:rsidRPr="000351A3">
        <w:rPr>
          <w:szCs w:val="22"/>
        </w:rPr>
        <w:t>EuropeAid</w:t>
      </w:r>
      <w:proofErr w:type="spellEnd"/>
      <w:r w:rsidRPr="000351A3">
        <w:rPr>
          <w:rStyle w:val="FootnoteReference"/>
          <w:szCs w:val="22"/>
        </w:rPr>
        <w:footnoteReference w:id="24"/>
      </w:r>
      <w:r w:rsidRPr="000351A3">
        <w:rPr>
          <w:szCs w:val="22"/>
        </w:rPr>
        <w:t>. Celle-ci est principalement distribuée sous forme de subventions</w:t>
      </w:r>
      <w:r>
        <w:rPr>
          <w:szCs w:val="22"/>
        </w:rPr>
        <w:t xml:space="preserve"> et</w:t>
      </w:r>
      <w:r w:rsidRPr="000351A3">
        <w:rPr>
          <w:szCs w:val="22"/>
        </w:rPr>
        <w:t xml:space="preserve"> d'autres mécanismes permettent de combiner prêts et subventions. Elle peut servir à financer des projets spécifiques, soutenir des secteurs particuliers ou être allouée sous forme d'aide budgétaire aux gouvernements bénéficiaires.</w:t>
      </w:r>
    </w:p>
    <w:p w14:paraId="5C2D2ECD" w14:textId="77777777" w:rsidR="00AF4823" w:rsidRPr="000351A3" w:rsidRDefault="00AF4823" w:rsidP="00BA65C9">
      <w:pPr>
        <w:spacing w:after="60"/>
        <w:jc w:val="left"/>
        <w:rPr>
          <w:szCs w:val="22"/>
        </w:rPr>
      </w:pPr>
      <w:r w:rsidRPr="000351A3">
        <w:rPr>
          <w:szCs w:val="22"/>
        </w:rPr>
        <w:t>Au Congo, il existe deux outils de coopération utilisés avec l’Union Européenne</w:t>
      </w:r>
      <w:r>
        <w:rPr>
          <w:rStyle w:val="FootnoteReference"/>
          <w:szCs w:val="22"/>
        </w:rPr>
        <w:footnoteReference w:id="25"/>
      </w:r>
      <w:r w:rsidRPr="000351A3">
        <w:rPr>
          <w:szCs w:val="22"/>
        </w:rPr>
        <w:t> :</w:t>
      </w:r>
    </w:p>
    <w:p w14:paraId="4C695859" w14:textId="77777777" w:rsidR="00AF4823" w:rsidRPr="000351A3" w:rsidRDefault="00AF4823" w:rsidP="008B0EB3">
      <w:pPr>
        <w:pStyle w:val="ListParagraph"/>
        <w:numPr>
          <w:ilvl w:val="0"/>
          <w:numId w:val="36"/>
        </w:numPr>
        <w:spacing w:after="100" w:afterAutospacing="1"/>
        <w:rPr>
          <w:szCs w:val="22"/>
        </w:rPr>
      </w:pPr>
      <w:r w:rsidRPr="000351A3">
        <w:rPr>
          <w:b/>
          <w:szCs w:val="22"/>
        </w:rPr>
        <w:t>Fonds de Développement Européen</w:t>
      </w:r>
      <w:r w:rsidRPr="000351A3">
        <w:rPr>
          <w:szCs w:val="22"/>
        </w:rPr>
        <w:t xml:space="preserve"> (FED). Il est financé directement par les États membres et est dirigé par un comité indépendant. </w:t>
      </w:r>
    </w:p>
    <w:p w14:paraId="006F1B10" w14:textId="77777777" w:rsidR="00AF4823" w:rsidRPr="000351A3" w:rsidRDefault="00AF4823" w:rsidP="00AF4823">
      <w:pPr>
        <w:pStyle w:val="ListParagraph"/>
        <w:spacing w:before="100" w:beforeAutospacing="1" w:after="100" w:afterAutospacing="1"/>
        <w:rPr>
          <w:szCs w:val="22"/>
        </w:rPr>
      </w:pPr>
      <w:r w:rsidRPr="000351A3">
        <w:rPr>
          <w:szCs w:val="22"/>
        </w:rPr>
        <w:t>L</w:t>
      </w:r>
      <w:r>
        <w:rPr>
          <w:szCs w:val="22"/>
        </w:rPr>
        <w:t>e 10</w:t>
      </w:r>
      <w:r w:rsidRPr="000351A3">
        <w:rPr>
          <w:szCs w:val="22"/>
          <w:vertAlign w:val="superscript"/>
        </w:rPr>
        <w:t>ème</w:t>
      </w:r>
      <w:r w:rsidRPr="000351A3">
        <w:rPr>
          <w:szCs w:val="22"/>
        </w:rPr>
        <w:t xml:space="preserve"> FED, couvrant initialement la période 2008-2013 a alloué pour le Congo 85 millions d’euros pour majoritairement des activités d’intégration régionale (57 millions d’euros dans le secteur des transports) et la gouvernance (16 millions) dont la gestion durable des ressources naturelles.</w:t>
      </w:r>
    </w:p>
    <w:p w14:paraId="416DE84A" w14:textId="77777777" w:rsidR="00AF4823" w:rsidRDefault="00AF4823" w:rsidP="00EA3CB2">
      <w:pPr>
        <w:pStyle w:val="ListParagraph"/>
        <w:spacing w:before="100" w:beforeAutospacing="1" w:after="100" w:afterAutospacing="1"/>
        <w:rPr>
          <w:szCs w:val="22"/>
        </w:rPr>
      </w:pPr>
      <w:r w:rsidRPr="000351A3">
        <w:rPr>
          <w:szCs w:val="22"/>
        </w:rPr>
        <w:t>En mars 2015, la République du Congo est entrée dans le 11ème FED (2014-2020) avec la signature du Programme Indicatif National. Doté d'une enveloppe de 103 millions d'euros soit, 67 563 milliards de FCFA,  le 11</w:t>
      </w:r>
      <w:r w:rsidRPr="000351A3">
        <w:rPr>
          <w:szCs w:val="22"/>
          <w:vertAlign w:val="superscript"/>
        </w:rPr>
        <w:t>ème</w:t>
      </w:r>
      <w:r w:rsidRPr="000351A3">
        <w:rPr>
          <w:szCs w:val="22"/>
        </w:rPr>
        <w:t xml:space="preserve"> FED servira essentiellement à financer des programmes et des projets dans les domaines de  la gouvernance économique et commerciale (20% du budget) dont les activités en lien avec le processus FLEGT et du développement local (75% du budget). </w:t>
      </w:r>
    </w:p>
    <w:p w14:paraId="3075308F" w14:textId="77777777" w:rsidR="00AF4823" w:rsidRPr="000351A3" w:rsidRDefault="00AF4823" w:rsidP="008B0EB3">
      <w:pPr>
        <w:pStyle w:val="ListParagraph"/>
        <w:numPr>
          <w:ilvl w:val="0"/>
          <w:numId w:val="36"/>
        </w:numPr>
        <w:spacing w:before="120" w:after="60"/>
        <w:rPr>
          <w:rStyle w:val="Strong"/>
          <w:bCs w:val="0"/>
          <w:szCs w:val="22"/>
        </w:rPr>
      </w:pPr>
      <w:r w:rsidRPr="000351A3">
        <w:rPr>
          <w:rStyle w:val="Strong"/>
          <w:rFonts w:eastAsiaTheme="majorEastAsia"/>
          <w:b w:val="0"/>
        </w:rPr>
        <w:t xml:space="preserve">Un </w:t>
      </w:r>
      <w:r w:rsidRPr="000351A3">
        <w:rPr>
          <w:rStyle w:val="Strong"/>
          <w:rFonts w:eastAsiaTheme="majorEastAsia"/>
        </w:rPr>
        <w:t>budget propre</w:t>
      </w:r>
      <w:r w:rsidRPr="000351A3">
        <w:rPr>
          <w:rStyle w:val="Strong"/>
          <w:rFonts w:eastAsiaTheme="majorEastAsia"/>
          <w:b w:val="0"/>
        </w:rPr>
        <w:t xml:space="preserve"> qui peut être alloué par la Commission européenne à des programmes spécifiques de développement. Au Congo, elle a notamment alloué 5,5 millions d’euros pour le soutien à la filière sucre depuis 2007. </w:t>
      </w:r>
    </w:p>
    <w:p w14:paraId="1AD49C71" w14:textId="77777777" w:rsidR="00AF4823" w:rsidRDefault="00AF4823" w:rsidP="00EA3CB2">
      <w:pPr>
        <w:spacing w:after="60"/>
      </w:pPr>
      <w:r>
        <w:t xml:space="preserve">Actuellement l'UE a engagé, toute aide confondue, environ 226 millions d'euros soit 148,2 milliards de FCFA au Congo dont 54,5 % pour l’amélioration des infrastructures de transport. Le diagramme ci-dessous présente la répartition de l’aide au Congo en fonction des secteurs en septembre 2010. </w:t>
      </w:r>
    </w:p>
    <w:p w14:paraId="69826142" w14:textId="77777777" w:rsidR="00AF4823" w:rsidRDefault="00AF4823" w:rsidP="00EA3CB2">
      <w:pPr>
        <w:spacing w:after="0"/>
        <w:jc w:val="center"/>
        <w:rPr>
          <w:b/>
          <w:szCs w:val="22"/>
        </w:rPr>
      </w:pPr>
      <w:r>
        <w:rPr>
          <w:noProof/>
          <w:lang w:val="en-US" w:eastAsia="en-US"/>
        </w:rPr>
        <w:drawing>
          <wp:inline distT="0" distB="0" distL="0" distR="0" wp14:anchorId="75A53459" wp14:editId="5DD6300B">
            <wp:extent cx="4499610" cy="1889185"/>
            <wp:effectExtent l="0" t="0" r="0" b="0"/>
            <wp:docPr id="13" name="Image 13" descr="http://eeas.europa.eu/delegations/congo/images/content/projects_overview/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eas.europa.eu/delegations/congo/images/content/projects_overview/03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1869" b="3591"/>
                    <a:stretch/>
                  </pic:blipFill>
                  <pic:spPr bwMode="auto">
                    <a:xfrm>
                      <a:off x="0" y="0"/>
                      <a:ext cx="4500928" cy="1889738"/>
                    </a:xfrm>
                    <a:prstGeom prst="rect">
                      <a:avLst/>
                    </a:prstGeom>
                    <a:noFill/>
                    <a:ln>
                      <a:noFill/>
                    </a:ln>
                    <a:extLst>
                      <a:ext uri="{53640926-AAD7-44d8-BBD7-CCE9431645EC}">
                        <a14:shadowObscured xmlns:a14="http://schemas.microsoft.com/office/drawing/2010/main"/>
                      </a:ext>
                    </a:extLst>
                  </pic:spPr>
                </pic:pic>
              </a:graphicData>
            </a:graphic>
          </wp:inline>
        </w:drawing>
      </w:r>
    </w:p>
    <w:p w14:paraId="030FA9B2" w14:textId="7BD370D2" w:rsidR="00EA3CB2" w:rsidRPr="00EA3CB2" w:rsidRDefault="00AF4823" w:rsidP="00EA3CB2">
      <w:pPr>
        <w:pStyle w:val="Caption"/>
        <w:rPr>
          <w:szCs w:val="22"/>
        </w:rPr>
      </w:pPr>
      <w:bookmarkStart w:id="25" w:name="_Toc454886813"/>
      <w:r>
        <w:t xml:space="preserve">Figure </w:t>
      </w:r>
      <w:r>
        <w:fldChar w:fldCharType="begin"/>
      </w:r>
      <w:r>
        <w:instrText xml:space="preserve"> SEQ Figure \* ARABIC </w:instrText>
      </w:r>
      <w:r>
        <w:fldChar w:fldCharType="separate"/>
      </w:r>
      <w:r w:rsidR="0080491D">
        <w:rPr>
          <w:noProof/>
        </w:rPr>
        <w:t>4</w:t>
      </w:r>
      <w:r>
        <w:fldChar w:fldCharType="end"/>
      </w:r>
      <w:r>
        <w:t>: Répartition de l'aide apportée au Congo par l'UE en fonction des thématiques des projets au 6 septembre 2010</w:t>
      </w:r>
      <w:bookmarkEnd w:id="25"/>
    </w:p>
    <w:p w14:paraId="4B9A4889" w14:textId="77777777" w:rsidR="00AF4823" w:rsidRDefault="00AF4823" w:rsidP="00EA3CB2">
      <w:pPr>
        <w:spacing w:after="60"/>
      </w:pPr>
      <w:r>
        <w:lastRenderedPageBreak/>
        <w:t>Parmi les projets en cours de mise en œuvre et en lien avec les activités de la stratégie nationale REDD+, on peut citer :</w:t>
      </w:r>
    </w:p>
    <w:p w14:paraId="31899F6D" w14:textId="59BEAD96" w:rsidR="00BA65C9" w:rsidRPr="005B5FAB" w:rsidRDefault="00AF4823" w:rsidP="008B0EB3">
      <w:pPr>
        <w:numPr>
          <w:ilvl w:val="0"/>
          <w:numId w:val="23"/>
        </w:numPr>
        <w:spacing w:after="60"/>
        <w:rPr>
          <w:szCs w:val="18"/>
        </w:rPr>
      </w:pPr>
      <w:r>
        <w:rPr>
          <w:szCs w:val="18"/>
        </w:rPr>
        <w:t>L</w:t>
      </w:r>
      <w:r w:rsidRPr="00187D3C">
        <w:rPr>
          <w:szCs w:val="18"/>
        </w:rPr>
        <w:t xml:space="preserve">a </w:t>
      </w:r>
      <w:r w:rsidRPr="00187D3C">
        <w:rPr>
          <w:b/>
          <w:szCs w:val="18"/>
        </w:rPr>
        <w:t>facilité UE REDD</w:t>
      </w:r>
      <w:r>
        <w:rPr>
          <w:b/>
          <w:szCs w:val="18"/>
        </w:rPr>
        <w:t xml:space="preserve"> </w:t>
      </w:r>
      <w:r w:rsidRPr="00C06EE8">
        <w:rPr>
          <w:szCs w:val="18"/>
        </w:rPr>
        <w:t>hébergée par EFI (</w:t>
      </w:r>
      <w:proofErr w:type="spellStart"/>
      <w:r w:rsidRPr="00C06EE8">
        <w:rPr>
          <w:szCs w:val="18"/>
        </w:rPr>
        <w:t>European</w:t>
      </w:r>
      <w:proofErr w:type="spellEnd"/>
      <w:r w:rsidRPr="00C06EE8">
        <w:rPr>
          <w:szCs w:val="18"/>
        </w:rPr>
        <w:t xml:space="preserve"> Forest Institute)</w:t>
      </w:r>
      <w:r w:rsidRPr="00187D3C">
        <w:rPr>
          <w:szCs w:val="18"/>
        </w:rPr>
        <w:t>. Avec un montant total d’environ 9,5 millions d’euros sur la période 2011-2017, l’UE REDD appui la mise en œuvre d’initiatives en lien avec l’amélioration de la gouvernance pour l’utilisation des terres dans le cadre du REDD+ principalement au Cameroun, République du Congo, RDC, Côte d’Ivoire, Indonésie et Vietnam.</w:t>
      </w:r>
    </w:p>
    <w:tbl>
      <w:tblPr>
        <w:tblStyle w:val="TableauGrille4-Accentuation13"/>
        <w:tblW w:w="6726" w:type="dxa"/>
        <w:jc w:val="center"/>
        <w:tblLook w:val="04A0" w:firstRow="1" w:lastRow="0" w:firstColumn="1" w:lastColumn="0" w:noHBand="0" w:noVBand="1"/>
      </w:tblPr>
      <w:tblGrid>
        <w:gridCol w:w="4361"/>
        <w:gridCol w:w="1089"/>
        <w:gridCol w:w="1276"/>
      </w:tblGrid>
      <w:tr w:rsidR="00AF4823" w:rsidRPr="00187D3C" w14:paraId="55F19025" w14:textId="77777777" w:rsidTr="001F34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1" w:type="dxa"/>
          </w:tcPr>
          <w:p w14:paraId="66C10E29" w14:textId="77777777" w:rsidR="00AF4823" w:rsidRPr="00187D3C" w:rsidRDefault="00AF4823" w:rsidP="00EA3CB2">
            <w:pPr>
              <w:spacing w:before="100" w:beforeAutospacing="1" w:after="100" w:afterAutospacing="1"/>
              <w:jc w:val="left"/>
              <w:rPr>
                <w:sz w:val="18"/>
                <w:szCs w:val="22"/>
              </w:rPr>
            </w:pPr>
            <w:r w:rsidRPr="00187D3C">
              <w:rPr>
                <w:sz w:val="18"/>
                <w:szCs w:val="22"/>
              </w:rPr>
              <w:t>Projet</w:t>
            </w:r>
          </w:p>
        </w:tc>
        <w:tc>
          <w:tcPr>
            <w:tcW w:w="1089" w:type="dxa"/>
          </w:tcPr>
          <w:p w14:paraId="174922AC" w14:textId="77777777" w:rsidR="00AF4823" w:rsidRPr="00187D3C" w:rsidRDefault="00AF4823" w:rsidP="001F34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18"/>
                <w:szCs w:val="22"/>
              </w:rPr>
            </w:pPr>
            <w:r w:rsidRPr="00187D3C">
              <w:rPr>
                <w:sz w:val="18"/>
                <w:szCs w:val="22"/>
              </w:rPr>
              <w:t>Années</w:t>
            </w:r>
          </w:p>
        </w:tc>
        <w:tc>
          <w:tcPr>
            <w:tcW w:w="1276" w:type="dxa"/>
          </w:tcPr>
          <w:p w14:paraId="6BC3E9E9" w14:textId="77777777" w:rsidR="00AF4823" w:rsidRPr="00187D3C" w:rsidRDefault="00AF4823" w:rsidP="001F34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18"/>
                <w:szCs w:val="22"/>
              </w:rPr>
            </w:pPr>
            <w:r w:rsidRPr="00187D3C">
              <w:rPr>
                <w:sz w:val="18"/>
                <w:szCs w:val="22"/>
              </w:rPr>
              <w:t>Budget (€)</w:t>
            </w:r>
          </w:p>
        </w:tc>
      </w:tr>
      <w:tr w:rsidR="00AF4823" w:rsidRPr="00187D3C" w14:paraId="58DABB9C" w14:textId="77777777" w:rsidTr="001F34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1" w:type="dxa"/>
          </w:tcPr>
          <w:p w14:paraId="2F33C910" w14:textId="77777777" w:rsidR="00AF4823" w:rsidRPr="00187D3C" w:rsidRDefault="00AF4823" w:rsidP="001F34BB">
            <w:pPr>
              <w:spacing w:before="100" w:beforeAutospacing="1" w:after="100" w:afterAutospacing="1"/>
              <w:jc w:val="left"/>
              <w:rPr>
                <w:sz w:val="18"/>
                <w:szCs w:val="22"/>
              </w:rPr>
            </w:pPr>
            <w:r w:rsidRPr="00187D3C">
              <w:rPr>
                <w:sz w:val="18"/>
                <w:szCs w:val="22"/>
              </w:rPr>
              <w:t>Amélioration de la participation de la société civile et populations autochtones dans le processus REDD+</w:t>
            </w:r>
          </w:p>
        </w:tc>
        <w:tc>
          <w:tcPr>
            <w:tcW w:w="1089" w:type="dxa"/>
            <w:vAlign w:val="center"/>
          </w:tcPr>
          <w:p w14:paraId="70B53AAF" w14:textId="77777777" w:rsidR="00AF4823" w:rsidRPr="00187D3C" w:rsidRDefault="00AF4823" w:rsidP="001F34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22"/>
              </w:rPr>
            </w:pPr>
            <w:r w:rsidRPr="00187D3C">
              <w:rPr>
                <w:sz w:val="18"/>
                <w:szCs w:val="22"/>
              </w:rPr>
              <w:t>2011-2015</w:t>
            </w:r>
          </w:p>
        </w:tc>
        <w:tc>
          <w:tcPr>
            <w:tcW w:w="1276" w:type="dxa"/>
            <w:vAlign w:val="center"/>
          </w:tcPr>
          <w:p w14:paraId="73993D8A" w14:textId="77777777" w:rsidR="00AF4823" w:rsidRPr="00187D3C" w:rsidRDefault="00AF4823" w:rsidP="001F34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22"/>
              </w:rPr>
            </w:pPr>
            <w:r w:rsidRPr="00187D3C">
              <w:rPr>
                <w:sz w:val="18"/>
                <w:szCs w:val="22"/>
              </w:rPr>
              <w:t>40 000</w:t>
            </w:r>
          </w:p>
        </w:tc>
      </w:tr>
      <w:tr w:rsidR="00AF4823" w:rsidRPr="00187D3C" w14:paraId="4C36BF95" w14:textId="77777777" w:rsidTr="001F34BB">
        <w:trPr>
          <w:jc w:val="center"/>
        </w:trPr>
        <w:tc>
          <w:tcPr>
            <w:cnfStyle w:val="001000000000" w:firstRow="0" w:lastRow="0" w:firstColumn="1" w:lastColumn="0" w:oddVBand="0" w:evenVBand="0" w:oddHBand="0" w:evenHBand="0" w:firstRowFirstColumn="0" w:firstRowLastColumn="0" w:lastRowFirstColumn="0" w:lastRowLastColumn="0"/>
            <w:tcW w:w="4361" w:type="dxa"/>
          </w:tcPr>
          <w:p w14:paraId="5A5C3FD7" w14:textId="77777777" w:rsidR="00AF4823" w:rsidRPr="00187D3C" w:rsidRDefault="00AF4823" w:rsidP="001F34BB">
            <w:pPr>
              <w:spacing w:before="100" w:beforeAutospacing="1" w:after="100" w:afterAutospacing="1"/>
              <w:jc w:val="left"/>
              <w:rPr>
                <w:sz w:val="18"/>
                <w:szCs w:val="22"/>
              </w:rPr>
            </w:pPr>
            <w:r w:rsidRPr="00187D3C">
              <w:rPr>
                <w:sz w:val="18"/>
                <w:szCs w:val="22"/>
              </w:rPr>
              <w:t>Amélioration de l’accès aux informations sur le processus REDD+ et FLEGT</w:t>
            </w:r>
          </w:p>
        </w:tc>
        <w:tc>
          <w:tcPr>
            <w:tcW w:w="1089" w:type="dxa"/>
            <w:vAlign w:val="center"/>
          </w:tcPr>
          <w:p w14:paraId="2009F1BA" w14:textId="77777777" w:rsidR="00AF4823" w:rsidRPr="00187D3C" w:rsidRDefault="00AF4823" w:rsidP="001F34B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18"/>
                <w:szCs w:val="22"/>
              </w:rPr>
            </w:pPr>
            <w:r w:rsidRPr="00187D3C">
              <w:rPr>
                <w:sz w:val="18"/>
                <w:szCs w:val="22"/>
              </w:rPr>
              <w:t>2013-2014</w:t>
            </w:r>
          </w:p>
        </w:tc>
        <w:tc>
          <w:tcPr>
            <w:tcW w:w="1276" w:type="dxa"/>
            <w:vAlign w:val="center"/>
          </w:tcPr>
          <w:p w14:paraId="388B1F26" w14:textId="77777777" w:rsidR="00AF4823" w:rsidRPr="00187D3C" w:rsidRDefault="00AF4823" w:rsidP="001F34B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18"/>
                <w:szCs w:val="22"/>
              </w:rPr>
            </w:pPr>
            <w:r w:rsidRPr="00187D3C">
              <w:rPr>
                <w:sz w:val="18"/>
                <w:szCs w:val="22"/>
              </w:rPr>
              <w:t>40 000</w:t>
            </w:r>
          </w:p>
        </w:tc>
      </w:tr>
      <w:tr w:rsidR="00AF4823" w:rsidRPr="00187D3C" w14:paraId="510E4D50" w14:textId="77777777" w:rsidTr="001F34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1" w:type="dxa"/>
          </w:tcPr>
          <w:p w14:paraId="6B609B9B" w14:textId="77777777" w:rsidR="00AF4823" w:rsidRPr="00187D3C" w:rsidRDefault="00AF4823" w:rsidP="001F34BB">
            <w:pPr>
              <w:spacing w:before="100" w:beforeAutospacing="1" w:after="100" w:afterAutospacing="1"/>
              <w:jc w:val="left"/>
              <w:rPr>
                <w:sz w:val="18"/>
                <w:szCs w:val="22"/>
              </w:rPr>
            </w:pPr>
            <w:r w:rsidRPr="00187D3C">
              <w:rPr>
                <w:rStyle w:val="st"/>
                <w:rFonts w:eastAsiaTheme="majorEastAsia"/>
                <w:sz w:val="18"/>
                <w:szCs w:val="22"/>
              </w:rPr>
              <w:t xml:space="preserve">Mécanisme de </w:t>
            </w:r>
            <w:r w:rsidRPr="00187D3C">
              <w:rPr>
                <w:rStyle w:val="Emphasis"/>
                <w:i w:val="0"/>
                <w:sz w:val="18"/>
                <w:szCs w:val="22"/>
              </w:rPr>
              <w:t>partage des bénéfices</w:t>
            </w:r>
            <w:r w:rsidRPr="00187D3C">
              <w:rPr>
                <w:rStyle w:val="st"/>
                <w:rFonts w:eastAsiaTheme="majorEastAsia"/>
                <w:sz w:val="18"/>
                <w:szCs w:val="22"/>
              </w:rPr>
              <w:t xml:space="preserve"> multiples de la </w:t>
            </w:r>
            <w:r w:rsidRPr="00187D3C">
              <w:rPr>
                <w:rStyle w:val="Emphasis"/>
                <w:i w:val="0"/>
                <w:sz w:val="18"/>
                <w:szCs w:val="22"/>
              </w:rPr>
              <w:t>REDD+</w:t>
            </w:r>
          </w:p>
        </w:tc>
        <w:tc>
          <w:tcPr>
            <w:tcW w:w="1089" w:type="dxa"/>
            <w:vAlign w:val="center"/>
          </w:tcPr>
          <w:p w14:paraId="743E7966" w14:textId="77777777" w:rsidR="00AF4823" w:rsidRPr="00187D3C" w:rsidRDefault="00AF4823" w:rsidP="001F34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22"/>
              </w:rPr>
            </w:pPr>
            <w:r w:rsidRPr="00187D3C">
              <w:rPr>
                <w:sz w:val="18"/>
                <w:szCs w:val="22"/>
              </w:rPr>
              <w:t>2014-2015</w:t>
            </w:r>
          </w:p>
        </w:tc>
        <w:tc>
          <w:tcPr>
            <w:tcW w:w="1276" w:type="dxa"/>
            <w:vAlign w:val="center"/>
          </w:tcPr>
          <w:p w14:paraId="1BC43412" w14:textId="77777777" w:rsidR="00AF4823" w:rsidRPr="00187D3C" w:rsidRDefault="00AF4823" w:rsidP="001F34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22"/>
              </w:rPr>
            </w:pPr>
            <w:r w:rsidRPr="00187D3C">
              <w:rPr>
                <w:sz w:val="18"/>
                <w:szCs w:val="22"/>
              </w:rPr>
              <w:t>300 000</w:t>
            </w:r>
          </w:p>
        </w:tc>
      </w:tr>
    </w:tbl>
    <w:p w14:paraId="2CB8C770" w14:textId="77777777" w:rsidR="00AF4823" w:rsidRDefault="00AF4823" w:rsidP="00AF4823">
      <w:pPr>
        <w:pStyle w:val="Caption"/>
        <w:rPr>
          <w:szCs w:val="18"/>
        </w:rPr>
      </w:pPr>
      <w:bookmarkStart w:id="26" w:name="_Toc454886801"/>
      <w:r>
        <w:t xml:space="preserve">Tableau </w:t>
      </w:r>
      <w:r>
        <w:fldChar w:fldCharType="begin"/>
      </w:r>
      <w:r>
        <w:instrText xml:space="preserve"> SEQ Tableau \* ARABIC </w:instrText>
      </w:r>
      <w:r>
        <w:fldChar w:fldCharType="separate"/>
      </w:r>
      <w:r w:rsidR="0080491D">
        <w:rPr>
          <w:noProof/>
        </w:rPr>
        <w:t>2</w:t>
      </w:r>
      <w:r>
        <w:fldChar w:fldCharType="end"/>
      </w:r>
      <w:r>
        <w:t xml:space="preserve"> : Projets mis en œuvre en République du Congo avec la facilité UE REDD (source : </w:t>
      </w:r>
      <w:hyperlink r:id="rId25" w:history="1">
        <w:r w:rsidRPr="005E786B">
          <w:rPr>
            <w:rStyle w:val="Hyperlink"/>
            <w:szCs w:val="18"/>
          </w:rPr>
          <w:t>www.euredd.efi.int/roc</w:t>
        </w:r>
      </w:hyperlink>
      <w:r w:rsidRPr="000034C4">
        <w:rPr>
          <w:rStyle w:val="Hyperlink"/>
          <w:color w:val="auto"/>
          <w:szCs w:val="18"/>
        </w:rPr>
        <w:t>)</w:t>
      </w:r>
      <w:bookmarkEnd w:id="26"/>
    </w:p>
    <w:p w14:paraId="47C7D134" w14:textId="77777777" w:rsidR="00AF4823" w:rsidRDefault="00AF4823" w:rsidP="008B0EB3">
      <w:pPr>
        <w:numPr>
          <w:ilvl w:val="0"/>
          <w:numId w:val="24"/>
        </w:numPr>
        <w:spacing w:before="180" w:after="0"/>
        <w:rPr>
          <w:szCs w:val="18"/>
        </w:rPr>
      </w:pPr>
      <w:r w:rsidRPr="00F017E1">
        <w:rPr>
          <w:szCs w:val="18"/>
        </w:rPr>
        <w:t xml:space="preserve">La </w:t>
      </w:r>
      <w:r w:rsidRPr="00F017E1">
        <w:rPr>
          <w:b/>
          <w:szCs w:val="18"/>
        </w:rPr>
        <w:t xml:space="preserve">facilité EU FLEGT </w:t>
      </w:r>
      <w:r w:rsidRPr="00F017E1">
        <w:rPr>
          <w:szCs w:val="18"/>
        </w:rPr>
        <w:t>hébergé</w:t>
      </w:r>
      <w:r>
        <w:rPr>
          <w:szCs w:val="18"/>
        </w:rPr>
        <w:t xml:space="preserve">e par EFI. Avec un montant de 45,7 millions d’euros sur la période 2006-2018, la facilité est financée majoritairement par l’UE (56%), le DFIF (20%), le Ministère des affaires étrangères des Pays-Bas (11%) et le SIDA (8%) pour 18 pays bénéficiaires. </w:t>
      </w:r>
    </w:p>
    <w:p w14:paraId="57B19699" w14:textId="77777777" w:rsidR="00AF4823" w:rsidRPr="00856272" w:rsidRDefault="00AF4823" w:rsidP="00EA3CB2">
      <w:pPr>
        <w:spacing w:after="60"/>
        <w:ind w:left="720"/>
        <w:rPr>
          <w:szCs w:val="18"/>
        </w:rPr>
      </w:pPr>
      <w:r w:rsidRPr="00856272">
        <w:rPr>
          <w:szCs w:val="18"/>
        </w:rPr>
        <w:t>Les fonctions de la facilité sont de :</w:t>
      </w:r>
      <w:r>
        <w:rPr>
          <w:szCs w:val="18"/>
        </w:rPr>
        <w:t xml:space="preserve"> (1)</w:t>
      </w:r>
      <w:r w:rsidRPr="00856272">
        <w:rPr>
          <w:szCs w:val="18"/>
        </w:rPr>
        <w:t xml:space="preserve"> appuyer le partage d’information, le renforcement des capacités et la collaboration sur le processus FLEGT</w:t>
      </w:r>
      <w:r>
        <w:rPr>
          <w:szCs w:val="18"/>
        </w:rPr>
        <w:t xml:space="preserve"> (</w:t>
      </w:r>
      <w:r w:rsidRPr="00856272">
        <w:rPr>
          <w:i/>
          <w:szCs w:val="18"/>
        </w:rPr>
        <w:t xml:space="preserve">Forest Law </w:t>
      </w:r>
      <w:proofErr w:type="spellStart"/>
      <w:r w:rsidRPr="00856272">
        <w:rPr>
          <w:i/>
          <w:szCs w:val="18"/>
        </w:rPr>
        <w:t>Enforcement</w:t>
      </w:r>
      <w:proofErr w:type="spellEnd"/>
      <w:r w:rsidRPr="00856272">
        <w:rPr>
          <w:i/>
          <w:szCs w:val="18"/>
        </w:rPr>
        <w:t xml:space="preserve">, </w:t>
      </w:r>
      <w:proofErr w:type="spellStart"/>
      <w:r w:rsidRPr="00856272">
        <w:rPr>
          <w:i/>
          <w:szCs w:val="18"/>
        </w:rPr>
        <w:t>Governance</w:t>
      </w:r>
      <w:proofErr w:type="spellEnd"/>
      <w:r w:rsidRPr="00856272">
        <w:rPr>
          <w:i/>
          <w:szCs w:val="18"/>
        </w:rPr>
        <w:t xml:space="preserve"> and Trade</w:t>
      </w:r>
      <w:r>
        <w:rPr>
          <w:szCs w:val="18"/>
        </w:rPr>
        <w:t>)</w:t>
      </w:r>
      <w:r w:rsidRPr="00856272">
        <w:rPr>
          <w:szCs w:val="18"/>
        </w:rPr>
        <w:t xml:space="preserve"> au niveau régional, </w:t>
      </w:r>
      <w:r>
        <w:rPr>
          <w:szCs w:val="18"/>
        </w:rPr>
        <w:t xml:space="preserve">(2) </w:t>
      </w:r>
      <w:r w:rsidRPr="00856272">
        <w:rPr>
          <w:szCs w:val="18"/>
        </w:rPr>
        <w:t>informer sur les plans d’action FLEGT et les accords de partenariats volontaires,</w:t>
      </w:r>
      <w:r>
        <w:rPr>
          <w:szCs w:val="18"/>
        </w:rPr>
        <w:t xml:space="preserve"> (3)</w:t>
      </w:r>
      <w:r w:rsidRPr="00856272">
        <w:rPr>
          <w:szCs w:val="18"/>
        </w:rPr>
        <w:t xml:space="preserve"> appuyer le dialogue national, </w:t>
      </w:r>
      <w:r>
        <w:rPr>
          <w:szCs w:val="18"/>
        </w:rPr>
        <w:t xml:space="preserve">(4) </w:t>
      </w:r>
      <w:r w:rsidRPr="00856272">
        <w:rPr>
          <w:szCs w:val="18"/>
        </w:rPr>
        <w:t xml:space="preserve">apporter un appui technique sur les aspects en lien avec les </w:t>
      </w:r>
      <w:r>
        <w:rPr>
          <w:szCs w:val="18"/>
        </w:rPr>
        <w:t>accords de partenariat volontaires (APV)</w:t>
      </w:r>
      <w:r w:rsidRPr="00856272">
        <w:rPr>
          <w:szCs w:val="18"/>
        </w:rPr>
        <w:t xml:space="preserve"> et le développement du cadre de vérification de la légalité au niveau national.  </w:t>
      </w:r>
    </w:p>
    <w:p w14:paraId="52EB5C33" w14:textId="77777777" w:rsidR="00AF4823" w:rsidRDefault="00AF4823" w:rsidP="005B5FAB">
      <w:pPr>
        <w:rPr>
          <w:szCs w:val="22"/>
        </w:rPr>
      </w:pPr>
      <w:r w:rsidRPr="00E44BFC">
        <w:rPr>
          <w:szCs w:val="22"/>
        </w:rPr>
        <w:t xml:space="preserve">En lien avec le processus FLEGT, l’UE a notamment appuyer le financement du projet d’étude des coûts du </w:t>
      </w:r>
      <w:r>
        <w:rPr>
          <w:szCs w:val="22"/>
        </w:rPr>
        <w:t>système de vérification de la légalité (SVL)</w:t>
      </w:r>
      <w:r w:rsidRPr="00E44BFC">
        <w:rPr>
          <w:szCs w:val="22"/>
        </w:rPr>
        <w:t xml:space="preserve"> au Congo en 2012-2013, le projet de mise en place d’observa</w:t>
      </w:r>
      <w:r>
        <w:rPr>
          <w:szCs w:val="22"/>
        </w:rPr>
        <w:t>teur</w:t>
      </w:r>
      <w:r w:rsidRPr="00E44BFC">
        <w:rPr>
          <w:szCs w:val="22"/>
        </w:rPr>
        <w:t xml:space="preserve"> indépendant (OI-FLEG), l’élaboration et validation nationale du manuel de procédures pour l’obtention des documents vérificateurs de la grille de légalité FLEGT, </w:t>
      </w:r>
      <w:r>
        <w:rPr>
          <w:szCs w:val="22"/>
        </w:rPr>
        <w:t xml:space="preserve">le projet d’audit indépendant, </w:t>
      </w:r>
      <w:r w:rsidRPr="00E44BFC">
        <w:rPr>
          <w:szCs w:val="22"/>
        </w:rPr>
        <w:t>etc.</w:t>
      </w:r>
      <w:r>
        <w:rPr>
          <w:szCs w:val="22"/>
        </w:rPr>
        <w:t xml:space="preserve"> </w:t>
      </w:r>
    </w:p>
    <w:p w14:paraId="2A3CEA98" w14:textId="77777777" w:rsidR="00AF4823" w:rsidRDefault="00AF4823" w:rsidP="005B5FAB">
      <w:pPr>
        <w:rPr>
          <w:szCs w:val="22"/>
        </w:rPr>
      </w:pPr>
      <w:r>
        <w:rPr>
          <w:szCs w:val="22"/>
        </w:rPr>
        <w:t>Aujourd’hui, l’UE cofinance avec la République du Congo le projet de Système Informatique de Vérification de la légalité des bois et produits dérivés au Congo (SIVL). Dans le cadre de ce projet, lancé le 8 juillet 2015, 1,7 millions d’euros sont financés par l’UE pour le développement du SIVL. Dans un deuxième temps, le gouvernement du Congo financera le déploiement au niveau national du logiciel</w:t>
      </w:r>
      <w:r>
        <w:rPr>
          <w:rStyle w:val="FootnoteReference"/>
          <w:szCs w:val="22"/>
        </w:rPr>
        <w:footnoteReference w:id="26"/>
      </w:r>
      <w:r>
        <w:rPr>
          <w:szCs w:val="22"/>
        </w:rPr>
        <w:t xml:space="preserve">. </w:t>
      </w:r>
    </w:p>
    <w:p w14:paraId="180B6F5C" w14:textId="153F8810" w:rsidR="00AF4823" w:rsidRDefault="00AF4823" w:rsidP="006959B6">
      <w:pPr>
        <w:rPr>
          <w:szCs w:val="22"/>
        </w:rPr>
      </w:pPr>
      <w:r>
        <w:rPr>
          <w:szCs w:val="22"/>
        </w:rPr>
        <w:t xml:space="preserve">On remarque l’Union Européenne a créé en 2007 </w:t>
      </w:r>
      <w:bookmarkStart w:id="27" w:name="OLE_LINK7"/>
      <w:bookmarkStart w:id="28" w:name="OLE_LINK8"/>
      <w:r>
        <w:rPr>
          <w:szCs w:val="22"/>
        </w:rPr>
        <w:t xml:space="preserve">l’Alliance Mondiale contre le Changement Climatique </w:t>
      </w:r>
      <w:bookmarkEnd w:id="27"/>
      <w:bookmarkEnd w:id="28"/>
      <w:r>
        <w:rPr>
          <w:szCs w:val="22"/>
        </w:rPr>
        <w:t>(AMCC) qui a notamment pour but d’apporter un appui technique et financier aux pays et régions dans le domaine des changements climatiques. Cependant les pays éligibles sont les Pays les Moins Avancés (PMA) et les Petits Etats Insulaires en Développement (PEID) dont la République du Congo ne fait pas partie</w:t>
      </w:r>
      <w:r>
        <w:rPr>
          <w:rStyle w:val="FootnoteReference"/>
          <w:szCs w:val="22"/>
        </w:rPr>
        <w:footnoteReference w:id="27"/>
      </w:r>
      <w:r>
        <w:rPr>
          <w:szCs w:val="22"/>
        </w:rPr>
        <w:t xml:space="preserve">. </w:t>
      </w:r>
    </w:p>
    <w:tbl>
      <w:tblPr>
        <w:tblStyle w:val="TableGrid"/>
        <w:tblW w:w="0" w:type="auto"/>
        <w:shd w:val="clear" w:color="auto" w:fill="F8E5DA" w:themeFill="accent2" w:themeFillTint="33"/>
        <w:tblLook w:val="04A0" w:firstRow="1" w:lastRow="0" w:firstColumn="1" w:lastColumn="0" w:noHBand="0" w:noVBand="1"/>
      </w:tblPr>
      <w:tblGrid>
        <w:gridCol w:w="9212"/>
      </w:tblGrid>
      <w:tr w:rsidR="006718AF" w14:paraId="085A2CF6" w14:textId="77777777" w:rsidTr="009706BF">
        <w:tc>
          <w:tcPr>
            <w:tcW w:w="9212" w:type="dxa"/>
            <w:shd w:val="clear" w:color="auto" w:fill="F8E5DA" w:themeFill="accent2" w:themeFillTint="33"/>
          </w:tcPr>
          <w:p w14:paraId="0034096C" w14:textId="77777777" w:rsidR="006718AF" w:rsidRPr="00FF33DB" w:rsidRDefault="006718AF" w:rsidP="009706BF">
            <w:pPr>
              <w:pStyle w:val="Caption"/>
            </w:pPr>
            <w:r w:rsidRPr="007705E5">
              <w:t xml:space="preserve">Encadré </w:t>
            </w:r>
            <w:r>
              <w:fldChar w:fldCharType="begin"/>
            </w:r>
            <w:r w:rsidRPr="007705E5">
              <w:instrText xml:space="preserve"> SEQ Encadré \* ARABIC </w:instrText>
            </w:r>
            <w:r>
              <w:fldChar w:fldCharType="separate"/>
            </w:r>
            <w:r w:rsidR="0080491D">
              <w:rPr>
                <w:noProof/>
              </w:rPr>
              <w:t>1</w:t>
            </w:r>
            <w:r>
              <w:fldChar w:fldCharType="end"/>
            </w:r>
            <w:r w:rsidRPr="007705E5">
              <w:t xml:space="preserve">: </w:t>
            </w:r>
            <w:r>
              <w:t>Les appuis des</w:t>
            </w:r>
            <w:r w:rsidRPr="00FF33DB">
              <w:t xml:space="preserve"> agences des Nations Unies</w:t>
            </w:r>
          </w:p>
          <w:p w14:paraId="675A2D54" w14:textId="77777777" w:rsidR="006718AF" w:rsidRPr="00133A4A" w:rsidRDefault="006718AF" w:rsidP="009706BF">
            <w:pPr>
              <w:rPr>
                <w:sz w:val="20"/>
                <w:szCs w:val="20"/>
              </w:rPr>
            </w:pPr>
            <w:r>
              <w:rPr>
                <w:sz w:val="20"/>
                <w:szCs w:val="20"/>
              </w:rPr>
              <w:t>Les agences des Nations U</w:t>
            </w:r>
            <w:r w:rsidRPr="00133A4A">
              <w:rPr>
                <w:sz w:val="20"/>
                <w:szCs w:val="20"/>
              </w:rPr>
              <w:t>ni</w:t>
            </w:r>
            <w:r>
              <w:rPr>
                <w:sz w:val="20"/>
                <w:szCs w:val="20"/>
              </w:rPr>
              <w:t>e</w:t>
            </w:r>
            <w:r w:rsidRPr="00133A4A">
              <w:rPr>
                <w:sz w:val="20"/>
                <w:szCs w:val="20"/>
              </w:rPr>
              <w:t>s telles que le PNUE, le PNUD ou la FAO n’ont pas pour mandat d’apporter un appui financier aux projets de développement. Par contre, elles peuvent être gestionnaires de fonds attribués aux pays et aux régions pour la mise en œuvre des projets en tant que partenaire</w:t>
            </w:r>
            <w:r>
              <w:rPr>
                <w:sz w:val="20"/>
                <w:szCs w:val="20"/>
              </w:rPr>
              <w:t>s</w:t>
            </w:r>
            <w:r w:rsidRPr="00133A4A">
              <w:rPr>
                <w:sz w:val="20"/>
                <w:szCs w:val="20"/>
              </w:rPr>
              <w:t xml:space="preserve"> opérationnels comme c’est le cas du FEM.</w:t>
            </w:r>
          </w:p>
          <w:p w14:paraId="0989D918" w14:textId="77777777" w:rsidR="006718AF" w:rsidRPr="00133A4A" w:rsidRDefault="006718AF" w:rsidP="009706BF">
            <w:pPr>
              <w:rPr>
                <w:sz w:val="20"/>
                <w:szCs w:val="20"/>
                <w:highlight w:val="yellow"/>
              </w:rPr>
            </w:pPr>
            <w:r w:rsidRPr="00133A4A">
              <w:rPr>
                <w:sz w:val="20"/>
                <w:szCs w:val="20"/>
              </w:rPr>
              <w:t xml:space="preserve">Financées par </w:t>
            </w:r>
            <w:r>
              <w:rPr>
                <w:sz w:val="20"/>
                <w:szCs w:val="20"/>
              </w:rPr>
              <w:t>le biais de l’APD multilatérale</w:t>
            </w:r>
            <w:r w:rsidRPr="00133A4A">
              <w:rPr>
                <w:sz w:val="20"/>
                <w:szCs w:val="20"/>
              </w:rPr>
              <w:t xml:space="preserve">, ces agences fournissement également des assistances techniques aux gouvernements des programmes et projets de développement. En mars 2015, dans le cadre du programme ONU REDD, il a été mobilisé 4 millions </w:t>
            </w:r>
            <w:r>
              <w:rPr>
                <w:sz w:val="20"/>
                <w:szCs w:val="20"/>
              </w:rPr>
              <w:t>d’USD</w:t>
            </w:r>
            <w:r w:rsidRPr="00133A4A">
              <w:rPr>
                <w:sz w:val="20"/>
                <w:szCs w:val="20"/>
              </w:rPr>
              <w:t xml:space="preserve"> pour faciliter le processus de préparation à la REDD+ de la République du Congo (CN REDD, 2015). </w:t>
            </w:r>
          </w:p>
        </w:tc>
      </w:tr>
    </w:tbl>
    <w:p w14:paraId="067B9889" w14:textId="77777777" w:rsidR="006718AF" w:rsidRDefault="006718AF" w:rsidP="006718AF">
      <w:r>
        <w:t xml:space="preserve"> </w:t>
      </w:r>
    </w:p>
    <w:p w14:paraId="6F42207D" w14:textId="77777777" w:rsidR="006718AF" w:rsidRDefault="006718AF" w:rsidP="006959B6">
      <w:pPr>
        <w:rPr>
          <w:szCs w:val="22"/>
        </w:rPr>
      </w:pPr>
    </w:p>
    <w:p w14:paraId="56E544D5" w14:textId="77777777" w:rsidR="006718AF" w:rsidRDefault="006718AF" w:rsidP="006959B6">
      <w:pPr>
        <w:rPr>
          <w:szCs w:val="22"/>
        </w:rPr>
      </w:pPr>
    </w:p>
    <w:p w14:paraId="71F5122C" w14:textId="27B729F9" w:rsidR="00BC5CD1" w:rsidRPr="002D4765" w:rsidRDefault="002F0828" w:rsidP="00B67EFD">
      <w:pPr>
        <w:pStyle w:val="Heading4"/>
        <w:rPr>
          <w:lang w:val="fr-FR"/>
        </w:rPr>
      </w:pPr>
      <w:r w:rsidRPr="002D4765">
        <w:rPr>
          <w:lang w:val="fr-FR"/>
        </w:rPr>
        <w:lastRenderedPageBreak/>
        <w:t xml:space="preserve">Les </w:t>
      </w:r>
      <w:r w:rsidR="002D4765" w:rsidRPr="002D4765">
        <w:rPr>
          <w:lang w:val="fr-FR"/>
        </w:rPr>
        <w:t>mécanismes financiers de la</w:t>
      </w:r>
      <w:r w:rsidR="00DB1179">
        <w:rPr>
          <w:lang w:val="fr-FR"/>
        </w:rPr>
        <w:t xml:space="preserve"> CDB et de la</w:t>
      </w:r>
      <w:r w:rsidR="002D4765" w:rsidRPr="002D4765">
        <w:rPr>
          <w:lang w:val="fr-FR"/>
        </w:rPr>
        <w:t xml:space="preserve"> CCNUCC</w:t>
      </w:r>
      <w:r w:rsidR="00766D8D" w:rsidRPr="002D4765">
        <w:rPr>
          <w:lang w:val="fr-FR"/>
        </w:rPr>
        <w:t xml:space="preserve"> </w:t>
      </w:r>
    </w:p>
    <w:p w14:paraId="1A3C68DE" w14:textId="5CB5B05B" w:rsidR="00BC5CD1" w:rsidRDefault="00BC5CD1" w:rsidP="008B0EB3">
      <w:pPr>
        <w:pStyle w:val="Heading5"/>
        <w:numPr>
          <w:ilvl w:val="0"/>
          <w:numId w:val="12"/>
        </w:numPr>
      </w:pPr>
      <w:r>
        <w:t>Le Fonds Vert Climat (FVC)</w:t>
      </w:r>
      <w:r w:rsidR="00A35AC5">
        <w:rPr>
          <w:rStyle w:val="FootnoteReference"/>
        </w:rPr>
        <w:footnoteReference w:id="28"/>
      </w:r>
    </w:p>
    <w:p w14:paraId="2FDD5146" w14:textId="06238170" w:rsidR="00D5204A" w:rsidRDefault="00A35AC5" w:rsidP="00394161">
      <w:r>
        <w:t>L</w:t>
      </w:r>
      <w:r w:rsidR="002F0322">
        <w:t>e FVC</w:t>
      </w:r>
      <w:r>
        <w:t xml:space="preserve"> est</w:t>
      </w:r>
      <w:r w:rsidR="005E7151">
        <w:t xml:space="preserve"> </w:t>
      </w:r>
      <w:r w:rsidR="002F0322">
        <w:t xml:space="preserve">un </w:t>
      </w:r>
      <w:r w:rsidR="005E7151">
        <w:t xml:space="preserve">mécanisme financier mis en place dans le cadre de la </w:t>
      </w:r>
      <w:r w:rsidR="002F0322">
        <w:t>CCNUCC</w:t>
      </w:r>
      <w:r w:rsidR="005E7151">
        <w:t xml:space="preserve"> </w:t>
      </w:r>
      <w:r>
        <w:t>en 2010 destiné</w:t>
      </w:r>
      <w:r w:rsidR="002F0322">
        <w:t xml:space="preserve"> à</w:t>
      </w:r>
      <w:r>
        <w:t xml:space="preserve"> financer</w:t>
      </w:r>
      <w:r w:rsidR="005E7151">
        <w:t xml:space="preserve"> des projets </w:t>
      </w:r>
      <w:r>
        <w:t xml:space="preserve">d’atténuation (50% des financements) et d’adaptation (50%) aux changements </w:t>
      </w:r>
      <w:r w:rsidR="002F0322">
        <w:t>climatiques. En 2014, le fonds a réuni</w:t>
      </w:r>
      <w:r>
        <w:t xml:space="preserve"> 10 milliard </w:t>
      </w:r>
      <w:r w:rsidR="00B0444B">
        <w:t>d’USD</w:t>
      </w:r>
      <w:r w:rsidR="00D5204A">
        <w:t xml:space="preserve"> pour un total </w:t>
      </w:r>
      <w:r w:rsidR="002F0322">
        <w:t>d’engagements</w:t>
      </w:r>
      <w:r w:rsidR="00D5204A">
        <w:t xml:space="preserve"> annoncé de 10,3 milliard </w:t>
      </w:r>
      <w:r w:rsidR="00B0444B">
        <w:t>d’USD</w:t>
      </w:r>
      <w:r w:rsidR="00D5204A">
        <w:t xml:space="preserve"> sur la période 2015-2018</w:t>
      </w:r>
      <w:r>
        <w:t>.</w:t>
      </w:r>
      <w:r w:rsidR="005E7151">
        <w:t> </w:t>
      </w:r>
    </w:p>
    <w:p w14:paraId="09CF42CB" w14:textId="4E9777F7" w:rsidR="006718AF" w:rsidRDefault="00D5204A" w:rsidP="00394161">
      <w:r>
        <w:t xml:space="preserve">Lors de négociations, les pays développés ont annoncé une mobilisation de </w:t>
      </w:r>
      <w:r w:rsidR="00A35AC5">
        <w:t xml:space="preserve">100 milliards </w:t>
      </w:r>
      <w:r w:rsidR="00B0444B">
        <w:t>d’USD</w:t>
      </w:r>
      <w:r w:rsidR="00A35AC5">
        <w:t xml:space="preserve"> par an </w:t>
      </w:r>
      <w:r>
        <w:t>pour la lutte contre les changements climatiques et qu’une majeure partie de ces fonds seront attribués au FVC</w:t>
      </w:r>
      <w:r w:rsidR="00A35AC5">
        <w:t>.</w:t>
      </w:r>
    </w:p>
    <w:p w14:paraId="65698222" w14:textId="41A5F130" w:rsidR="00342B27" w:rsidRDefault="00342B27" w:rsidP="002F0322">
      <w:pPr>
        <w:spacing w:after="0"/>
      </w:pPr>
      <w:r>
        <w:t>Le FVC a identifié 5 programmes d’investissements prioritaires :</w:t>
      </w:r>
    </w:p>
    <w:p w14:paraId="202E75E7" w14:textId="7777EDEF" w:rsidR="00342B27" w:rsidRDefault="00342B27" w:rsidP="008B0EB3">
      <w:pPr>
        <w:pStyle w:val="ListParagraph"/>
        <w:numPr>
          <w:ilvl w:val="0"/>
          <w:numId w:val="44"/>
        </w:numPr>
      </w:pPr>
      <w:r>
        <w:t>La production et l’accès à l’énergie</w:t>
      </w:r>
      <w:r w:rsidR="002F0322">
        <w:t> ;</w:t>
      </w:r>
    </w:p>
    <w:p w14:paraId="1F358D5D" w14:textId="642009CE" w:rsidR="00342B27" w:rsidRPr="00342B27" w:rsidRDefault="00342B27" w:rsidP="008B0EB3">
      <w:pPr>
        <w:pStyle w:val="ListParagraph"/>
        <w:numPr>
          <w:ilvl w:val="0"/>
          <w:numId w:val="44"/>
        </w:numPr>
        <w:rPr>
          <w:rStyle w:val="Emphasis"/>
          <w:i w:val="0"/>
          <w:iCs w:val="0"/>
        </w:rPr>
      </w:pPr>
      <w:r>
        <w:t xml:space="preserve">La </w:t>
      </w:r>
      <w:r w:rsidRPr="00342B27">
        <w:rPr>
          <w:rStyle w:val="st"/>
          <w:rFonts w:eastAsiaTheme="majorEastAsia"/>
        </w:rPr>
        <w:t xml:space="preserve">croissance urbaine </w:t>
      </w:r>
      <w:r w:rsidRPr="003D4212">
        <w:rPr>
          <w:rStyle w:val="Emphasis"/>
          <w:i w:val="0"/>
        </w:rPr>
        <w:t>compatible</w:t>
      </w:r>
      <w:r w:rsidRPr="003D4212">
        <w:rPr>
          <w:rStyle w:val="st"/>
          <w:rFonts w:eastAsiaTheme="majorEastAsia"/>
          <w:i/>
        </w:rPr>
        <w:t xml:space="preserve"> </w:t>
      </w:r>
      <w:r w:rsidRPr="00342B27">
        <w:rPr>
          <w:rStyle w:val="st"/>
          <w:rFonts w:eastAsiaTheme="majorEastAsia"/>
        </w:rPr>
        <w:t xml:space="preserve">avec les changements </w:t>
      </w:r>
      <w:r w:rsidRPr="003D4212">
        <w:rPr>
          <w:rStyle w:val="Emphasis"/>
          <w:i w:val="0"/>
        </w:rPr>
        <w:t>climatiques</w:t>
      </w:r>
      <w:r w:rsidR="002F0322">
        <w:rPr>
          <w:rStyle w:val="Emphasis"/>
          <w:i w:val="0"/>
        </w:rPr>
        <w:t> ;</w:t>
      </w:r>
    </w:p>
    <w:p w14:paraId="2759AE26" w14:textId="1DCED0EC" w:rsidR="00342B27" w:rsidRDefault="002F0322" w:rsidP="008B0EB3">
      <w:pPr>
        <w:pStyle w:val="ListParagraph"/>
        <w:numPr>
          <w:ilvl w:val="0"/>
          <w:numId w:val="44"/>
        </w:numPr>
        <w:rPr>
          <w:rStyle w:val="Emphasis"/>
          <w:i w:val="0"/>
          <w:iCs w:val="0"/>
        </w:rPr>
      </w:pPr>
      <w:r>
        <w:rPr>
          <w:rStyle w:val="Emphasis"/>
          <w:i w:val="0"/>
          <w:iCs w:val="0"/>
        </w:rPr>
        <w:t xml:space="preserve">L’agriculture </w:t>
      </w:r>
      <w:proofErr w:type="gramStart"/>
      <w:r>
        <w:rPr>
          <w:rStyle w:val="Emphasis"/>
          <w:i w:val="0"/>
          <w:iCs w:val="0"/>
        </w:rPr>
        <w:t>bas</w:t>
      </w:r>
      <w:proofErr w:type="gramEnd"/>
      <w:r w:rsidR="00342B27">
        <w:rPr>
          <w:rStyle w:val="Emphasis"/>
          <w:i w:val="0"/>
          <w:iCs w:val="0"/>
        </w:rPr>
        <w:t xml:space="preserve"> carbone et résiliente aux changements climatiques</w:t>
      </w:r>
      <w:r>
        <w:rPr>
          <w:rStyle w:val="Emphasis"/>
          <w:i w:val="0"/>
          <w:iCs w:val="0"/>
        </w:rPr>
        <w:t> ;</w:t>
      </w:r>
    </w:p>
    <w:p w14:paraId="65D2C48B" w14:textId="68A2DC84" w:rsidR="00342B27" w:rsidRDefault="002F0322" w:rsidP="008B0EB3">
      <w:pPr>
        <w:pStyle w:val="ListParagraph"/>
        <w:numPr>
          <w:ilvl w:val="0"/>
          <w:numId w:val="44"/>
        </w:numPr>
        <w:rPr>
          <w:rStyle w:val="Emphasis"/>
          <w:i w:val="0"/>
          <w:iCs w:val="0"/>
        </w:rPr>
      </w:pPr>
      <w:r>
        <w:rPr>
          <w:rStyle w:val="Emphasis"/>
          <w:i w:val="0"/>
          <w:iCs w:val="0"/>
        </w:rPr>
        <w:t>Le r</w:t>
      </w:r>
      <w:r w:rsidR="00342B27">
        <w:rPr>
          <w:rStyle w:val="Emphasis"/>
          <w:i w:val="0"/>
          <w:iCs w:val="0"/>
        </w:rPr>
        <w:t>enforcement de la finance pour les forêts et les changements climatiques</w:t>
      </w:r>
      <w:r>
        <w:rPr>
          <w:rStyle w:val="Emphasis"/>
          <w:i w:val="0"/>
          <w:iCs w:val="0"/>
        </w:rPr>
        <w:t> ;</w:t>
      </w:r>
    </w:p>
    <w:p w14:paraId="58014F07" w14:textId="75B08E19" w:rsidR="00342B27" w:rsidRPr="00342B27" w:rsidRDefault="00342B27" w:rsidP="008B0EB3">
      <w:pPr>
        <w:pStyle w:val="ListParagraph"/>
        <w:numPr>
          <w:ilvl w:val="0"/>
          <w:numId w:val="44"/>
        </w:numPr>
        <w:rPr>
          <w:rStyle w:val="Emphasis"/>
          <w:i w:val="0"/>
          <w:iCs w:val="0"/>
        </w:rPr>
      </w:pPr>
      <w:r>
        <w:rPr>
          <w:rStyle w:val="Emphasis"/>
          <w:i w:val="0"/>
          <w:iCs w:val="0"/>
        </w:rPr>
        <w:t xml:space="preserve">L’amélioration de la résilience des </w:t>
      </w:r>
      <w:r w:rsidR="002F0322">
        <w:rPr>
          <w:rStyle w:val="Emphasis"/>
          <w:i w:val="0"/>
          <w:iCs w:val="0"/>
        </w:rPr>
        <w:t>PIED.</w:t>
      </w:r>
    </w:p>
    <w:p w14:paraId="54836B9A" w14:textId="57E2C326" w:rsidR="00342B27" w:rsidRDefault="00342B27" w:rsidP="00342B27">
      <w:r>
        <w:t>Pour accéder aux financements, il est nécessaire que le pays dispose d’une autorité nationale désignée (ou point focal) spécifique</w:t>
      </w:r>
      <w:r w:rsidR="002F0322">
        <w:t xml:space="preserve"> au FVC</w:t>
      </w:r>
      <w:r>
        <w:t xml:space="preserve"> en charge d’approuver les candidatures des entités opérationnelles nationales ou régionales et d’approuver les projets et programmes proposés par les entités accréditées. </w:t>
      </w:r>
    </w:p>
    <w:p w14:paraId="4E1E7BA5" w14:textId="3CC6EE17" w:rsidR="005857FA" w:rsidRDefault="005857FA" w:rsidP="00342B27">
      <w:r>
        <w:t>Aujourd’hui 8 projets ont été retenus par le Fonds pour un financement total de 168 millions dollars dont 3 en Afrique, 3 en Asie et 2 en Amérique Latine comprenant notamment la création d’un fonds d’appui aux PME dédiés à l’énergie verte en Afrique de l’Est</w:t>
      </w:r>
      <w:r w:rsidR="006A1801">
        <w:rPr>
          <w:rStyle w:val="FootnoteReference"/>
        </w:rPr>
        <w:footnoteReference w:id="29"/>
      </w:r>
      <w:r>
        <w:t xml:space="preserve">. </w:t>
      </w:r>
    </w:p>
    <w:p w14:paraId="4A752A64" w14:textId="2AD35147" w:rsidR="005E7151" w:rsidRPr="0056497E" w:rsidRDefault="005E7151" w:rsidP="002F0322">
      <w:pPr>
        <w:spacing w:after="0"/>
      </w:pPr>
      <w:r>
        <w:t xml:space="preserve">Actuellement, en République du Congo, il a été obtenu un financement de 300 000 </w:t>
      </w:r>
      <w:r w:rsidR="00646A76">
        <w:t>USD</w:t>
      </w:r>
      <w:r>
        <w:t xml:space="preserve"> pour opérationnaliser la structure nationale en charge du FVC. </w:t>
      </w:r>
      <w:r w:rsidRPr="0056497E">
        <w:t>L’approche retenue pour la mise en place et l’opérationnalisation d</w:t>
      </w:r>
      <w:r>
        <w:t>e ce fonds</w:t>
      </w:r>
      <w:r w:rsidR="002F0322">
        <w:t xml:space="preserve"> </w:t>
      </w:r>
      <w:r w:rsidRPr="0056497E">
        <w:t xml:space="preserve">consiste actuellement à : </w:t>
      </w:r>
    </w:p>
    <w:p w14:paraId="0BE81540" w14:textId="77777777" w:rsidR="005E7151" w:rsidRPr="0056497E" w:rsidRDefault="005E7151" w:rsidP="008B0EB3">
      <w:pPr>
        <w:numPr>
          <w:ilvl w:val="0"/>
          <w:numId w:val="32"/>
        </w:numPr>
        <w:spacing w:after="0" w:line="264" w:lineRule="auto"/>
      </w:pPr>
      <w:r>
        <w:t>Identifier</w:t>
      </w:r>
      <w:r w:rsidRPr="0056497E">
        <w:t xml:space="preserve"> </w:t>
      </w:r>
      <w:r>
        <w:t>le</w:t>
      </w:r>
      <w:r w:rsidRPr="0056497E">
        <w:t>s besoins e</w:t>
      </w:r>
      <w:r>
        <w:t>n</w:t>
      </w:r>
      <w:r w:rsidRPr="0056497E">
        <w:t xml:space="preserve"> renforcement des capacités du point focal</w:t>
      </w:r>
      <w:r>
        <w:t> ;</w:t>
      </w:r>
      <w:r w:rsidRPr="0056497E">
        <w:t xml:space="preserve"> </w:t>
      </w:r>
    </w:p>
    <w:p w14:paraId="6183E056" w14:textId="77777777" w:rsidR="005E7151" w:rsidRPr="0056497E" w:rsidRDefault="005E7151" w:rsidP="008B0EB3">
      <w:pPr>
        <w:numPr>
          <w:ilvl w:val="0"/>
          <w:numId w:val="32"/>
        </w:numPr>
        <w:spacing w:after="0" w:line="264" w:lineRule="auto"/>
      </w:pPr>
      <w:r w:rsidRPr="0056497E">
        <w:t>Définir et mettre en place le cadre stratégique national d’interaction avec le fonds</w:t>
      </w:r>
      <w:r>
        <w:t> ;</w:t>
      </w:r>
    </w:p>
    <w:p w14:paraId="2F744AC0" w14:textId="3E093A55" w:rsidR="00EA3CB2" w:rsidRDefault="005E7151" w:rsidP="008B0EB3">
      <w:pPr>
        <w:numPr>
          <w:ilvl w:val="0"/>
          <w:numId w:val="32"/>
        </w:numPr>
        <w:spacing w:after="180" w:line="264" w:lineRule="auto"/>
      </w:pPr>
      <w:r w:rsidRPr="0056497E">
        <w:t xml:space="preserve">Recruter et mettre en place une cellule de gestion en appui au point focal pour l’élaboration, </w:t>
      </w:r>
      <w:r>
        <w:t>l’</w:t>
      </w:r>
      <w:r w:rsidRPr="0056497E">
        <w:t>appui technique et le suivi du projet</w:t>
      </w:r>
      <w:r w:rsidR="0053179F">
        <w:t>.</w:t>
      </w:r>
    </w:p>
    <w:p w14:paraId="6347218E" w14:textId="71E0709A" w:rsidR="00646A76" w:rsidRPr="00646A76" w:rsidRDefault="00646A76" w:rsidP="00646A76">
      <w:pPr>
        <w:spacing w:after="0"/>
        <w:rPr>
          <w:rFonts w:ascii="Tw Cen MT" w:hAnsi="Tw Cen MT" w:cs="Arial"/>
        </w:rPr>
      </w:pPr>
      <w:r w:rsidRPr="00646A76">
        <w:rPr>
          <w:rFonts w:ascii="Tw Cen MT" w:hAnsi="Tw Cen MT" w:cs="Arial"/>
        </w:rPr>
        <w:t xml:space="preserve">Actuellement, la requête du Congo est en préparation pour l’accès à la </w:t>
      </w:r>
      <w:r w:rsidR="006718AF">
        <w:rPr>
          <w:rFonts w:ascii="Tw Cen MT" w:hAnsi="Tw Cen MT" w:cs="Arial"/>
        </w:rPr>
        <w:t>deuxième</w:t>
      </w:r>
      <w:r w:rsidRPr="00646A76">
        <w:rPr>
          <w:rFonts w:ascii="Tw Cen MT" w:hAnsi="Tw Cen MT" w:cs="Arial"/>
        </w:rPr>
        <w:t xml:space="preserve"> tranche d’un montant de 700</w:t>
      </w:r>
      <w:r>
        <w:rPr>
          <w:rFonts w:ascii="Tw Cen MT" w:hAnsi="Tw Cen MT" w:cs="Arial"/>
        </w:rPr>
        <w:t xml:space="preserve"> </w:t>
      </w:r>
      <w:r w:rsidRPr="00646A76">
        <w:rPr>
          <w:rFonts w:ascii="Tw Cen MT" w:hAnsi="Tw Cen MT" w:cs="Arial"/>
        </w:rPr>
        <w:t xml:space="preserve">000 </w:t>
      </w:r>
      <w:r>
        <w:rPr>
          <w:rFonts w:ascii="Tw Cen MT" w:hAnsi="Tw Cen MT" w:cs="Arial"/>
        </w:rPr>
        <w:t>USD</w:t>
      </w:r>
      <w:r w:rsidRPr="00646A76">
        <w:rPr>
          <w:rFonts w:ascii="Tw Cen MT" w:hAnsi="Tw Cen MT" w:cs="Arial"/>
        </w:rPr>
        <w:t xml:space="preserve"> pour le financement de deux activités</w:t>
      </w:r>
      <w:r>
        <w:rPr>
          <w:rFonts w:ascii="Tw Cen MT" w:hAnsi="Tw Cen MT" w:cs="Arial"/>
        </w:rPr>
        <w:t xml:space="preserve"> (source : panel d’experts)</w:t>
      </w:r>
      <w:r w:rsidRPr="00646A76">
        <w:rPr>
          <w:rFonts w:ascii="Tw Cen MT" w:hAnsi="Tw Cen MT" w:cs="Arial"/>
        </w:rPr>
        <w:t>:</w:t>
      </w:r>
    </w:p>
    <w:p w14:paraId="3ADF4071" w14:textId="08CDD1FC" w:rsidR="00646A76" w:rsidRPr="00646A76" w:rsidRDefault="00646A76" w:rsidP="00646A76">
      <w:pPr>
        <w:numPr>
          <w:ilvl w:val="1"/>
          <w:numId w:val="52"/>
        </w:numPr>
        <w:tabs>
          <w:tab w:val="clear" w:pos="1440"/>
          <w:tab w:val="num" w:pos="709"/>
        </w:tabs>
        <w:spacing w:after="0"/>
        <w:ind w:left="709" w:hanging="283"/>
        <w:rPr>
          <w:rFonts w:ascii="Tw Cen MT" w:hAnsi="Tw Cen MT" w:cs="Arial"/>
        </w:rPr>
      </w:pPr>
      <w:r w:rsidRPr="00646A76">
        <w:rPr>
          <w:rFonts w:ascii="Tw Cen MT" w:hAnsi="Tw Cen MT" w:cs="Arial"/>
        </w:rPr>
        <w:t xml:space="preserve">Choix, préparation et appui à </w:t>
      </w:r>
      <w:r>
        <w:rPr>
          <w:rFonts w:ascii="Tw Cen MT" w:hAnsi="Tw Cen MT" w:cs="Arial"/>
        </w:rPr>
        <w:t>une ou deux entités nationales accréditées</w:t>
      </w:r>
      <w:r w:rsidRPr="00646A76">
        <w:rPr>
          <w:rFonts w:ascii="Tw Cen MT" w:hAnsi="Tw Cen MT" w:cs="Arial"/>
        </w:rPr>
        <w:t xml:space="preserve"> au </w:t>
      </w:r>
      <w:r>
        <w:rPr>
          <w:rFonts w:ascii="Tw Cen MT" w:hAnsi="Tw Cen MT" w:cs="Arial"/>
        </w:rPr>
        <w:t>FVC ;</w:t>
      </w:r>
    </w:p>
    <w:p w14:paraId="21C37AB4" w14:textId="467189E8" w:rsidR="00646A76" w:rsidRDefault="00646A76" w:rsidP="006718AF">
      <w:pPr>
        <w:numPr>
          <w:ilvl w:val="1"/>
          <w:numId w:val="52"/>
        </w:numPr>
        <w:tabs>
          <w:tab w:val="clear" w:pos="1440"/>
          <w:tab w:val="num" w:pos="709"/>
        </w:tabs>
        <w:spacing w:after="0"/>
        <w:ind w:left="709" w:hanging="283"/>
        <w:rPr>
          <w:rFonts w:ascii="Tw Cen MT" w:hAnsi="Tw Cen MT" w:cs="Arial"/>
        </w:rPr>
      </w:pPr>
      <w:r w:rsidRPr="00646A76">
        <w:rPr>
          <w:rFonts w:ascii="Tw Cen MT" w:hAnsi="Tw Cen MT" w:cs="Arial"/>
        </w:rPr>
        <w:t>Développement d’un pipeline de projets/programmes à soumettre au</w:t>
      </w:r>
      <w:r>
        <w:rPr>
          <w:rFonts w:ascii="Tw Cen MT" w:hAnsi="Tw Cen MT" w:cs="Arial"/>
        </w:rPr>
        <w:t xml:space="preserve"> FVC</w:t>
      </w:r>
      <w:r w:rsidRPr="00646A76">
        <w:rPr>
          <w:rFonts w:ascii="Tw Cen MT" w:hAnsi="Tw Cen MT" w:cs="Arial"/>
        </w:rPr>
        <w:t>.</w:t>
      </w:r>
    </w:p>
    <w:p w14:paraId="0CC459D5" w14:textId="77777777" w:rsidR="006718AF" w:rsidRPr="006718AF" w:rsidRDefault="006718AF" w:rsidP="006718AF">
      <w:pPr>
        <w:spacing w:after="0"/>
        <w:ind w:left="709"/>
        <w:rPr>
          <w:rFonts w:ascii="Tw Cen MT" w:hAnsi="Tw Cen MT" w:cs="Arial"/>
        </w:rPr>
      </w:pPr>
    </w:p>
    <w:p w14:paraId="7AFD5CAC" w14:textId="52268B9D" w:rsidR="00A12DCC" w:rsidRDefault="00BC5CD1" w:rsidP="00DF187B">
      <w:pPr>
        <w:pStyle w:val="Heading5"/>
      </w:pPr>
      <w:r>
        <w:t xml:space="preserve">Le </w:t>
      </w:r>
      <w:r w:rsidR="002F0828">
        <w:t>Fonds po</w:t>
      </w:r>
      <w:r w:rsidR="006B2340">
        <w:t>ur l’Environnement Mondial (FEM)</w:t>
      </w:r>
      <w:r w:rsidR="006B2340">
        <w:rPr>
          <w:rStyle w:val="FootnoteReference"/>
        </w:rPr>
        <w:footnoteReference w:id="30"/>
      </w:r>
    </w:p>
    <w:p w14:paraId="54CF4D95" w14:textId="62242ED1" w:rsidR="00394161" w:rsidRDefault="00394161" w:rsidP="00394161">
      <w:r>
        <w:t>Le FEM, mécanisme financier international, a été établi est 1992 à la suite du somment mondial de la Terre à Rio avec pour objectif de s’attaquer aux problèmes environnementaux à l’échelle mondiale tout en encourageant un développement durable au niveau national. Avec 172 pays membres, le FEM a financé depuis 1992 environ 4 000 projets pour un montant de 14,5 milli</w:t>
      </w:r>
      <w:r w:rsidR="00D75176">
        <w:t>ards</w:t>
      </w:r>
      <w:r>
        <w:t xml:space="preserve"> </w:t>
      </w:r>
      <w:r w:rsidR="00B0444B">
        <w:t>d’USD</w:t>
      </w:r>
      <w:r w:rsidR="00332C0E">
        <w:t xml:space="preserve"> s</w:t>
      </w:r>
      <w:r w:rsidR="00D75176">
        <w:t>ous forme de dons et a mobilisé</w:t>
      </w:r>
      <w:r>
        <w:t xml:space="preserve"> 75,4 milliards </w:t>
      </w:r>
      <w:r w:rsidR="00B0444B">
        <w:t>d’USD</w:t>
      </w:r>
      <w:r>
        <w:t xml:space="preserve"> de financements additionnels.</w:t>
      </w:r>
    </w:p>
    <w:p w14:paraId="0F593E77" w14:textId="3013ADC6" w:rsidR="00394161" w:rsidRDefault="00394161" w:rsidP="00394161">
      <w:r>
        <w:t xml:space="preserve">Le FEM dispose de 18 partenaires opérationnels agréés dont le groupe Banque Mondiale, le FIDA, la BAD, Conservation International, le </w:t>
      </w:r>
      <w:r w:rsidRPr="00332C0E">
        <w:rPr>
          <w:i/>
        </w:rPr>
        <w:t>W</w:t>
      </w:r>
      <w:r w:rsidR="00332C0E" w:rsidRPr="00332C0E">
        <w:rPr>
          <w:i/>
        </w:rPr>
        <w:t xml:space="preserve">orld </w:t>
      </w:r>
      <w:proofErr w:type="spellStart"/>
      <w:r w:rsidRPr="00332C0E">
        <w:rPr>
          <w:i/>
        </w:rPr>
        <w:t>W</w:t>
      </w:r>
      <w:r w:rsidR="00332C0E" w:rsidRPr="00332C0E">
        <w:rPr>
          <w:i/>
        </w:rPr>
        <w:t>ildlife</w:t>
      </w:r>
      <w:proofErr w:type="spellEnd"/>
      <w:r w:rsidR="00332C0E" w:rsidRPr="00332C0E">
        <w:rPr>
          <w:i/>
        </w:rPr>
        <w:t xml:space="preserve"> </w:t>
      </w:r>
      <w:proofErr w:type="spellStart"/>
      <w:r w:rsidRPr="00332C0E">
        <w:rPr>
          <w:i/>
        </w:rPr>
        <w:t>F</w:t>
      </w:r>
      <w:r w:rsidR="00332C0E" w:rsidRPr="00332C0E">
        <w:rPr>
          <w:i/>
        </w:rPr>
        <w:t>und</w:t>
      </w:r>
      <w:proofErr w:type="spellEnd"/>
      <w:r w:rsidR="00332C0E">
        <w:t xml:space="preserve"> (WWF)</w:t>
      </w:r>
      <w:r>
        <w:t>, le PNUE, le PNUD, l’U</w:t>
      </w:r>
      <w:r w:rsidR="00332C0E">
        <w:t>nion Internationale pour la Conservation de la Nature (UICN)</w:t>
      </w:r>
      <w:r>
        <w:t xml:space="preserve"> et la </w:t>
      </w:r>
      <w:r w:rsidRPr="00332C0E">
        <w:rPr>
          <w:i/>
        </w:rPr>
        <w:t>F</w:t>
      </w:r>
      <w:r w:rsidR="00332C0E" w:rsidRPr="00332C0E">
        <w:rPr>
          <w:i/>
        </w:rPr>
        <w:t xml:space="preserve">ood </w:t>
      </w:r>
      <w:r w:rsidR="00332C0E">
        <w:rPr>
          <w:i/>
        </w:rPr>
        <w:t xml:space="preserve">and </w:t>
      </w:r>
      <w:r w:rsidRPr="00332C0E">
        <w:rPr>
          <w:i/>
        </w:rPr>
        <w:t>A</w:t>
      </w:r>
      <w:r w:rsidR="00332C0E" w:rsidRPr="00332C0E">
        <w:rPr>
          <w:i/>
        </w:rPr>
        <w:t xml:space="preserve">griculture </w:t>
      </w:r>
      <w:proofErr w:type="spellStart"/>
      <w:r w:rsidRPr="00332C0E">
        <w:rPr>
          <w:i/>
        </w:rPr>
        <w:t>O</w:t>
      </w:r>
      <w:r w:rsidR="00332C0E" w:rsidRPr="00332C0E">
        <w:rPr>
          <w:i/>
        </w:rPr>
        <w:t>rganization</w:t>
      </w:r>
      <w:proofErr w:type="spellEnd"/>
      <w:r w:rsidR="00332C0E">
        <w:t xml:space="preserve"> (FAO)</w:t>
      </w:r>
      <w:r>
        <w:t>.</w:t>
      </w:r>
    </w:p>
    <w:p w14:paraId="178C1B4B" w14:textId="616D8250" w:rsidR="006B2340" w:rsidRDefault="006B2340" w:rsidP="00394161">
      <w:r>
        <w:t xml:space="preserve">Concernant plus particulièrement la République du Congo, 15 projets nationaux et 21 projets régionaux et globaux ont été approuvés par le FEM pour un montant total de, respectivement, 19,4 et 182 millions </w:t>
      </w:r>
      <w:r w:rsidR="00B0444B">
        <w:t>d’USD</w:t>
      </w:r>
      <w:r>
        <w:t xml:space="preserve"> de dons.</w:t>
      </w:r>
    </w:p>
    <w:p w14:paraId="22395F36" w14:textId="7F850C28" w:rsidR="00456F19" w:rsidRDefault="005E3947" w:rsidP="00394161">
      <w:r>
        <w:lastRenderedPageBreak/>
        <w:t xml:space="preserve">En 2008, le FEM a approuvé la mise en œuvre d’un programme stratégique pour la gestion durable des forêts du Bassin du Congo (CBSP) porté par la Banque Mondiale avec le PNUE, PNUD, FAO et la BAD. Le programme était destiné à financer des initiatives régionales et nationales dans les 6 pays du Bassin du Congo pour un montant total de 200,7 millions </w:t>
      </w:r>
      <w:r w:rsidR="00B0444B">
        <w:t>d’USD</w:t>
      </w:r>
      <w:r>
        <w:t xml:space="preserve"> dont 54,7 de participation du FEM. Parmi les activités du CBSP, on peut citer le projet de gestion des mangroves, zones </w:t>
      </w:r>
      <w:r w:rsidR="004B05F0">
        <w:t>humides</w:t>
      </w:r>
      <w:r>
        <w:t xml:space="preserve"> et écosystèmes forestiers au Congo (0,4 millions </w:t>
      </w:r>
      <w:r w:rsidR="00B0444B">
        <w:t>d’USD</w:t>
      </w:r>
      <w:r>
        <w:t xml:space="preserve">), de financement durable du système d’aires protégées du Bassin du Congo (58,8 millions), de gestion de la faune et de la viande de brousse dans le Bassin du Congo (10,2 millions), de renforcement des capacités institutionnelles sur le REDD+ (26,2 millions), </w:t>
      </w:r>
      <w:r w:rsidR="00332C0E">
        <w:t xml:space="preserve">de </w:t>
      </w:r>
      <w:r>
        <w:t>gestion durable des ressources en bois (9,3 millions) et de renforcement des capacités sur la gestion durable des forêts du Bassin du Congo</w:t>
      </w:r>
      <w:r w:rsidR="004B05F0">
        <w:t xml:space="preserve"> (1,9 millions)</w:t>
      </w:r>
      <w:r>
        <w:t xml:space="preserve">. </w:t>
      </w:r>
    </w:p>
    <w:p w14:paraId="6BF07D62" w14:textId="2E305FC1" w:rsidR="00295F23" w:rsidRDefault="00456F19" w:rsidP="00394161">
      <w:r>
        <w:t xml:space="preserve">En plus du programme de gestion forestière durable dans le Bassin du Congo et </w:t>
      </w:r>
      <w:r w:rsidR="00332C0E">
        <w:t>e</w:t>
      </w:r>
      <w:r w:rsidR="00295F23">
        <w:t xml:space="preserve">n lien </w:t>
      </w:r>
      <w:r w:rsidR="00E40BCE">
        <w:t>direct</w:t>
      </w:r>
      <w:r w:rsidR="00295F23">
        <w:t xml:space="preserve"> avec les activités de la stratégie REDD+, on peut citer</w:t>
      </w:r>
      <w:r>
        <w:t xml:space="preserve"> les projets suivants</w:t>
      </w:r>
      <w:r w:rsidR="00295F23">
        <w:t> :</w:t>
      </w:r>
    </w:p>
    <w:tbl>
      <w:tblPr>
        <w:tblStyle w:val="TableauGrille4-Accentuation13"/>
        <w:tblW w:w="0" w:type="auto"/>
        <w:jc w:val="center"/>
        <w:tblLayout w:type="fixed"/>
        <w:tblLook w:val="04A0" w:firstRow="1" w:lastRow="0" w:firstColumn="1" w:lastColumn="0" w:noHBand="0" w:noVBand="1"/>
      </w:tblPr>
      <w:tblGrid>
        <w:gridCol w:w="1101"/>
        <w:gridCol w:w="2479"/>
        <w:gridCol w:w="1441"/>
        <w:gridCol w:w="1536"/>
        <w:gridCol w:w="1559"/>
        <w:gridCol w:w="1028"/>
      </w:tblGrid>
      <w:tr w:rsidR="00295F23" w:rsidRPr="00295F23" w14:paraId="57E5DD0E" w14:textId="77777777" w:rsidTr="00BA65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BDF4BF5" w14:textId="3DE451FC" w:rsidR="00295F23" w:rsidRPr="00295F23" w:rsidRDefault="00295F23" w:rsidP="00295F23">
            <w:pPr>
              <w:spacing w:after="0"/>
              <w:jc w:val="center"/>
              <w:rPr>
                <w:sz w:val="20"/>
                <w:szCs w:val="20"/>
              </w:rPr>
            </w:pPr>
            <w:r w:rsidRPr="00295F23">
              <w:rPr>
                <w:sz w:val="20"/>
                <w:szCs w:val="20"/>
              </w:rPr>
              <w:t>Portée</w:t>
            </w:r>
          </w:p>
        </w:tc>
        <w:tc>
          <w:tcPr>
            <w:tcW w:w="2479" w:type="dxa"/>
            <w:vAlign w:val="center"/>
          </w:tcPr>
          <w:p w14:paraId="2071D1A5" w14:textId="1F08DAC9" w:rsidR="00295F23" w:rsidRPr="00295F23" w:rsidRDefault="00E40BCE" w:rsidP="00295F2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w:t>
            </w:r>
            <w:r w:rsidR="00295F23" w:rsidRPr="00295F23">
              <w:rPr>
                <w:sz w:val="20"/>
                <w:szCs w:val="20"/>
              </w:rPr>
              <w:t>rojet</w:t>
            </w:r>
          </w:p>
        </w:tc>
        <w:tc>
          <w:tcPr>
            <w:tcW w:w="1441" w:type="dxa"/>
            <w:vAlign w:val="center"/>
          </w:tcPr>
          <w:p w14:paraId="49846B80" w14:textId="29337563" w:rsidR="00295F23" w:rsidRPr="00295F23" w:rsidRDefault="00295F23" w:rsidP="00295F2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5F23">
              <w:rPr>
                <w:sz w:val="20"/>
                <w:szCs w:val="20"/>
              </w:rPr>
              <w:t>Agence d’implantation</w:t>
            </w:r>
          </w:p>
        </w:tc>
        <w:tc>
          <w:tcPr>
            <w:tcW w:w="1536" w:type="dxa"/>
            <w:vAlign w:val="center"/>
          </w:tcPr>
          <w:p w14:paraId="5A889AEC" w14:textId="77777777" w:rsidR="00295F23" w:rsidRPr="00295F23" w:rsidRDefault="00295F23" w:rsidP="00295F2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5F23">
              <w:rPr>
                <w:sz w:val="20"/>
                <w:szCs w:val="20"/>
              </w:rPr>
              <w:t>Dons FEM</w:t>
            </w:r>
          </w:p>
          <w:p w14:paraId="781CEF0E" w14:textId="45AC4094" w:rsidR="00295F23" w:rsidRPr="00295F23" w:rsidRDefault="00295F23" w:rsidP="00295F2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5F23">
              <w:rPr>
                <w:sz w:val="20"/>
                <w:szCs w:val="20"/>
              </w:rPr>
              <w:t>(millions USD)</w:t>
            </w:r>
          </w:p>
        </w:tc>
        <w:tc>
          <w:tcPr>
            <w:tcW w:w="1559" w:type="dxa"/>
            <w:vAlign w:val="center"/>
          </w:tcPr>
          <w:p w14:paraId="4FB211B8" w14:textId="77777777" w:rsidR="00295F23" w:rsidRPr="00295F23" w:rsidRDefault="00295F23" w:rsidP="00295F2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5F23">
              <w:rPr>
                <w:sz w:val="20"/>
                <w:szCs w:val="20"/>
              </w:rPr>
              <w:t>Cofinancement</w:t>
            </w:r>
          </w:p>
          <w:p w14:paraId="090BD8F6" w14:textId="7D5EAAFD" w:rsidR="00295F23" w:rsidRPr="00295F23" w:rsidRDefault="00295F23" w:rsidP="00295F2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5F23">
              <w:rPr>
                <w:sz w:val="20"/>
                <w:szCs w:val="20"/>
              </w:rPr>
              <w:t>(millions USD)</w:t>
            </w:r>
          </w:p>
        </w:tc>
        <w:tc>
          <w:tcPr>
            <w:tcW w:w="1028" w:type="dxa"/>
            <w:vAlign w:val="center"/>
          </w:tcPr>
          <w:p w14:paraId="268F05FF" w14:textId="3DBB6E70" w:rsidR="00295F23" w:rsidRPr="00295F23" w:rsidRDefault="00295F23" w:rsidP="00295F2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295F23">
              <w:rPr>
                <w:sz w:val="20"/>
                <w:szCs w:val="20"/>
              </w:rPr>
              <w:t>Statut</w:t>
            </w:r>
          </w:p>
        </w:tc>
      </w:tr>
      <w:tr w:rsidR="00295F23" w:rsidRPr="00295F23" w14:paraId="7AC377F3" w14:textId="77777777" w:rsidTr="00BA65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285E3EA0" w14:textId="769EB4E9" w:rsidR="00295F23" w:rsidRPr="004B05F0" w:rsidRDefault="00295F23" w:rsidP="004B05F0">
            <w:pPr>
              <w:spacing w:after="0"/>
              <w:jc w:val="left"/>
              <w:rPr>
                <w:sz w:val="20"/>
                <w:szCs w:val="20"/>
              </w:rPr>
            </w:pPr>
            <w:r w:rsidRPr="004B05F0">
              <w:rPr>
                <w:sz w:val="20"/>
                <w:szCs w:val="20"/>
              </w:rPr>
              <w:t>Nationale</w:t>
            </w:r>
          </w:p>
        </w:tc>
        <w:tc>
          <w:tcPr>
            <w:tcW w:w="2479" w:type="dxa"/>
            <w:vAlign w:val="center"/>
          </w:tcPr>
          <w:p w14:paraId="4295401D" w14:textId="1E507545" w:rsidR="00295F23" w:rsidRPr="004B05F0" w:rsidRDefault="00E40BCE" w:rsidP="004B05F0">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4B05F0">
              <w:rPr>
                <w:sz w:val="20"/>
                <w:szCs w:val="20"/>
              </w:rPr>
              <w:t>Projet de conservation et gestion des aires protégées</w:t>
            </w:r>
          </w:p>
        </w:tc>
        <w:tc>
          <w:tcPr>
            <w:tcW w:w="1441" w:type="dxa"/>
            <w:vAlign w:val="center"/>
          </w:tcPr>
          <w:p w14:paraId="72C97704" w14:textId="0FAF8A7F" w:rsidR="00295F23" w:rsidRPr="00295F23" w:rsidRDefault="00E40BCE" w:rsidP="004B05F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Banque Mondiale</w:t>
            </w:r>
          </w:p>
        </w:tc>
        <w:tc>
          <w:tcPr>
            <w:tcW w:w="1536" w:type="dxa"/>
            <w:vAlign w:val="center"/>
          </w:tcPr>
          <w:p w14:paraId="35E7D688" w14:textId="5C60E6FA" w:rsidR="00295F23" w:rsidRPr="00295F23" w:rsidRDefault="00E40BCE" w:rsidP="004B05F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1559" w:type="dxa"/>
            <w:vAlign w:val="center"/>
          </w:tcPr>
          <w:p w14:paraId="1A1DDF79" w14:textId="0C89F18B" w:rsidR="00295F23" w:rsidRPr="00295F23" w:rsidRDefault="00E40BCE" w:rsidP="004B05F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p>
        </w:tc>
        <w:tc>
          <w:tcPr>
            <w:tcW w:w="1028" w:type="dxa"/>
            <w:vAlign w:val="center"/>
          </w:tcPr>
          <w:p w14:paraId="0712E40D" w14:textId="23042A7A" w:rsidR="00295F23" w:rsidRPr="00295F23" w:rsidRDefault="00E40BCE" w:rsidP="004B05F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Terminé</w:t>
            </w:r>
          </w:p>
        </w:tc>
      </w:tr>
      <w:tr w:rsidR="00295F23" w:rsidRPr="00295F23" w14:paraId="3758ACE6" w14:textId="77777777" w:rsidTr="00BA65C9">
        <w:trPr>
          <w:jc w:val="center"/>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7DD8C14" w14:textId="1F360A1A" w:rsidR="00295F23" w:rsidRPr="004B05F0" w:rsidRDefault="00456F19" w:rsidP="004B05F0">
            <w:pPr>
              <w:spacing w:after="0"/>
              <w:jc w:val="left"/>
              <w:rPr>
                <w:sz w:val="20"/>
                <w:szCs w:val="20"/>
              </w:rPr>
            </w:pPr>
            <w:r w:rsidRPr="004B05F0">
              <w:rPr>
                <w:sz w:val="20"/>
                <w:szCs w:val="20"/>
              </w:rPr>
              <w:t>Nationale</w:t>
            </w:r>
          </w:p>
        </w:tc>
        <w:tc>
          <w:tcPr>
            <w:tcW w:w="2479" w:type="dxa"/>
            <w:vAlign w:val="center"/>
          </w:tcPr>
          <w:p w14:paraId="4953BD32" w14:textId="7DDD2CC4" w:rsidR="00295F23" w:rsidRPr="004B05F0" w:rsidRDefault="00E40BCE" w:rsidP="004B05F0">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4B05F0">
              <w:rPr>
                <w:sz w:val="20"/>
                <w:szCs w:val="20"/>
              </w:rPr>
              <w:t>Electrification rural – mini réseau de distribution d’énergie hydraulique</w:t>
            </w:r>
          </w:p>
        </w:tc>
        <w:tc>
          <w:tcPr>
            <w:tcW w:w="1441" w:type="dxa"/>
            <w:vAlign w:val="center"/>
          </w:tcPr>
          <w:p w14:paraId="2C8E1084" w14:textId="290B550A" w:rsidR="00295F23" w:rsidRPr="00295F23" w:rsidRDefault="00E40BCE" w:rsidP="004B05F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PNUD</w:t>
            </w:r>
          </w:p>
        </w:tc>
        <w:tc>
          <w:tcPr>
            <w:tcW w:w="1536" w:type="dxa"/>
            <w:vAlign w:val="center"/>
          </w:tcPr>
          <w:p w14:paraId="611C5A43" w14:textId="32CA2199" w:rsidR="00295F23" w:rsidRPr="00295F23" w:rsidRDefault="00E40BCE" w:rsidP="004B05F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w:t>
            </w:r>
          </w:p>
        </w:tc>
        <w:tc>
          <w:tcPr>
            <w:tcW w:w="1559" w:type="dxa"/>
            <w:vAlign w:val="center"/>
          </w:tcPr>
          <w:p w14:paraId="17BFB307" w14:textId="0F77B091" w:rsidR="00295F23" w:rsidRPr="00295F23" w:rsidRDefault="00E40BCE" w:rsidP="004B05F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13,5</w:t>
            </w:r>
          </w:p>
        </w:tc>
        <w:tc>
          <w:tcPr>
            <w:tcW w:w="1028" w:type="dxa"/>
            <w:vAlign w:val="center"/>
          </w:tcPr>
          <w:p w14:paraId="3043E298" w14:textId="7DBD772D" w:rsidR="00295F23" w:rsidRPr="00295F23" w:rsidRDefault="00E40BCE" w:rsidP="004B05F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Approuvé</w:t>
            </w:r>
          </w:p>
        </w:tc>
      </w:tr>
      <w:tr w:rsidR="00295F23" w:rsidRPr="00295F23" w14:paraId="49E15C0A" w14:textId="77777777" w:rsidTr="00BA65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FEDB890" w14:textId="772E57D7" w:rsidR="00295F23" w:rsidRPr="004B05F0" w:rsidRDefault="00456F19" w:rsidP="004B05F0">
            <w:pPr>
              <w:spacing w:after="0"/>
              <w:jc w:val="left"/>
              <w:rPr>
                <w:sz w:val="20"/>
                <w:szCs w:val="20"/>
              </w:rPr>
            </w:pPr>
            <w:r w:rsidRPr="004B05F0">
              <w:rPr>
                <w:sz w:val="20"/>
                <w:szCs w:val="20"/>
              </w:rPr>
              <w:t>Nationale</w:t>
            </w:r>
          </w:p>
        </w:tc>
        <w:tc>
          <w:tcPr>
            <w:tcW w:w="2479" w:type="dxa"/>
            <w:vAlign w:val="center"/>
          </w:tcPr>
          <w:p w14:paraId="3DCE5151" w14:textId="653A50CA" w:rsidR="00295F23" w:rsidRPr="004B05F0" w:rsidRDefault="00E40BCE" w:rsidP="004B05F0">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4B05F0">
              <w:rPr>
                <w:sz w:val="20"/>
                <w:szCs w:val="20"/>
              </w:rPr>
              <w:t xml:space="preserve">Appui à la création du complexe de </w:t>
            </w:r>
            <w:proofErr w:type="spellStart"/>
            <w:r w:rsidRPr="004B05F0">
              <w:rPr>
                <w:sz w:val="20"/>
                <w:szCs w:val="20"/>
              </w:rPr>
              <w:t>Conkouati</w:t>
            </w:r>
            <w:proofErr w:type="spellEnd"/>
            <w:r w:rsidRPr="004B05F0">
              <w:rPr>
                <w:sz w:val="20"/>
                <w:szCs w:val="20"/>
              </w:rPr>
              <w:t xml:space="preserve"> </w:t>
            </w:r>
            <w:proofErr w:type="spellStart"/>
            <w:r w:rsidRPr="004B05F0">
              <w:rPr>
                <w:sz w:val="20"/>
                <w:szCs w:val="20"/>
              </w:rPr>
              <w:t>Dimonika</w:t>
            </w:r>
            <w:proofErr w:type="spellEnd"/>
            <w:r w:rsidRPr="004B05F0">
              <w:rPr>
                <w:sz w:val="20"/>
                <w:szCs w:val="20"/>
              </w:rPr>
              <w:t xml:space="preserve"> </w:t>
            </w:r>
          </w:p>
        </w:tc>
        <w:tc>
          <w:tcPr>
            <w:tcW w:w="1441" w:type="dxa"/>
            <w:vAlign w:val="center"/>
          </w:tcPr>
          <w:p w14:paraId="2F126492" w14:textId="093A3C1D" w:rsidR="00295F23" w:rsidRPr="00295F23" w:rsidRDefault="00E40BCE" w:rsidP="004B05F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PNUE</w:t>
            </w:r>
          </w:p>
        </w:tc>
        <w:tc>
          <w:tcPr>
            <w:tcW w:w="1536" w:type="dxa"/>
            <w:vAlign w:val="center"/>
          </w:tcPr>
          <w:p w14:paraId="6FA90E33" w14:textId="1A20D923" w:rsidR="00295F23" w:rsidRPr="00295F23" w:rsidRDefault="00E40BCE" w:rsidP="004B05F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w:t>
            </w:r>
          </w:p>
        </w:tc>
        <w:tc>
          <w:tcPr>
            <w:tcW w:w="1559" w:type="dxa"/>
            <w:vAlign w:val="center"/>
          </w:tcPr>
          <w:p w14:paraId="4392C093" w14:textId="7936DAD2" w:rsidR="00295F23" w:rsidRPr="00295F23" w:rsidRDefault="00E40BCE" w:rsidP="004B05F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1028" w:type="dxa"/>
            <w:vAlign w:val="center"/>
          </w:tcPr>
          <w:p w14:paraId="6FF29F97" w14:textId="48759297" w:rsidR="00295F23" w:rsidRPr="00295F23" w:rsidRDefault="00E40BCE" w:rsidP="004B05F0">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Approuvé</w:t>
            </w:r>
          </w:p>
        </w:tc>
      </w:tr>
      <w:tr w:rsidR="00295F23" w:rsidRPr="00295F23" w14:paraId="0640BCDE" w14:textId="77777777" w:rsidTr="00BA65C9">
        <w:trPr>
          <w:jc w:val="center"/>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594D2F5" w14:textId="28DB4823" w:rsidR="00295F23" w:rsidRPr="004B05F0" w:rsidRDefault="00E40BCE" w:rsidP="004B05F0">
            <w:pPr>
              <w:spacing w:after="0"/>
              <w:jc w:val="left"/>
              <w:rPr>
                <w:sz w:val="20"/>
                <w:szCs w:val="20"/>
              </w:rPr>
            </w:pPr>
            <w:r w:rsidRPr="004B05F0">
              <w:rPr>
                <w:sz w:val="20"/>
                <w:szCs w:val="20"/>
              </w:rPr>
              <w:t>Régional (Gabon, Cameroun</w:t>
            </w:r>
            <w:r w:rsidR="004B05F0">
              <w:rPr>
                <w:sz w:val="20"/>
                <w:szCs w:val="20"/>
              </w:rPr>
              <w:t>,</w:t>
            </w:r>
            <w:r w:rsidR="004B05F0" w:rsidRPr="004B05F0">
              <w:rPr>
                <w:sz w:val="20"/>
                <w:szCs w:val="20"/>
              </w:rPr>
              <w:t xml:space="preserve"> </w:t>
            </w:r>
            <w:r w:rsidR="004B05F0">
              <w:rPr>
                <w:sz w:val="20"/>
                <w:szCs w:val="20"/>
              </w:rPr>
              <w:t>Congo</w:t>
            </w:r>
            <w:r w:rsidRPr="004B05F0">
              <w:rPr>
                <w:sz w:val="20"/>
                <w:szCs w:val="20"/>
              </w:rPr>
              <w:t>)</w:t>
            </w:r>
          </w:p>
        </w:tc>
        <w:tc>
          <w:tcPr>
            <w:tcW w:w="2479" w:type="dxa"/>
            <w:vAlign w:val="center"/>
          </w:tcPr>
          <w:p w14:paraId="196DED5A" w14:textId="73F0F43B" w:rsidR="00295F23" w:rsidRPr="004B05F0" w:rsidRDefault="00E40BCE" w:rsidP="004B05F0">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4B05F0">
              <w:rPr>
                <w:sz w:val="20"/>
                <w:szCs w:val="20"/>
              </w:rPr>
              <w:t xml:space="preserve">Gestion de la zone transfrontalière </w:t>
            </w:r>
            <w:proofErr w:type="spellStart"/>
            <w:r w:rsidRPr="004B05F0">
              <w:rPr>
                <w:sz w:val="20"/>
                <w:szCs w:val="20"/>
              </w:rPr>
              <w:t>Minkebe</w:t>
            </w:r>
            <w:proofErr w:type="spellEnd"/>
            <w:r w:rsidRPr="004B05F0">
              <w:rPr>
                <w:sz w:val="20"/>
                <w:szCs w:val="20"/>
              </w:rPr>
              <w:t>-</w:t>
            </w:r>
            <w:proofErr w:type="spellStart"/>
            <w:r w:rsidRPr="004B05F0">
              <w:rPr>
                <w:sz w:val="20"/>
                <w:szCs w:val="20"/>
              </w:rPr>
              <w:t>Odzala</w:t>
            </w:r>
            <w:proofErr w:type="spellEnd"/>
            <w:r w:rsidRPr="004B05F0">
              <w:rPr>
                <w:sz w:val="20"/>
                <w:szCs w:val="20"/>
              </w:rPr>
              <w:t>-Dja</w:t>
            </w:r>
          </w:p>
        </w:tc>
        <w:tc>
          <w:tcPr>
            <w:tcW w:w="1441" w:type="dxa"/>
            <w:vAlign w:val="center"/>
          </w:tcPr>
          <w:p w14:paraId="29376233" w14:textId="7DD6787C" w:rsidR="00295F23" w:rsidRPr="00295F23" w:rsidRDefault="00E40BCE" w:rsidP="004B05F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PNUD</w:t>
            </w:r>
          </w:p>
        </w:tc>
        <w:tc>
          <w:tcPr>
            <w:tcW w:w="1536" w:type="dxa"/>
            <w:vAlign w:val="center"/>
          </w:tcPr>
          <w:p w14:paraId="4CBF0376" w14:textId="27D93365" w:rsidR="00295F23" w:rsidRPr="00295F23" w:rsidRDefault="00E40BCE" w:rsidP="004B05F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20,8</w:t>
            </w:r>
          </w:p>
        </w:tc>
        <w:tc>
          <w:tcPr>
            <w:tcW w:w="1559" w:type="dxa"/>
            <w:vAlign w:val="center"/>
          </w:tcPr>
          <w:p w14:paraId="56F4A3E7" w14:textId="52957764" w:rsidR="00295F23" w:rsidRPr="00295F23" w:rsidRDefault="00E40BCE" w:rsidP="004B05F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33,8</w:t>
            </w:r>
          </w:p>
        </w:tc>
        <w:tc>
          <w:tcPr>
            <w:tcW w:w="1028" w:type="dxa"/>
            <w:vAlign w:val="center"/>
          </w:tcPr>
          <w:p w14:paraId="0240AD30" w14:textId="5D417EBA" w:rsidR="00295F23" w:rsidRPr="00295F23" w:rsidRDefault="00456F19" w:rsidP="004B05F0">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 cours</w:t>
            </w:r>
          </w:p>
        </w:tc>
      </w:tr>
    </w:tbl>
    <w:p w14:paraId="09ABB291" w14:textId="7A84848D" w:rsidR="00295F23" w:rsidRDefault="00456F19" w:rsidP="00456F19">
      <w:pPr>
        <w:pStyle w:val="Caption"/>
      </w:pPr>
      <w:bookmarkStart w:id="29" w:name="_Toc454886802"/>
      <w:r>
        <w:t xml:space="preserve">Tableau </w:t>
      </w:r>
      <w:r>
        <w:fldChar w:fldCharType="begin"/>
      </w:r>
      <w:r>
        <w:instrText xml:space="preserve"> SEQ Tableau \* ARABIC </w:instrText>
      </w:r>
      <w:r>
        <w:fldChar w:fldCharType="separate"/>
      </w:r>
      <w:r w:rsidR="0080491D">
        <w:rPr>
          <w:noProof/>
        </w:rPr>
        <w:t>3</w:t>
      </w:r>
      <w:r>
        <w:fldChar w:fldCharType="end"/>
      </w:r>
      <w:r>
        <w:t>: Projets cofinancés par le FEM en République du Congo et dans la région (source : site du FEM)</w:t>
      </w:r>
      <w:bookmarkEnd w:id="29"/>
    </w:p>
    <w:p w14:paraId="33BF1CD5" w14:textId="428DBD75" w:rsidR="00732970" w:rsidRDefault="00E454CC" w:rsidP="00E454CC">
      <w:r>
        <w:t xml:space="preserve">Selon le rapport de progression </w:t>
      </w:r>
      <w:r w:rsidR="00332C0E">
        <w:t xml:space="preserve">annuel REDD+ 2014-2015, le </w:t>
      </w:r>
      <w:r w:rsidR="00237A90">
        <w:t>FEM</w:t>
      </w:r>
      <w:r w:rsidR="00332C0E">
        <w:t xml:space="preserve"> doit également accorder</w:t>
      </w:r>
      <w:r>
        <w:t xml:space="preserve"> un financement de 6 millions </w:t>
      </w:r>
      <w:r w:rsidR="00B0444B">
        <w:t>d’USD</w:t>
      </w:r>
      <w:r>
        <w:t xml:space="preserve"> pour la mise en œuvre des activités du programme de Réduction d’émissions du Nord Congo</w:t>
      </w:r>
      <w:r>
        <w:rPr>
          <w:rStyle w:val="FootnoteReference"/>
        </w:rPr>
        <w:footnoteReference w:id="31"/>
      </w:r>
      <w:r w:rsidR="00332C0E">
        <w:t xml:space="preserve">. </w:t>
      </w:r>
    </w:p>
    <w:p w14:paraId="45C1F4D1" w14:textId="52A9F9BC" w:rsidR="00732970" w:rsidRDefault="00732970" w:rsidP="00E454CC">
      <w:r>
        <w:t xml:space="preserve">Dans le cadre du </w:t>
      </w:r>
      <w:r w:rsidR="00237A90">
        <w:t>FEM</w:t>
      </w:r>
      <w:r>
        <w:t xml:space="preserve">, deux fonds climatiques spéciaux ont été mis en place à savoir le </w:t>
      </w:r>
      <w:r w:rsidR="004B40CC">
        <w:t>Fonds Spécial pour le Changement Climatique (</w:t>
      </w:r>
      <w:proofErr w:type="spellStart"/>
      <w:r w:rsidR="004B40CC" w:rsidRPr="00332C0E">
        <w:rPr>
          <w:i/>
        </w:rPr>
        <w:t>Special</w:t>
      </w:r>
      <w:proofErr w:type="spellEnd"/>
      <w:r w:rsidR="004B40CC" w:rsidRPr="00332C0E">
        <w:rPr>
          <w:i/>
        </w:rPr>
        <w:t xml:space="preserve"> </w:t>
      </w:r>
      <w:proofErr w:type="spellStart"/>
      <w:r w:rsidR="004B40CC" w:rsidRPr="00332C0E">
        <w:rPr>
          <w:i/>
        </w:rPr>
        <w:t>Climate</w:t>
      </w:r>
      <w:proofErr w:type="spellEnd"/>
      <w:r w:rsidR="004B40CC" w:rsidRPr="00332C0E">
        <w:rPr>
          <w:i/>
        </w:rPr>
        <w:t xml:space="preserve"> Change </w:t>
      </w:r>
      <w:proofErr w:type="spellStart"/>
      <w:r w:rsidR="004B40CC" w:rsidRPr="00332C0E">
        <w:rPr>
          <w:i/>
        </w:rPr>
        <w:t>Fund</w:t>
      </w:r>
      <w:proofErr w:type="spellEnd"/>
      <w:r w:rsidR="004B40CC" w:rsidRPr="00332C0E">
        <w:rPr>
          <w:i/>
        </w:rPr>
        <w:t xml:space="preserve"> </w:t>
      </w:r>
      <w:r w:rsidR="004B40CC">
        <w:t xml:space="preserve">– SCCF) accessible à tous les pays non </w:t>
      </w:r>
      <w:proofErr w:type="spellStart"/>
      <w:r w:rsidR="004B40CC">
        <w:t>anexes</w:t>
      </w:r>
      <w:proofErr w:type="spellEnd"/>
      <w:r w:rsidR="004B40CC">
        <w:t xml:space="preserve"> 1 du protocole de Kyoto et le Fonds pour les pays les moins avancés (</w:t>
      </w:r>
      <w:r w:rsidR="004B40CC" w:rsidRPr="00332C0E">
        <w:rPr>
          <w:i/>
        </w:rPr>
        <w:t xml:space="preserve">Least </w:t>
      </w:r>
      <w:proofErr w:type="spellStart"/>
      <w:r w:rsidR="004B40CC" w:rsidRPr="00332C0E">
        <w:rPr>
          <w:i/>
        </w:rPr>
        <w:t>Developed</w:t>
      </w:r>
      <w:proofErr w:type="spellEnd"/>
      <w:r w:rsidR="004B40CC" w:rsidRPr="00332C0E">
        <w:rPr>
          <w:i/>
        </w:rPr>
        <w:t xml:space="preserve"> Countries </w:t>
      </w:r>
      <w:proofErr w:type="spellStart"/>
      <w:r w:rsidR="004B40CC" w:rsidRPr="00332C0E">
        <w:rPr>
          <w:i/>
        </w:rPr>
        <w:t>Fund</w:t>
      </w:r>
      <w:proofErr w:type="spellEnd"/>
      <w:r w:rsidR="004B40CC">
        <w:t xml:space="preserve"> - LDCF).</w:t>
      </w:r>
    </w:p>
    <w:p w14:paraId="3EAB5E58" w14:textId="67FBA9FD" w:rsidR="004B40CC" w:rsidRDefault="004B40CC" w:rsidP="008B0EB3">
      <w:pPr>
        <w:pStyle w:val="ListParagraph"/>
        <w:numPr>
          <w:ilvl w:val="0"/>
          <w:numId w:val="22"/>
        </w:numPr>
        <w:rPr>
          <w:color w:val="548AB7" w:themeColor="accent1" w:themeShade="BF"/>
        </w:rPr>
      </w:pPr>
      <w:r w:rsidRPr="004B40CC">
        <w:rPr>
          <w:color w:val="548AB7" w:themeColor="accent1" w:themeShade="BF"/>
        </w:rPr>
        <w:t xml:space="preserve"> Fonds Spécial pour le Changement Climatique (SCCF)</w:t>
      </w:r>
    </w:p>
    <w:p w14:paraId="663E0E15" w14:textId="54C130BF" w:rsidR="00F4595F" w:rsidRPr="001E5724" w:rsidRDefault="00F4595F" w:rsidP="00F4595F">
      <w:r w:rsidRPr="001E5724">
        <w:t>Opérationnel depuis 2002, le SCCF</w:t>
      </w:r>
      <w:r w:rsidR="001E5724" w:rsidRPr="001E5724">
        <w:t xml:space="preserve"> vise à</w:t>
      </w:r>
      <w:r w:rsidRPr="001E5724">
        <w:t xml:space="preserve"> appuyer le financement de projets en lien avec l’adaptation et les transferts de technologies dans les PED</w:t>
      </w:r>
      <w:r w:rsidR="00C31F60">
        <w:t xml:space="preserve"> en priorité mais également l’atténuation (dans les secteurs de l’énergie, transport, industrie, déchets, agriculture et forêt) et la diversification économique</w:t>
      </w:r>
      <w:r w:rsidRPr="001E5724">
        <w:t>.</w:t>
      </w:r>
      <w:r w:rsidR="001E5724" w:rsidRPr="001E5724">
        <w:t xml:space="preserve"> Aujou</w:t>
      </w:r>
      <w:r w:rsidR="00865E2A">
        <w:t>r</w:t>
      </w:r>
      <w:r w:rsidR="00332C0E">
        <w:t>d’hui, l</w:t>
      </w:r>
      <w:r w:rsidR="001E5724" w:rsidRPr="001E5724">
        <w:t>e SCCF</w:t>
      </w:r>
      <w:r w:rsidRPr="001E5724">
        <w:t xml:space="preserve"> a approuvé 54 projets nationaux et 12 projets régionaux et globaux pour une participation totale de, respectivement, 208 et 69 millions </w:t>
      </w:r>
      <w:r w:rsidR="00B0444B">
        <w:t>d’USD</w:t>
      </w:r>
      <w:r w:rsidRPr="001E5724">
        <w:t xml:space="preserve">. Le République du Congo ne figure pas aujourd’hui au niveau des </w:t>
      </w:r>
      <w:r w:rsidR="00332C0E" w:rsidRPr="001E5724">
        <w:t>bénéficiaires</w:t>
      </w:r>
      <w:r w:rsidRPr="001E5724">
        <w:t xml:space="preserve"> de ce fonds aussi bien dans le cadre de projets nationaux que régionaux.</w:t>
      </w:r>
      <w:r w:rsidR="00C31F60">
        <w:t xml:space="preserve"> Pour en bénéficier, les procédures pour le financement des projets sont similaires à celles du FEM et la demande doit être réalisée par le biais d’une entité accréditée pour l’accès aux financements du FEM avec l’approbation de l’autorité nationale désignée.</w:t>
      </w:r>
    </w:p>
    <w:p w14:paraId="2B82D7FB" w14:textId="5E45B3D6" w:rsidR="00A12DCC" w:rsidRDefault="00A12DCC" w:rsidP="00DF187B">
      <w:pPr>
        <w:pStyle w:val="Heading5"/>
      </w:pPr>
      <w:r>
        <w:t>Le Fonds d’Adaptation (AF)</w:t>
      </w:r>
      <w:r w:rsidR="00FB1EFA">
        <w:rPr>
          <w:rStyle w:val="FootnoteReference"/>
        </w:rPr>
        <w:footnoteReference w:id="32"/>
      </w:r>
    </w:p>
    <w:p w14:paraId="4F80B46A" w14:textId="2099A8AC" w:rsidR="00734D2C" w:rsidRDefault="00734D2C" w:rsidP="00734D2C">
      <w:r>
        <w:t xml:space="preserve">Etabli dans le cadre du protocole de Kyoto, </w:t>
      </w:r>
      <w:r w:rsidR="00864669">
        <w:t>l</w:t>
      </w:r>
      <w:r>
        <w:t xml:space="preserve">e Fonds d’Adaptation vise le financement de projets et programmes permettant de réduire la vulnérabilité des communautés aux changements climatiques dans les </w:t>
      </w:r>
      <w:r w:rsidR="00FB1EFA">
        <w:t>PED</w:t>
      </w:r>
      <w:r>
        <w:t>.</w:t>
      </w:r>
      <w:r w:rsidR="00864669">
        <w:t xml:space="preserve"> Les secteurs visés sont l’agriculture, la gestion des zones côtières, la réduction des risques liées aux catastrophes, la sécurité alimentaire, le développement rural, la gestion de l’eau et les projets multisectoriels. </w:t>
      </w:r>
      <w:r>
        <w:t xml:space="preserve"> Depuis 2010 le fonds a engagé 338,5 millions </w:t>
      </w:r>
      <w:r w:rsidR="00B0444B">
        <w:t>d’USD</w:t>
      </w:r>
      <w:r>
        <w:t xml:space="preserve"> dans </w:t>
      </w:r>
      <w:r w:rsidR="0084363C">
        <w:t xml:space="preserve">61 pays à raison de 0,6 à 10 millions </w:t>
      </w:r>
      <w:r w:rsidR="00B0444B">
        <w:t>d’USD</w:t>
      </w:r>
      <w:r w:rsidR="0084363C">
        <w:t xml:space="preserve"> par projet. </w:t>
      </w:r>
    </w:p>
    <w:p w14:paraId="1852C481" w14:textId="41538F13" w:rsidR="002D4765" w:rsidRDefault="0084363C" w:rsidP="00734D2C">
      <w:r>
        <w:lastRenderedPageBreak/>
        <w:t xml:space="preserve">La République du Congo ne </w:t>
      </w:r>
      <w:r w:rsidR="000C09DE">
        <w:t>bénéfice pas actuellement</w:t>
      </w:r>
      <w:r w:rsidR="00FB1EFA">
        <w:t xml:space="preserve"> de ce fonds. </w:t>
      </w:r>
      <w:r w:rsidR="00864669">
        <w:t>Pour accéder aux financements,</w:t>
      </w:r>
      <w:r w:rsidR="000C09DE">
        <w:t xml:space="preserve"> en analogie au</w:t>
      </w:r>
      <w:r w:rsidR="00864669">
        <w:t xml:space="preserve"> </w:t>
      </w:r>
      <w:r w:rsidR="000C09DE">
        <w:t xml:space="preserve">FEM et au FVC, </w:t>
      </w:r>
      <w:r w:rsidR="00864669">
        <w:t xml:space="preserve">il est nécessaire </w:t>
      </w:r>
      <w:r>
        <w:t>que le pays dispose d’une autorité nationale désignée spécifiqu</w:t>
      </w:r>
      <w:r w:rsidR="000C09DE">
        <w:t>e au f</w:t>
      </w:r>
      <w:r>
        <w:t>onds en charge d’approuver les candidatures des entités d’implémentations nationales ou régionales et/ou d’approuver les projets et programmes proposés par</w:t>
      </w:r>
      <w:r w:rsidR="00864669">
        <w:t xml:space="preserve"> </w:t>
      </w:r>
      <w:r>
        <w:t xml:space="preserve">les </w:t>
      </w:r>
      <w:r w:rsidR="00864669">
        <w:t>entité</w:t>
      </w:r>
      <w:r>
        <w:t>s</w:t>
      </w:r>
      <w:r w:rsidR="00864669">
        <w:t xml:space="preserve"> </w:t>
      </w:r>
      <w:r>
        <w:t>accréditées</w:t>
      </w:r>
      <w:r w:rsidR="002D4765">
        <w:t xml:space="preserve">. </w:t>
      </w:r>
      <w:r w:rsidR="000C09DE">
        <w:t xml:space="preserve">Les entités d’implémentations pourront dès lors soumettre des propositions de projets au fonds d’adaptation. </w:t>
      </w:r>
    </w:p>
    <w:p w14:paraId="25977632" w14:textId="72DA9BFE" w:rsidR="00BC5CD1" w:rsidRDefault="00BC5CD1" w:rsidP="00B67EFD">
      <w:pPr>
        <w:pStyle w:val="Heading3"/>
      </w:pPr>
      <w:bookmarkStart w:id="30" w:name="_Toc454886785"/>
      <w:r>
        <w:t>Les financements bilatéraux</w:t>
      </w:r>
      <w:bookmarkEnd w:id="30"/>
    </w:p>
    <w:p w14:paraId="2059F7E3" w14:textId="4BD63027" w:rsidR="00C5001E" w:rsidRDefault="00C5001E" w:rsidP="00C5001E">
      <w:r>
        <w:t xml:space="preserve">Le graphique ci-dessous, élaboré à partir des statistiques 2014 de l’OCDE, </w:t>
      </w:r>
      <w:r w:rsidR="001762B4">
        <w:t xml:space="preserve">reprend les montants versés bilatéralement au titre de l’APD à l’Afrique Subsaharienne pour les principaux donneurs (versements supérieurs à 2% du montant total). </w:t>
      </w:r>
    </w:p>
    <w:p w14:paraId="1DD4E905" w14:textId="4E5023EF" w:rsidR="001762B4" w:rsidRDefault="001762B4" w:rsidP="001762B4">
      <w:pPr>
        <w:jc w:val="center"/>
      </w:pPr>
      <w:r>
        <w:rPr>
          <w:noProof/>
          <w:lang w:val="en-US" w:eastAsia="en-US"/>
        </w:rPr>
        <w:drawing>
          <wp:inline distT="0" distB="0" distL="0" distR="0" wp14:anchorId="737F5F67" wp14:editId="44E9BDC6">
            <wp:extent cx="4347713" cy="2130725"/>
            <wp:effectExtent l="0" t="0" r="15240" b="317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FA77D0" w14:textId="72718700" w:rsidR="001762B4" w:rsidRPr="00C5001E" w:rsidRDefault="001762B4" w:rsidP="001762B4">
      <w:pPr>
        <w:pStyle w:val="Caption"/>
      </w:pPr>
      <w:bookmarkStart w:id="31" w:name="_Toc454886814"/>
      <w:r>
        <w:t xml:space="preserve">Figure </w:t>
      </w:r>
      <w:r>
        <w:fldChar w:fldCharType="begin"/>
      </w:r>
      <w:r>
        <w:instrText xml:space="preserve"> SEQ Figure \* ARABIC </w:instrText>
      </w:r>
      <w:r>
        <w:fldChar w:fldCharType="separate"/>
      </w:r>
      <w:r w:rsidR="0080491D">
        <w:rPr>
          <w:noProof/>
        </w:rPr>
        <w:t>5</w:t>
      </w:r>
      <w:r>
        <w:fldChar w:fldCharType="end"/>
      </w:r>
      <w:r>
        <w:t xml:space="preserve">: </w:t>
      </w:r>
      <w:r w:rsidRPr="00981DF0">
        <w:t xml:space="preserve">Ventilation par donneur des versements </w:t>
      </w:r>
      <w:r>
        <w:t xml:space="preserve">bilatéraux </w:t>
      </w:r>
      <w:r w:rsidRPr="00981DF0">
        <w:t>nets d'APD</w:t>
      </w:r>
      <w:r w:rsidR="007C1201">
        <w:t xml:space="preserve"> des pays de l’OCDE</w:t>
      </w:r>
      <w:r w:rsidRPr="00981DF0">
        <w:t xml:space="preserve"> en faveur de l'Afrique subsaharienne</w:t>
      </w:r>
      <w:r>
        <w:t xml:space="preserve"> en 2014</w:t>
      </w:r>
      <w:bookmarkEnd w:id="31"/>
    </w:p>
    <w:p w14:paraId="2F7C2248" w14:textId="2A55FDA1" w:rsidR="00C5001E" w:rsidRDefault="00C5001E" w:rsidP="00C5001E">
      <w:r>
        <w:t xml:space="preserve">Parmi les autres pays non membre de l’OCDE, les pays arabes et notamment l’Arabie Saoudite et les Emirats arabes unis contribuent également de manière importante à l’APD avec en 2013 respectivement 13 634 et 4 892 millions </w:t>
      </w:r>
      <w:r w:rsidR="00B0444B">
        <w:t>d’USD</w:t>
      </w:r>
      <w:r>
        <w:rPr>
          <w:rStyle w:val="FootnoteReference"/>
        </w:rPr>
        <w:footnoteReference w:id="33"/>
      </w:r>
      <w:r>
        <w:t>. En 2014, l’APD des pays arabe représente 13% de l’APD distribuée dans le monde entier (</w:t>
      </w:r>
      <w:proofErr w:type="spellStart"/>
      <w:r>
        <w:t>Trogoff</w:t>
      </w:r>
      <w:proofErr w:type="spellEnd"/>
      <w:r>
        <w:t>, 2014)</w:t>
      </w:r>
      <w:r w:rsidRPr="00C24AC6">
        <w:t xml:space="preserve">. </w:t>
      </w:r>
      <w:r>
        <w:t>Cependant cette APD est majoritairement distribuée au niveau des pays arabes de la région et la partie des financements adressé</w:t>
      </w:r>
      <w:r w:rsidR="002427E3">
        <w:t>e</w:t>
      </w:r>
      <w:r>
        <w:t xml:space="preserve"> à l’Afrique et à l’Asie est </w:t>
      </w:r>
      <w:r w:rsidR="002427E3">
        <w:t>principalement</w:t>
      </w:r>
      <w:r>
        <w:t xml:space="preserve"> à destination des pays majoritairement musulmans tels que le Soudan, la Somalie, la Mauritanie, le Pakistan ou encore les Philippines (</w:t>
      </w:r>
      <w:proofErr w:type="spellStart"/>
      <w:r>
        <w:t>Trogoff</w:t>
      </w:r>
      <w:proofErr w:type="spellEnd"/>
      <w:r>
        <w:t>, 2014).</w:t>
      </w:r>
    </w:p>
    <w:p w14:paraId="6FFEEA58" w14:textId="4A4CBE61" w:rsidR="005B5FAB" w:rsidRPr="00C5001E" w:rsidRDefault="007654DE" w:rsidP="00C5001E">
      <w:r>
        <w:t xml:space="preserve">Dans le cadre de </w:t>
      </w:r>
      <w:r w:rsidR="00FF7205">
        <w:t>cette partie du</w:t>
      </w:r>
      <w:r>
        <w:t xml:space="preserve"> plan d’investissement on s’intéresse principalement aux appuis bilatéraux issus des pays de l’OCDE qui contribuent majoritairement à l’APD en Afrique Sub-saharienne et/ou qui ont des accords de programmes bilatéraux spécifiques avec la République du Congo. </w:t>
      </w:r>
      <w:r w:rsidR="00813617">
        <w:t>A ces pays s’ajoute la Chine qui est un des partenaires commerc</w:t>
      </w:r>
      <w:r w:rsidR="002427E3">
        <w:t>iaux principaux</w:t>
      </w:r>
      <w:r w:rsidR="00813617">
        <w:t xml:space="preserve"> de la République du Congo. </w:t>
      </w:r>
    </w:p>
    <w:p w14:paraId="5F5E70F3" w14:textId="57EA371F" w:rsidR="00BC5CD1" w:rsidRDefault="00BC5CD1" w:rsidP="008B0EB3">
      <w:pPr>
        <w:pStyle w:val="Heading4"/>
        <w:numPr>
          <w:ilvl w:val="2"/>
          <w:numId w:val="13"/>
        </w:numPr>
      </w:pPr>
      <w:r w:rsidRPr="00813617">
        <w:t xml:space="preserve">La </w:t>
      </w:r>
      <w:r w:rsidR="00E0680E" w:rsidRPr="00813617">
        <w:t>France</w:t>
      </w:r>
    </w:p>
    <w:p w14:paraId="6D39ABF5" w14:textId="1D006989" w:rsidR="00296EF8" w:rsidRDefault="00F32BCE" w:rsidP="00296EF8">
      <w:r w:rsidRPr="00F32BCE">
        <w:rPr>
          <w:i/>
          <w:color w:val="DD8047" w:themeColor="accent2"/>
          <w:lang w:eastAsia="en-US"/>
        </w:rPr>
        <w:t xml:space="preserve">L’Agence Française de Développement </w:t>
      </w:r>
      <w:r>
        <w:rPr>
          <w:i/>
          <w:color w:val="DD8047" w:themeColor="accent2"/>
          <w:lang w:eastAsia="en-US"/>
        </w:rPr>
        <w:t>(AFD)</w:t>
      </w:r>
      <w:r w:rsidR="00ED56D6">
        <w:rPr>
          <w:rStyle w:val="FootnoteReference"/>
          <w:i/>
          <w:color w:val="DD8047" w:themeColor="accent2"/>
          <w:lang w:eastAsia="en-US"/>
        </w:rPr>
        <w:footnoteReference w:id="34"/>
      </w:r>
      <w:r>
        <w:rPr>
          <w:i/>
          <w:color w:val="DD8047" w:themeColor="accent2"/>
          <w:lang w:eastAsia="en-US"/>
        </w:rPr>
        <w:t xml:space="preserve"> </w:t>
      </w:r>
    </w:p>
    <w:p w14:paraId="2A829199" w14:textId="159F4139" w:rsidR="00184B7E" w:rsidRDefault="002427E3" w:rsidP="00E87A14">
      <w:pPr>
        <w:spacing w:before="120"/>
      </w:pPr>
      <w:r>
        <w:t>L’AFD</w:t>
      </w:r>
      <w:r w:rsidR="00184B7E" w:rsidRPr="00E87A14">
        <w:t xml:space="preserve"> est une </w:t>
      </w:r>
      <w:r w:rsidR="00184B7E" w:rsidRPr="00E87A14">
        <w:rPr>
          <w:rFonts w:eastAsiaTheme="majorEastAsia"/>
        </w:rPr>
        <w:t>institution financière</w:t>
      </w:r>
      <w:r w:rsidR="00184B7E" w:rsidRPr="00E87A14">
        <w:t xml:space="preserve"> publique qui met en œuvre de la politique d’aide publique au développement de la France.</w:t>
      </w:r>
      <w:r>
        <w:t xml:space="preserve"> </w:t>
      </w:r>
      <w:r w:rsidR="00625119">
        <w:t>En 2015, l</w:t>
      </w:r>
      <w:r w:rsidR="00184B7E">
        <w:t xml:space="preserve">'AFD </w:t>
      </w:r>
      <w:r w:rsidR="0090122B">
        <w:t xml:space="preserve">engagé 8,3 milliards d’euros dans les </w:t>
      </w:r>
      <w:r>
        <w:t>PED</w:t>
      </w:r>
      <w:r w:rsidR="0090122B">
        <w:t xml:space="preserve"> dont</w:t>
      </w:r>
      <w:r w:rsidR="00184B7E">
        <w:t xml:space="preserve"> 2,8 milliards d’euros qui ont financé</w:t>
      </w:r>
      <w:r>
        <w:t>s</w:t>
      </w:r>
      <w:r w:rsidR="00184B7E">
        <w:t xml:space="preserve"> des projets de développement ayant également un impact positif sur le climat</w:t>
      </w:r>
      <w:r w:rsidR="0090122B">
        <w:t xml:space="preserve">. </w:t>
      </w:r>
      <w:r w:rsidR="00184B7E">
        <w:t>L'</w:t>
      </w:r>
      <w:r w:rsidR="00184B7E" w:rsidRPr="00E87A14">
        <w:rPr>
          <w:rFonts w:eastAsiaTheme="majorEastAsia"/>
        </w:rPr>
        <w:t>Afrique subsaharienne</w:t>
      </w:r>
      <w:r w:rsidR="00184B7E">
        <w:t xml:space="preserve"> est </w:t>
      </w:r>
      <w:r>
        <w:t>la</w:t>
      </w:r>
      <w:r w:rsidR="00184B7E">
        <w:t xml:space="preserve"> zone d'intervention prioritaire de la politique publique française de </w:t>
      </w:r>
      <w:r w:rsidR="00625119">
        <w:t>développement</w:t>
      </w:r>
      <w:r>
        <w:t>. E</w:t>
      </w:r>
      <w:r w:rsidR="0090122B">
        <w:t>n 2015</w:t>
      </w:r>
      <w:r w:rsidR="00184B7E">
        <w:t xml:space="preserve">, l'AFD y a investi </w:t>
      </w:r>
      <w:r w:rsidR="0090122B">
        <w:t>3,1</w:t>
      </w:r>
      <w:r w:rsidR="00184B7E">
        <w:t xml:space="preserve"> milliards d'euros, soit 3</w:t>
      </w:r>
      <w:r w:rsidR="0090122B">
        <w:t>8%</w:t>
      </w:r>
      <w:r w:rsidR="00184B7E">
        <w:t xml:space="preserve"> du total de ses financements.</w:t>
      </w:r>
    </w:p>
    <w:p w14:paraId="51756763" w14:textId="04332E9F" w:rsidR="00357155" w:rsidRPr="00A26A01" w:rsidRDefault="00357155" w:rsidP="00E87A14">
      <w:pPr>
        <w:pStyle w:val="NormalWeb"/>
        <w:spacing w:before="120" w:beforeAutospacing="0" w:after="120" w:afterAutospacing="0"/>
        <w:jc w:val="both"/>
        <w:rPr>
          <w:rFonts w:asciiTheme="minorHAnsi" w:hAnsiTheme="minorHAnsi"/>
          <w:sz w:val="22"/>
          <w:szCs w:val="22"/>
        </w:rPr>
      </w:pPr>
      <w:r>
        <w:rPr>
          <w:rFonts w:asciiTheme="minorHAnsi" w:hAnsiTheme="minorHAnsi"/>
          <w:sz w:val="22"/>
          <w:szCs w:val="22"/>
        </w:rPr>
        <w:t xml:space="preserve">La République du Congo figure parmi les pays de la zone de solidarité prioritaire de la France et </w:t>
      </w:r>
      <w:r w:rsidR="002427E3">
        <w:rPr>
          <w:rFonts w:asciiTheme="minorHAnsi" w:hAnsiTheme="minorHAnsi"/>
          <w:sz w:val="22"/>
          <w:szCs w:val="22"/>
        </w:rPr>
        <w:t>bénéficie</w:t>
      </w:r>
      <w:r>
        <w:rPr>
          <w:rFonts w:asciiTheme="minorHAnsi" w:hAnsiTheme="minorHAnsi"/>
          <w:sz w:val="22"/>
          <w:szCs w:val="22"/>
        </w:rPr>
        <w:t xml:space="preserve"> ainsi des concours financiers de la France</w:t>
      </w:r>
      <w:r w:rsidR="0090122B">
        <w:rPr>
          <w:rFonts w:asciiTheme="minorHAnsi" w:hAnsiTheme="minorHAnsi"/>
          <w:sz w:val="22"/>
          <w:szCs w:val="22"/>
        </w:rPr>
        <w:t>. Selon le rapport d’activité annuel de l’AFD, en 2014, le pays a reçu de la part de la France 134 millions d’euros en prêts et participation</w:t>
      </w:r>
      <w:r w:rsidR="002427E3">
        <w:rPr>
          <w:rFonts w:asciiTheme="minorHAnsi" w:hAnsiTheme="minorHAnsi"/>
          <w:sz w:val="22"/>
          <w:szCs w:val="22"/>
        </w:rPr>
        <w:t>s</w:t>
      </w:r>
      <w:r w:rsidR="0090122B">
        <w:rPr>
          <w:rFonts w:asciiTheme="minorHAnsi" w:hAnsiTheme="minorHAnsi"/>
          <w:sz w:val="22"/>
          <w:szCs w:val="22"/>
        </w:rPr>
        <w:t>.</w:t>
      </w:r>
    </w:p>
    <w:p w14:paraId="16AF1465" w14:textId="76C2F225" w:rsidR="00184B7E" w:rsidRPr="00A26A01" w:rsidRDefault="00184B7E" w:rsidP="00E87A14">
      <w:pPr>
        <w:spacing w:before="120"/>
        <w:rPr>
          <w:szCs w:val="22"/>
        </w:rPr>
      </w:pPr>
      <w:r w:rsidRPr="00184B7E">
        <w:rPr>
          <w:szCs w:val="22"/>
        </w:rPr>
        <w:lastRenderedPageBreak/>
        <w:t xml:space="preserve">Les financements et l'accompagnement de projets par l'AFD au Congo se concentrent sur trois </w:t>
      </w:r>
      <w:r w:rsidRPr="00A26A01">
        <w:rPr>
          <w:bCs/>
          <w:szCs w:val="22"/>
        </w:rPr>
        <w:t>axes d'intervention</w:t>
      </w:r>
      <w:r w:rsidR="00A26A01" w:rsidRPr="00A26A01">
        <w:rPr>
          <w:bCs/>
          <w:szCs w:val="22"/>
        </w:rPr>
        <w:t> </w:t>
      </w:r>
      <w:r w:rsidR="00A26A01" w:rsidRPr="00A26A01">
        <w:rPr>
          <w:szCs w:val="22"/>
        </w:rPr>
        <w:t>: les</w:t>
      </w:r>
      <w:r w:rsidR="0090122B">
        <w:rPr>
          <w:szCs w:val="22"/>
        </w:rPr>
        <w:t xml:space="preserve"> </w:t>
      </w:r>
      <w:r w:rsidRPr="00184B7E">
        <w:rPr>
          <w:szCs w:val="22"/>
        </w:rPr>
        <w:t>services publics de base et infrastructures</w:t>
      </w:r>
      <w:r w:rsidR="00A26A01">
        <w:rPr>
          <w:szCs w:val="22"/>
        </w:rPr>
        <w:t xml:space="preserve">, le </w:t>
      </w:r>
      <w:r w:rsidRPr="00184B7E">
        <w:rPr>
          <w:szCs w:val="22"/>
        </w:rPr>
        <w:t>développement humain</w:t>
      </w:r>
      <w:r w:rsidR="00A26A01">
        <w:rPr>
          <w:szCs w:val="22"/>
        </w:rPr>
        <w:t xml:space="preserve"> et la forêt-environnement-</w:t>
      </w:r>
      <w:r w:rsidRPr="00184B7E">
        <w:rPr>
          <w:szCs w:val="22"/>
        </w:rPr>
        <w:t>agriculture</w:t>
      </w:r>
      <w:r w:rsidR="00A26A01">
        <w:rPr>
          <w:szCs w:val="22"/>
        </w:rPr>
        <w:t>.</w:t>
      </w:r>
      <w:r w:rsidR="00E87A14">
        <w:rPr>
          <w:szCs w:val="22"/>
        </w:rPr>
        <w:t xml:space="preserve"> </w:t>
      </w:r>
      <w:r w:rsidR="00A26A01">
        <w:rPr>
          <w:szCs w:val="22"/>
          <w:lang w:eastAsia="en-US"/>
        </w:rPr>
        <w:t>Quatre</w:t>
      </w:r>
      <w:r w:rsidRPr="00A26A01">
        <w:rPr>
          <w:szCs w:val="22"/>
          <w:lang w:eastAsia="en-US"/>
        </w:rPr>
        <w:t xml:space="preserve"> outils de financements</w:t>
      </w:r>
      <w:r w:rsidR="00A26A01">
        <w:rPr>
          <w:szCs w:val="22"/>
          <w:lang w:eastAsia="en-US"/>
        </w:rPr>
        <w:t xml:space="preserve"> sont employés par l’AFD au Congo : </w:t>
      </w:r>
    </w:p>
    <w:p w14:paraId="1E275AF6" w14:textId="0B79616F" w:rsidR="00184B7E" w:rsidRPr="00A26A01" w:rsidRDefault="00184B7E" w:rsidP="008B0EB3">
      <w:pPr>
        <w:pStyle w:val="ListParagraph"/>
        <w:numPr>
          <w:ilvl w:val="0"/>
          <w:numId w:val="38"/>
        </w:numPr>
        <w:spacing w:after="0"/>
        <w:rPr>
          <w:szCs w:val="22"/>
          <w:lang w:eastAsia="en-US"/>
        </w:rPr>
      </w:pPr>
      <w:r w:rsidRPr="00A26A01">
        <w:rPr>
          <w:szCs w:val="22"/>
          <w:lang w:eastAsia="en-US"/>
        </w:rPr>
        <w:t xml:space="preserve">Les contrats désendettement-développement (C2D) </w:t>
      </w:r>
    </w:p>
    <w:p w14:paraId="0D15C3A3" w14:textId="33CCE1E2" w:rsidR="00E40492" w:rsidRPr="00A26A01" w:rsidRDefault="00E40492" w:rsidP="00E40492">
      <w:pPr>
        <w:rPr>
          <w:szCs w:val="22"/>
        </w:rPr>
      </w:pPr>
      <w:r w:rsidRPr="00A26A01">
        <w:rPr>
          <w:szCs w:val="22"/>
          <w:lang w:eastAsia="en-US"/>
        </w:rPr>
        <w:t>Dans le cadre du premier C2D signé en 2010, un montant de 80 millions d’euros a été engagé dans les secteurs de l’infrastructure et de l’assainissement. Dans le cadre du deuxième couvrant la période 2015-2019</w:t>
      </w:r>
      <w:r w:rsidR="002427E3">
        <w:rPr>
          <w:szCs w:val="22"/>
          <w:lang w:eastAsia="en-US"/>
        </w:rPr>
        <w:t xml:space="preserve">, pour </w:t>
      </w:r>
      <w:r w:rsidRPr="00A26A01">
        <w:rPr>
          <w:szCs w:val="22"/>
          <w:lang w:eastAsia="en-US"/>
        </w:rPr>
        <w:t>un montant de 149 millions</w:t>
      </w:r>
      <w:r w:rsidR="002427E3">
        <w:rPr>
          <w:szCs w:val="22"/>
          <w:lang w:eastAsia="en-US"/>
        </w:rPr>
        <w:t>,</w:t>
      </w:r>
      <w:r w:rsidRPr="00A26A01">
        <w:rPr>
          <w:szCs w:val="22"/>
          <w:lang w:eastAsia="en-US"/>
        </w:rPr>
        <w:t xml:space="preserve"> seront financés des projets d’infrastructures et sociaux ainsi que un </w:t>
      </w:r>
      <w:r w:rsidRPr="00A26A01">
        <w:rPr>
          <w:szCs w:val="22"/>
        </w:rPr>
        <w:t xml:space="preserve">appui à la formation professionnelle aux secteurs de l'énergie et du bois (16 millions) et à l'agroforesterie (14 millions). Un </w:t>
      </w:r>
      <w:r w:rsidRPr="00A26A01">
        <w:rPr>
          <w:szCs w:val="22"/>
          <w:u w:val="single"/>
        </w:rPr>
        <w:t>fonds d’étude pour le renforcement des capacités</w:t>
      </w:r>
      <w:r w:rsidRPr="00A26A01">
        <w:rPr>
          <w:szCs w:val="22"/>
        </w:rPr>
        <w:t xml:space="preserve"> (FERN) sera également mis en place (8 millions d’euros). </w:t>
      </w:r>
    </w:p>
    <w:p w14:paraId="234A7FF5" w14:textId="5E505241" w:rsidR="00E40492" w:rsidRPr="00A26A01" w:rsidRDefault="00E40492" w:rsidP="008B0EB3">
      <w:pPr>
        <w:pStyle w:val="ListParagraph"/>
        <w:numPr>
          <w:ilvl w:val="0"/>
          <w:numId w:val="38"/>
        </w:numPr>
        <w:spacing w:after="0"/>
        <w:rPr>
          <w:szCs w:val="22"/>
          <w:lang w:eastAsia="en-US"/>
        </w:rPr>
      </w:pPr>
      <w:r w:rsidRPr="00A26A01">
        <w:rPr>
          <w:szCs w:val="22"/>
          <w:lang w:eastAsia="en-US"/>
        </w:rPr>
        <w:t xml:space="preserve">Les subventions </w:t>
      </w:r>
    </w:p>
    <w:p w14:paraId="32396123" w14:textId="38108A6E" w:rsidR="00E40492" w:rsidRPr="00A26A01" w:rsidRDefault="00E40492" w:rsidP="00E40492">
      <w:pPr>
        <w:rPr>
          <w:szCs w:val="22"/>
        </w:rPr>
      </w:pPr>
      <w:r w:rsidRPr="00A26A01">
        <w:rPr>
          <w:szCs w:val="22"/>
          <w:lang w:eastAsia="en-US"/>
        </w:rPr>
        <w:t>Les subventions</w:t>
      </w:r>
      <w:r w:rsidR="002427E3">
        <w:rPr>
          <w:szCs w:val="22"/>
          <w:lang w:eastAsia="en-US"/>
        </w:rPr>
        <w:t xml:space="preserve"> accordées par la France</w:t>
      </w:r>
      <w:r w:rsidRPr="00A26A01">
        <w:rPr>
          <w:szCs w:val="22"/>
          <w:lang w:eastAsia="en-US"/>
        </w:rPr>
        <w:t xml:space="preserve"> ont notamment permis de financer le </w:t>
      </w:r>
      <w:r w:rsidRPr="00A26A01">
        <w:rPr>
          <w:szCs w:val="22"/>
        </w:rPr>
        <w:t>projet d’appui à la gestion durable des forêts</w:t>
      </w:r>
      <w:r w:rsidR="002427E3">
        <w:rPr>
          <w:szCs w:val="22"/>
        </w:rPr>
        <w:t xml:space="preserve"> (PAGEF)</w:t>
      </w:r>
      <w:r w:rsidRPr="00A26A01">
        <w:rPr>
          <w:szCs w:val="22"/>
        </w:rPr>
        <w:t>, le projet d’appui à la refondation du système de la formation professionnelle ou le projet d’appui au développement des ressources humaines du secteur de la santé. Aujourd’hui, la République du Congo faisant partie des pays à revenus intermédiaires, il ne bénéficie plus des subventions accordées par l’AFD.</w:t>
      </w:r>
    </w:p>
    <w:p w14:paraId="20946DFA" w14:textId="76DA431F" w:rsidR="00E40492" w:rsidRPr="00A26A01" w:rsidRDefault="00E40492" w:rsidP="008B0EB3">
      <w:pPr>
        <w:pStyle w:val="ListParagraph"/>
        <w:numPr>
          <w:ilvl w:val="0"/>
          <w:numId w:val="38"/>
        </w:numPr>
        <w:spacing w:after="0"/>
        <w:rPr>
          <w:szCs w:val="22"/>
        </w:rPr>
      </w:pPr>
      <w:r w:rsidRPr="00A26A01">
        <w:rPr>
          <w:szCs w:val="22"/>
        </w:rPr>
        <w:t>Les prêts (concessionnels et non concessionnels)</w:t>
      </w:r>
    </w:p>
    <w:p w14:paraId="7E35F3E3" w14:textId="6B040272" w:rsidR="00E40492" w:rsidRPr="00A26A01" w:rsidRDefault="00B13F5B" w:rsidP="00E40492">
      <w:pPr>
        <w:rPr>
          <w:szCs w:val="22"/>
        </w:rPr>
      </w:pPr>
      <w:r w:rsidRPr="00A26A01">
        <w:rPr>
          <w:szCs w:val="22"/>
        </w:rPr>
        <w:t>Ces prêts ont notamment été employés pour les grands projets d’infrastructure, distribution d’</w:t>
      </w:r>
      <w:r w:rsidR="002427E3">
        <w:rPr>
          <w:szCs w:val="22"/>
        </w:rPr>
        <w:t>e</w:t>
      </w:r>
      <w:r w:rsidRPr="00A26A01">
        <w:rPr>
          <w:szCs w:val="22"/>
        </w:rPr>
        <w:t xml:space="preserve">au potable, drainage pluvial et électricité. </w:t>
      </w:r>
    </w:p>
    <w:p w14:paraId="509D92BB" w14:textId="2F8FE09F" w:rsidR="00B13F5B" w:rsidRPr="00A26A01" w:rsidRDefault="00B13F5B" w:rsidP="008B0EB3">
      <w:pPr>
        <w:pStyle w:val="ListParagraph"/>
        <w:numPr>
          <w:ilvl w:val="0"/>
          <w:numId w:val="38"/>
        </w:numPr>
        <w:spacing w:after="0"/>
        <w:rPr>
          <w:szCs w:val="22"/>
        </w:rPr>
      </w:pPr>
      <w:r w:rsidRPr="00A26A01">
        <w:rPr>
          <w:szCs w:val="22"/>
        </w:rPr>
        <w:t xml:space="preserve">Les garanties </w:t>
      </w:r>
    </w:p>
    <w:p w14:paraId="23ADCC39" w14:textId="5AA7892F" w:rsidR="00B13F5B" w:rsidRPr="00A26A01" w:rsidRDefault="00B13F5B" w:rsidP="00BA65C9">
      <w:pPr>
        <w:pStyle w:val="NormalWeb"/>
        <w:spacing w:before="0" w:beforeAutospacing="0" w:after="120" w:afterAutospacing="0"/>
        <w:jc w:val="both"/>
        <w:rPr>
          <w:rFonts w:asciiTheme="minorHAnsi" w:hAnsiTheme="minorHAnsi"/>
          <w:sz w:val="22"/>
          <w:szCs w:val="22"/>
        </w:rPr>
      </w:pPr>
      <w:r w:rsidRPr="00A26A01">
        <w:rPr>
          <w:rFonts w:asciiTheme="minorHAnsi" w:hAnsiTheme="minorHAnsi"/>
          <w:sz w:val="22"/>
          <w:szCs w:val="22"/>
        </w:rPr>
        <w:t xml:space="preserve">A travers le mécanisme ARIZ, l’AFD peut octroyer sa garantie pour des opérations visant à favoriser la mobilisation des ressources locales. </w:t>
      </w:r>
      <w:r w:rsidRPr="00B13F5B">
        <w:rPr>
          <w:rFonts w:asciiTheme="minorHAnsi" w:hAnsiTheme="minorHAnsi"/>
          <w:sz w:val="22"/>
          <w:szCs w:val="22"/>
        </w:rPr>
        <w:t xml:space="preserve">Au Congo, l’AFD a mis en place une garantie de portefeuille auprès de la BCI et des garanties individuelles. </w:t>
      </w:r>
    </w:p>
    <w:p w14:paraId="39B72716" w14:textId="64956CBB" w:rsidR="00393844" w:rsidRPr="00A26A01" w:rsidRDefault="00393844" w:rsidP="00BA65C9">
      <w:pPr>
        <w:pStyle w:val="NormalWeb"/>
        <w:spacing w:before="0" w:beforeAutospacing="0" w:after="0" w:afterAutospacing="0"/>
        <w:jc w:val="both"/>
        <w:rPr>
          <w:rFonts w:asciiTheme="minorHAnsi" w:hAnsiTheme="minorHAnsi"/>
          <w:sz w:val="22"/>
          <w:szCs w:val="22"/>
        </w:rPr>
      </w:pPr>
      <w:r w:rsidRPr="00A26A01">
        <w:rPr>
          <w:rFonts w:asciiTheme="minorHAnsi" w:hAnsiTheme="minorHAnsi"/>
          <w:sz w:val="22"/>
          <w:szCs w:val="22"/>
        </w:rPr>
        <w:t>Dans le domaine For</w:t>
      </w:r>
      <w:r w:rsidR="00A26A01">
        <w:rPr>
          <w:rFonts w:asciiTheme="minorHAnsi" w:hAnsiTheme="minorHAnsi"/>
          <w:sz w:val="22"/>
          <w:szCs w:val="22"/>
        </w:rPr>
        <w:t>êt-</w:t>
      </w:r>
      <w:r w:rsidRPr="00A26A01">
        <w:rPr>
          <w:rFonts w:asciiTheme="minorHAnsi" w:hAnsiTheme="minorHAnsi"/>
          <w:sz w:val="22"/>
          <w:szCs w:val="22"/>
        </w:rPr>
        <w:t>e</w:t>
      </w:r>
      <w:r w:rsidR="00035A18" w:rsidRPr="00A26A01">
        <w:rPr>
          <w:rFonts w:asciiTheme="minorHAnsi" w:hAnsiTheme="minorHAnsi"/>
          <w:sz w:val="22"/>
          <w:szCs w:val="22"/>
        </w:rPr>
        <w:t>nvironnement, l’AFD a financé:</w:t>
      </w:r>
    </w:p>
    <w:p w14:paraId="2172CD3F" w14:textId="3BDF6CD9" w:rsidR="00035A18" w:rsidRPr="00A26A01" w:rsidRDefault="00035A18" w:rsidP="008B0EB3">
      <w:pPr>
        <w:pStyle w:val="NormalWeb"/>
        <w:numPr>
          <w:ilvl w:val="0"/>
          <w:numId w:val="39"/>
        </w:numPr>
        <w:spacing w:before="0" w:beforeAutospacing="0" w:after="0" w:afterAutospacing="0"/>
        <w:jc w:val="both"/>
        <w:rPr>
          <w:rFonts w:asciiTheme="minorHAnsi" w:hAnsiTheme="minorHAnsi"/>
          <w:sz w:val="22"/>
          <w:szCs w:val="22"/>
        </w:rPr>
      </w:pPr>
      <w:r w:rsidRPr="00A26A01">
        <w:rPr>
          <w:rFonts w:asciiTheme="minorHAnsi" w:hAnsiTheme="minorHAnsi"/>
          <w:sz w:val="22"/>
          <w:szCs w:val="22"/>
        </w:rPr>
        <w:t xml:space="preserve">De 2007 à 2014, l’AFD a octroyé une subvention de 5 millions d’euros pour le </w:t>
      </w:r>
      <w:r w:rsidR="002427E3">
        <w:rPr>
          <w:rFonts w:asciiTheme="minorHAnsi" w:hAnsiTheme="minorHAnsi"/>
          <w:sz w:val="22"/>
          <w:szCs w:val="22"/>
        </w:rPr>
        <w:t>PAGEF</w:t>
      </w:r>
      <w:r w:rsidRPr="00A26A01">
        <w:rPr>
          <w:rFonts w:asciiTheme="minorHAnsi" w:hAnsiTheme="minorHAnsi"/>
          <w:sz w:val="22"/>
          <w:szCs w:val="22"/>
        </w:rPr>
        <w:t xml:space="preserve"> visant à appuyer l’aménagement des </w:t>
      </w:r>
      <w:r w:rsidR="00165E10">
        <w:rPr>
          <w:rFonts w:asciiTheme="minorHAnsi" w:hAnsiTheme="minorHAnsi"/>
          <w:sz w:val="22"/>
          <w:szCs w:val="22"/>
        </w:rPr>
        <w:t>concessions forestières du sud C</w:t>
      </w:r>
      <w:r w:rsidRPr="00A26A01">
        <w:rPr>
          <w:rFonts w:asciiTheme="minorHAnsi" w:hAnsiTheme="minorHAnsi"/>
          <w:sz w:val="22"/>
          <w:szCs w:val="22"/>
        </w:rPr>
        <w:t xml:space="preserve">ongo. </w:t>
      </w:r>
    </w:p>
    <w:p w14:paraId="1D8ACDD6" w14:textId="7234E516" w:rsidR="00035A18" w:rsidRPr="00A26A01" w:rsidRDefault="00035A18" w:rsidP="008B0EB3">
      <w:pPr>
        <w:pStyle w:val="NormalWeb"/>
        <w:numPr>
          <w:ilvl w:val="0"/>
          <w:numId w:val="39"/>
        </w:numPr>
        <w:spacing w:after="120" w:afterAutospacing="0"/>
        <w:jc w:val="both"/>
        <w:rPr>
          <w:rFonts w:asciiTheme="minorHAnsi" w:hAnsiTheme="minorHAnsi"/>
          <w:sz w:val="22"/>
          <w:szCs w:val="22"/>
        </w:rPr>
      </w:pPr>
      <w:r w:rsidRPr="00A26A01">
        <w:rPr>
          <w:rFonts w:asciiTheme="minorHAnsi" w:hAnsiTheme="minorHAnsi"/>
          <w:sz w:val="22"/>
          <w:szCs w:val="22"/>
        </w:rPr>
        <w:t>En 2014-2015, l’AFD a financé le projet de révision du code forestier. Les décrets et textes d’applications du code seront financés par le projet PFDE de la Banque Mondiale.</w:t>
      </w:r>
    </w:p>
    <w:p w14:paraId="032DF005" w14:textId="57B14A2A" w:rsidR="00A26A01" w:rsidRPr="00A26A01" w:rsidRDefault="00A26A01" w:rsidP="00BA65C9">
      <w:pPr>
        <w:pStyle w:val="NormalWeb"/>
        <w:spacing w:before="0" w:beforeAutospacing="0" w:after="0" w:afterAutospacing="0"/>
        <w:jc w:val="both"/>
        <w:rPr>
          <w:rFonts w:asciiTheme="minorHAnsi" w:hAnsiTheme="minorHAnsi"/>
          <w:sz w:val="22"/>
          <w:szCs w:val="22"/>
        </w:rPr>
      </w:pPr>
      <w:r w:rsidRPr="00A26A01">
        <w:rPr>
          <w:rFonts w:asciiTheme="minorHAnsi" w:hAnsiTheme="minorHAnsi"/>
          <w:sz w:val="22"/>
          <w:szCs w:val="22"/>
        </w:rPr>
        <w:t>Dans le cadre du financement C2D, deux projets sont actuellement en cours de discussi</w:t>
      </w:r>
      <w:r w:rsidR="002427E3">
        <w:rPr>
          <w:rFonts w:asciiTheme="minorHAnsi" w:hAnsiTheme="minorHAnsi"/>
          <w:sz w:val="22"/>
          <w:szCs w:val="22"/>
        </w:rPr>
        <w:t xml:space="preserve">on à savoir (source : </w:t>
      </w:r>
      <w:r w:rsidRPr="00A26A01">
        <w:rPr>
          <w:rFonts w:asciiTheme="minorHAnsi" w:hAnsiTheme="minorHAnsi"/>
          <w:sz w:val="22"/>
          <w:szCs w:val="22"/>
        </w:rPr>
        <w:t>AFD) :</w:t>
      </w:r>
    </w:p>
    <w:p w14:paraId="0E13CEEE" w14:textId="45DBA3F2" w:rsidR="00A26A01" w:rsidRPr="00A26A01" w:rsidRDefault="00A26A01" w:rsidP="008B0EB3">
      <w:pPr>
        <w:pStyle w:val="NormalWeb"/>
        <w:numPr>
          <w:ilvl w:val="0"/>
          <w:numId w:val="39"/>
        </w:numPr>
        <w:spacing w:before="0" w:beforeAutospacing="0"/>
        <w:jc w:val="both"/>
        <w:rPr>
          <w:rFonts w:asciiTheme="minorHAnsi" w:hAnsiTheme="minorHAnsi"/>
          <w:sz w:val="22"/>
          <w:szCs w:val="22"/>
        </w:rPr>
      </w:pPr>
      <w:r w:rsidRPr="00A26A01">
        <w:rPr>
          <w:rFonts w:asciiTheme="minorHAnsi" w:hAnsiTheme="minorHAnsi"/>
          <w:sz w:val="22"/>
          <w:szCs w:val="22"/>
        </w:rPr>
        <w:t xml:space="preserve">Un projet </w:t>
      </w:r>
      <w:r w:rsidR="00165E10">
        <w:rPr>
          <w:rFonts w:asciiTheme="minorHAnsi" w:hAnsiTheme="minorHAnsi"/>
          <w:sz w:val="22"/>
          <w:szCs w:val="22"/>
        </w:rPr>
        <w:t>« Paysage Forestier Nord Congo »</w:t>
      </w:r>
      <w:r w:rsidRPr="00A26A01">
        <w:rPr>
          <w:rFonts w:asciiTheme="minorHAnsi" w:hAnsiTheme="minorHAnsi"/>
          <w:sz w:val="22"/>
          <w:szCs w:val="22"/>
        </w:rPr>
        <w:t xml:space="preserve"> avec une composante biodiversité (connectivité des aires </w:t>
      </w:r>
      <w:r w:rsidR="002427E3">
        <w:rPr>
          <w:rFonts w:asciiTheme="minorHAnsi" w:hAnsiTheme="minorHAnsi"/>
          <w:sz w:val="22"/>
          <w:szCs w:val="22"/>
        </w:rPr>
        <w:t>protégées et des concessions), une</w:t>
      </w:r>
      <w:r w:rsidRPr="00A26A01">
        <w:rPr>
          <w:rFonts w:asciiTheme="minorHAnsi" w:hAnsiTheme="minorHAnsi"/>
          <w:sz w:val="22"/>
          <w:szCs w:val="22"/>
        </w:rPr>
        <w:t xml:space="preserve"> composante d’accompagnement au développement des fonds de développement locaux (incluant notamment des plantations de cacaoyères dans les séries</w:t>
      </w:r>
      <w:r w:rsidR="002427E3">
        <w:rPr>
          <w:rFonts w:asciiTheme="minorHAnsi" w:hAnsiTheme="minorHAnsi"/>
          <w:sz w:val="22"/>
          <w:szCs w:val="22"/>
        </w:rPr>
        <w:t xml:space="preserve"> de développement communautaire), une</w:t>
      </w:r>
      <w:r w:rsidRPr="00A26A01">
        <w:rPr>
          <w:rFonts w:asciiTheme="minorHAnsi" w:hAnsiTheme="minorHAnsi"/>
          <w:sz w:val="22"/>
          <w:szCs w:val="22"/>
        </w:rPr>
        <w:t xml:space="preserve"> composante d’appui de l’aménagement forestier </w:t>
      </w:r>
      <w:r w:rsidR="002427E3">
        <w:rPr>
          <w:rFonts w:asciiTheme="minorHAnsi" w:hAnsiTheme="minorHAnsi"/>
          <w:sz w:val="22"/>
          <w:szCs w:val="22"/>
        </w:rPr>
        <w:t>aux</w:t>
      </w:r>
      <w:r w:rsidRPr="00A26A01">
        <w:rPr>
          <w:rFonts w:asciiTheme="minorHAnsi" w:hAnsiTheme="minorHAnsi"/>
          <w:sz w:val="22"/>
          <w:szCs w:val="22"/>
        </w:rPr>
        <w:t xml:space="preserve"> concessions non am</w:t>
      </w:r>
      <w:r w:rsidR="002427E3">
        <w:rPr>
          <w:rFonts w:asciiTheme="minorHAnsi" w:hAnsiTheme="minorHAnsi"/>
          <w:sz w:val="22"/>
          <w:szCs w:val="22"/>
        </w:rPr>
        <w:t>énagées. Le projet aura un coû</w:t>
      </w:r>
      <w:r w:rsidRPr="00A26A01">
        <w:rPr>
          <w:rFonts w:asciiTheme="minorHAnsi" w:hAnsiTheme="minorHAnsi"/>
          <w:sz w:val="22"/>
          <w:szCs w:val="22"/>
        </w:rPr>
        <w:t>t d’environ 7,5 millions d’euros dont 1</w:t>
      </w:r>
      <w:r w:rsidR="002427E3">
        <w:rPr>
          <w:rFonts w:asciiTheme="minorHAnsi" w:hAnsiTheme="minorHAnsi"/>
          <w:sz w:val="22"/>
          <w:szCs w:val="22"/>
        </w:rPr>
        <w:t xml:space="preserve">,5 millions proviendront du FFEM. </w:t>
      </w:r>
    </w:p>
    <w:p w14:paraId="602F8D43" w14:textId="69CC9DB6" w:rsidR="00BA65C9" w:rsidRPr="00BA65C9" w:rsidRDefault="00A26A01" w:rsidP="008B0EB3">
      <w:pPr>
        <w:pStyle w:val="NormalWeb"/>
        <w:numPr>
          <w:ilvl w:val="0"/>
          <w:numId w:val="39"/>
        </w:numPr>
        <w:spacing w:before="0" w:beforeAutospacing="0" w:after="0" w:afterAutospacing="0"/>
        <w:jc w:val="both"/>
        <w:rPr>
          <w:rFonts w:asciiTheme="minorHAnsi" w:hAnsiTheme="minorHAnsi"/>
          <w:sz w:val="22"/>
          <w:szCs w:val="22"/>
        </w:rPr>
      </w:pPr>
      <w:r w:rsidRPr="00A26A01">
        <w:rPr>
          <w:rFonts w:asciiTheme="minorHAnsi" w:hAnsiTheme="minorHAnsi"/>
          <w:sz w:val="22"/>
          <w:szCs w:val="22"/>
        </w:rPr>
        <w:t>Un projet agricole incluant l’appui à l’agriculture vivrière en périphérie dans grands centres urbains (pour 3 millions d’euros) et d’appui à la filière cacao dans le Nord du pays (6 millions d’euros)</w:t>
      </w:r>
      <w:r w:rsidR="002427E3">
        <w:rPr>
          <w:rFonts w:asciiTheme="minorHAnsi" w:hAnsiTheme="minorHAnsi"/>
          <w:sz w:val="22"/>
          <w:szCs w:val="22"/>
        </w:rPr>
        <w:t>.</w:t>
      </w:r>
    </w:p>
    <w:p w14:paraId="1AF2E547" w14:textId="77777777" w:rsidR="00670836" w:rsidRDefault="002427E3" w:rsidP="00670836">
      <w:pPr>
        <w:tabs>
          <w:tab w:val="left" w:pos="1134"/>
        </w:tabs>
        <w:rPr>
          <w:szCs w:val="22"/>
        </w:rPr>
      </w:pPr>
      <w:r>
        <w:rPr>
          <w:szCs w:val="22"/>
        </w:rPr>
        <w:t>L’AFD envisage également le financement</w:t>
      </w:r>
      <w:r w:rsidR="00A26A01" w:rsidRPr="00A26A01">
        <w:rPr>
          <w:szCs w:val="22"/>
        </w:rPr>
        <w:t xml:space="preserve"> </w:t>
      </w:r>
      <w:r>
        <w:rPr>
          <w:szCs w:val="22"/>
        </w:rPr>
        <w:t>de</w:t>
      </w:r>
      <w:r w:rsidR="00A26A01" w:rsidRPr="00A26A01">
        <w:rPr>
          <w:szCs w:val="22"/>
        </w:rPr>
        <w:t xml:space="preserve"> proje</w:t>
      </w:r>
      <w:r w:rsidR="00E87A14">
        <w:rPr>
          <w:szCs w:val="22"/>
        </w:rPr>
        <w:t>t</w:t>
      </w:r>
      <w:r>
        <w:rPr>
          <w:szCs w:val="22"/>
        </w:rPr>
        <w:t>s</w:t>
      </w:r>
      <w:r w:rsidR="00E87A14">
        <w:rPr>
          <w:szCs w:val="22"/>
        </w:rPr>
        <w:t xml:space="preserve"> de plantations bois-énergie. </w:t>
      </w:r>
    </w:p>
    <w:p w14:paraId="6D4B0612" w14:textId="657AD1E0" w:rsidR="00035A18" w:rsidRPr="00165E10" w:rsidRDefault="00670836" w:rsidP="00165E10">
      <w:pPr>
        <w:tabs>
          <w:tab w:val="left" w:pos="1134"/>
        </w:tabs>
        <w:rPr>
          <w:color w:val="548AB7" w:themeColor="accent1" w:themeShade="BF"/>
        </w:rPr>
      </w:pPr>
      <w:r>
        <w:rPr>
          <w:szCs w:val="22"/>
        </w:rPr>
        <w:t xml:space="preserve">On note que, </w:t>
      </w:r>
      <w:r>
        <w:t>en 2015, la CN-REDD a élaboré un document de projet de plantations de bois énergie et d’agroforesterie autour des grands centres urbains de 5 ans comportant des composantes d’appui institutionnel et de production de miel. Pour la mise en œuvre de ce projet, selon le panel d’expert, le gouvernement de la République du Congo pourra solliciter un appui de 4,3 millions d’euros auprès de l’AFD pour un coût total du projet estimé à 5,2 millions d’euros (source : CN REDD).</w:t>
      </w:r>
    </w:p>
    <w:p w14:paraId="3D9245E3" w14:textId="4D81AB06" w:rsidR="00B13F5B" w:rsidRDefault="00E87A14" w:rsidP="00B13F5B">
      <w:r>
        <w:t xml:space="preserve">Au Congo, </w:t>
      </w:r>
      <w:r w:rsidR="007F55F9">
        <w:t>l’AFD</w:t>
      </w:r>
      <w:r w:rsidR="00393844">
        <w:t xml:space="preserve"> cofinance sept partenariats avec des ONG internationales, notamment dans le domaine du développement local, le renforcement des capacités de la société civile nationale et l’amélioration des conditions de vie des populations locales visant à diminuer les risques sanitaires.</w:t>
      </w:r>
    </w:p>
    <w:p w14:paraId="257CA271" w14:textId="798873EB" w:rsidR="00E87A14" w:rsidRDefault="00E87A14" w:rsidP="00B13F5B">
      <w:r>
        <w:t xml:space="preserve">Au niveau régional, l’AFD finance également des projets comme le projet FINFORTROP, le projet de suivi satellitaire des forêts, etc. et </w:t>
      </w:r>
      <w:r w:rsidR="007F55F9">
        <w:t xml:space="preserve">apporte un </w:t>
      </w:r>
      <w:r>
        <w:t xml:space="preserve">appui la </w:t>
      </w:r>
      <w:r w:rsidR="007F55F9" w:rsidRPr="007F55F9">
        <w:t xml:space="preserve">Commission des Forêts d'Afrique Centrale </w:t>
      </w:r>
      <w:r w:rsidR="007F55F9">
        <w:t>(</w:t>
      </w:r>
      <w:r>
        <w:t>COMIFAC</w:t>
      </w:r>
      <w:r w:rsidR="007F55F9">
        <w:t>)</w:t>
      </w:r>
      <w:r>
        <w:t xml:space="preserve">. </w:t>
      </w:r>
    </w:p>
    <w:p w14:paraId="76EB7820" w14:textId="0F9C8B4F" w:rsidR="00F32BCE" w:rsidRDefault="00F32BCE" w:rsidP="00BC5CD1">
      <w:pPr>
        <w:rPr>
          <w:i/>
          <w:color w:val="DD8047" w:themeColor="accent2"/>
        </w:rPr>
      </w:pPr>
      <w:r>
        <w:rPr>
          <w:i/>
          <w:color w:val="DD8047" w:themeColor="accent2"/>
        </w:rPr>
        <w:lastRenderedPageBreak/>
        <w:t>PROPARCO</w:t>
      </w:r>
      <w:r w:rsidR="00485B0C">
        <w:rPr>
          <w:rStyle w:val="FootnoteReference"/>
          <w:i/>
          <w:color w:val="DD8047" w:themeColor="accent2"/>
        </w:rPr>
        <w:footnoteReference w:id="35"/>
      </w:r>
    </w:p>
    <w:p w14:paraId="59F62AB9" w14:textId="467E56EB" w:rsidR="00485B0C" w:rsidRDefault="00485B0C" w:rsidP="00BC5CD1">
      <w:r>
        <w:t>Filiale de l’</w:t>
      </w:r>
      <w:r w:rsidR="00B362D1">
        <w:t>AFD</w:t>
      </w:r>
      <w:r>
        <w:t xml:space="preserve"> dédiée au secteur privé</w:t>
      </w:r>
      <w:r w:rsidR="007F55F9">
        <w:t xml:space="preserve"> créée</w:t>
      </w:r>
      <w:r w:rsidR="00B362D1">
        <w:t xml:space="preserve"> en 1977</w:t>
      </w:r>
      <w:r>
        <w:t xml:space="preserve">, </w:t>
      </w:r>
      <w:proofErr w:type="spellStart"/>
      <w:r>
        <w:t>Proparco</w:t>
      </w:r>
      <w:proofErr w:type="spellEnd"/>
      <w:r w:rsidR="00B362D1">
        <w:t xml:space="preserve"> intervient dans le</w:t>
      </w:r>
      <w:r>
        <w:rPr>
          <w:rStyle w:val="texttaille10"/>
        </w:rPr>
        <w:t xml:space="preserve"> </w:t>
      </w:r>
      <w:r>
        <w:t xml:space="preserve">financement et l’accompagnement de projets d’entreprises et d’institutions financières dans les pays en développement et émergents </w:t>
      </w:r>
      <w:r w:rsidR="00B362D1">
        <w:t>(</w:t>
      </w:r>
      <w:r>
        <w:t>de la P</w:t>
      </w:r>
      <w:r w:rsidR="00B362D1">
        <w:t xml:space="preserve">ME au groupe bancaire régional et dans </w:t>
      </w:r>
      <w:r>
        <w:t>l’établissement de microfinance</w:t>
      </w:r>
      <w:r w:rsidR="00B362D1">
        <w:t>)</w:t>
      </w:r>
      <w:r>
        <w:t>.</w:t>
      </w:r>
    </w:p>
    <w:p w14:paraId="0D5965E0" w14:textId="6857C9BA" w:rsidR="002B1BC2" w:rsidRDefault="002B1BC2" w:rsidP="00BC5CD1">
      <w:r>
        <w:t xml:space="preserve">L’action de </w:t>
      </w:r>
      <w:proofErr w:type="spellStart"/>
      <w:r>
        <w:t>Proparco</w:t>
      </w:r>
      <w:proofErr w:type="spellEnd"/>
      <w:r>
        <w:t xml:space="preserve"> se concentre sur </w:t>
      </w:r>
      <w:r w:rsidR="00B362D1">
        <w:t>huit secteurs</w:t>
      </w:r>
      <w:r>
        <w:t>: les infrastructures avec un focus sur les énergies renouvelables, l’agriculture et l’agro-industrie, l</w:t>
      </w:r>
      <w:r w:rsidR="00B362D1">
        <w:t>es banques et marchés financiers</w:t>
      </w:r>
      <w:r>
        <w:t>,</w:t>
      </w:r>
      <w:r w:rsidR="00B362D1">
        <w:t xml:space="preserve"> le climat,</w:t>
      </w:r>
      <w:r>
        <w:t xml:space="preserve"> la santé, l’éducation</w:t>
      </w:r>
      <w:r w:rsidR="00B362D1">
        <w:t xml:space="preserve">, la microfinance et les fonds d’investissement. </w:t>
      </w:r>
    </w:p>
    <w:p w14:paraId="017C167F" w14:textId="19C36E17" w:rsidR="00EF5C5C" w:rsidRDefault="007F55F9" w:rsidP="00BC5CD1">
      <w:r>
        <w:t xml:space="preserve">L’Afrique </w:t>
      </w:r>
      <w:proofErr w:type="spellStart"/>
      <w:r>
        <w:t>S</w:t>
      </w:r>
      <w:r w:rsidR="00EF5C5C">
        <w:t>ub</w:t>
      </w:r>
      <w:proofErr w:type="spellEnd"/>
      <w:r w:rsidR="00EF5C5C">
        <w:t xml:space="preserve"> saharienne </w:t>
      </w:r>
      <w:r w:rsidR="00B362D1">
        <w:t>représente</w:t>
      </w:r>
      <w:r>
        <w:t xml:space="preserve"> 50% de l’activité annuelle de </w:t>
      </w:r>
      <w:proofErr w:type="spellStart"/>
      <w:r>
        <w:t>P</w:t>
      </w:r>
      <w:r w:rsidR="00EF5C5C">
        <w:t>roparco</w:t>
      </w:r>
      <w:proofErr w:type="spellEnd"/>
      <w:r w:rsidR="00EF5C5C">
        <w:t xml:space="preserve"> (1,5 milliard d’euros de portefeuille). </w:t>
      </w:r>
      <w:r w:rsidR="00B362D1">
        <w:t>Conformément à l’engagement prononcé par le Président de la République fin 2013, s</w:t>
      </w:r>
      <w:r w:rsidR="00EF5C5C">
        <w:t xml:space="preserve">ur la période 2014-2019, </w:t>
      </w:r>
      <w:proofErr w:type="spellStart"/>
      <w:r w:rsidR="00EF5C5C">
        <w:t>Proparco</w:t>
      </w:r>
      <w:proofErr w:type="spellEnd"/>
      <w:r w:rsidR="00EF5C5C">
        <w:t xml:space="preserve"> mobilisera au minimum 3,7 milliards d’euros d’investiss</w:t>
      </w:r>
      <w:r w:rsidR="00B362D1">
        <w:t>ements en Afrique subsaharienne</w:t>
      </w:r>
      <w:r w:rsidR="00EF5C5C">
        <w:t>.</w:t>
      </w:r>
    </w:p>
    <w:p w14:paraId="31C7D6B3" w14:textId="07EB69EF" w:rsidR="00EF5C5C" w:rsidRDefault="00EF5C5C" w:rsidP="00BC5CD1">
      <w:r>
        <w:t>Aujourd’</w:t>
      </w:r>
      <w:r w:rsidR="00B362D1">
        <w:t xml:space="preserve">hui, la </w:t>
      </w:r>
      <w:proofErr w:type="spellStart"/>
      <w:r w:rsidR="00B362D1">
        <w:t>P</w:t>
      </w:r>
      <w:r>
        <w:t>roparco</w:t>
      </w:r>
      <w:proofErr w:type="spellEnd"/>
      <w:r>
        <w:t xml:space="preserve"> ne dispose pas de projet en République du Congo </w:t>
      </w:r>
      <w:r w:rsidR="00B362D1">
        <w:t>(uniquement au Cameroun p</w:t>
      </w:r>
      <w:r>
        <w:t xml:space="preserve">our la région du Bassin du Congo). </w:t>
      </w:r>
    </w:p>
    <w:p w14:paraId="2E23064C" w14:textId="0511CF0E" w:rsidR="002B1BC2" w:rsidRDefault="00EA24DC" w:rsidP="00BC5CD1">
      <w:pPr>
        <w:rPr>
          <w:i/>
          <w:color w:val="DD8047" w:themeColor="accent2"/>
          <w:lang w:eastAsia="en-US"/>
        </w:rPr>
      </w:pPr>
      <w:r>
        <w:rPr>
          <w:i/>
          <w:color w:val="DD8047" w:themeColor="accent2"/>
          <w:lang w:eastAsia="en-US"/>
        </w:rPr>
        <w:t xml:space="preserve">Les fonds et initiatives </w:t>
      </w:r>
    </w:p>
    <w:p w14:paraId="668AAFA0" w14:textId="317A53CC" w:rsidR="00A94C76" w:rsidRPr="00A94C76" w:rsidRDefault="00A94C76" w:rsidP="008B0EB3">
      <w:pPr>
        <w:pStyle w:val="ListParagraph"/>
        <w:numPr>
          <w:ilvl w:val="0"/>
          <w:numId w:val="20"/>
        </w:numPr>
        <w:spacing w:before="120"/>
        <w:ind w:left="1418" w:hanging="425"/>
        <w:rPr>
          <w:color w:val="548AB7" w:themeColor="accent1" w:themeShade="BF"/>
          <w:szCs w:val="22"/>
        </w:rPr>
      </w:pPr>
      <w:r w:rsidRPr="00A94C76">
        <w:rPr>
          <w:i/>
          <w:color w:val="548AB7" w:themeColor="accent1" w:themeShade="BF"/>
          <w:szCs w:val="22"/>
          <w:lang w:eastAsia="en-US"/>
        </w:rPr>
        <w:t xml:space="preserve">Le Fonds Français pour l’Environnement </w:t>
      </w:r>
      <w:r w:rsidR="00165E10" w:rsidRPr="00A94C76">
        <w:rPr>
          <w:i/>
          <w:color w:val="548AB7" w:themeColor="accent1" w:themeShade="BF"/>
          <w:szCs w:val="22"/>
          <w:lang w:eastAsia="en-US"/>
        </w:rPr>
        <w:t xml:space="preserve">Mondial </w:t>
      </w:r>
      <w:r w:rsidRPr="00A94C76">
        <w:rPr>
          <w:i/>
          <w:color w:val="548AB7" w:themeColor="accent1" w:themeShade="BF"/>
          <w:szCs w:val="22"/>
          <w:lang w:eastAsia="en-US"/>
        </w:rPr>
        <w:t>(FFEM)</w:t>
      </w:r>
      <w:r w:rsidRPr="00A94C76">
        <w:rPr>
          <w:rStyle w:val="FootnoteReference"/>
          <w:i/>
          <w:color w:val="548AB7" w:themeColor="accent1" w:themeShade="BF"/>
          <w:szCs w:val="22"/>
          <w:lang w:eastAsia="en-US"/>
        </w:rPr>
        <w:footnoteReference w:id="36"/>
      </w:r>
    </w:p>
    <w:p w14:paraId="71807EDD" w14:textId="77777777" w:rsidR="00A94C76" w:rsidRPr="009F65D0" w:rsidRDefault="00A94C76" w:rsidP="00A94C76">
      <w:pPr>
        <w:pStyle w:val="NormalWeb"/>
        <w:spacing w:before="120" w:beforeAutospacing="0" w:after="120" w:afterAutospacing="0"/>
        <w:jc w:val="both"/>
        <w:rPr>
          <w:rFonts w:asciiTheme="minorHAnsi" w:hAnsiTheme="minorHAnsi"/>
          <w:sz w:val="22"/>
          <w:szCs w:val="22"/>
        </w:rPr>
      </w:pPr>
      <w:r w:rsidRPr="009F65D0">
        <w:rPr>
          <w:rFonts w:asciiTheme="minorHAnsi" w:hAnsiTheme="minorHAnsi"/>
          <w:sz w:val="22"/>
          <w:szCs w:val="22"/>
        </w:rPr>
        <w:t xml:space="preserve">Créé en 1994, le </w:t>
      </w:r>
      <w:r>
        <w:rPr>
          <w:rFonts w:asciiTheme="minorHAnsi" w:hAnsiTheme="minorHAnsi"/>
          <w:sz w:val="22"/>
          <w:szCs w:val="22"/>
        </w:rPr>
        <w:t>FFEM</w:t>
      </w:r>
      <w:r w:rsidRPr="009F65D0">
        <w:rPr>
          <w:rFonts w:asciiTheme="minorHAnsi" w:hAnsiTheme="minorHAnsi"/>
          <w:sz w:val="22"/>
          <w:szCs w:val="22"/>
        </w:rPr>
        <w:t>, fonds public bilatéral, est un instrument financier de la politique française de coopération et de développement, dédié à la protection de l’environnement et au développement durable. Son pilotage est assuré par l’AFD et cinq ministères (économie et finances, affaires étrangères, développement durable, recherche, agriculture). L’AFD est chargée du secrétariat et de la gestion financière.</w:t>
      </w:r>
    </w:p>
    <w:p w14:paraId="698FDA25" w14:textId="77777777" w:rsidR="00A94C76" w:rsidRPr="009F65D0" w:rsidRDefault="00A94C76" w:rsidP="00A94C76">
      <w:pPr>
        <w:pStyle w:val="NormalWeb"/>
        <w:spacing w:before="120" w:beforeAutospacing="0" w:after="120" w:afterAutospacing="0"/>
        <w:jc w:val="both"/>
        <w:rPr>
          <w:rFonts w:asciiTheme="minorHAnsi" w:hAnsiTheme="minorHAnsi"/>
          <w:sz w:val="22"/>
          <w:szCs w:val="22"/>
        </w:rPr>
      </w:pPr>
      <w:r w:rsidRPr="009F65D0">
        <w:rPr>
          <w:rFonts w:asciiTheme="minorHAnsi" w:hAnsiTheme="minorHAnsi"/>
          <w:sz w:val="22"/>
          <w:szCs w:val="22"/>
        </w:rPr>
        <w:t>De manière générale, le fonds apporte un complément de financement entre 0,5 et 1,5 millions d’euros aux projets de dével</w:t>
      </w:r>
      <w:r>
        <w:rPr>
          <w:rFonts w:asciiTheme="minorHAnsi" w:hAnsiTheme="minorHAnsi"/>
          <w:sz w:val="22"/>
          <w:szCs w:val="22"/>
        </w:rPr>
        <w:t>oppement portés par les membres</w:t>
      </w:r>
      <w:r w:rsidRPr="009F65D0">
        <w:rPr>
          <w:rFonts w:asciiTheme="minorHAnsi" w:hAnsiTheme="minorHAnsi"/>
          <w:sz w:val="22"/>
          <w:szCs w:val="22"/>
        </w:rPr>
        <w:t xml:space="preserve"> du comité de pilotage qui ont un im</w:t>
      </w:r>
      <w:r>
        <w:rPr>
          <w:rFonts w:asciiTheme="minorHAnsi" w:hAnsiTheme="minorHAnsi"/>
          <w:sz w:val="22"/>
          <w:szCs w:val="22"/>
        </w:rPr>
        <w:t xml:space="preserve">pact significatif et durable sur les </w:t>
      </w:r>
      <w:r w:rsidRPr="009F65D0">
        <w:rPr>
          <w:rFonts w:asciiTheme="minorHAnsi" w:hAnsiTheme="minorHAnsi"/>
          <w:sz w:val="22"/>
          <w:szCs w:val="22"/>
        </w:rPr>
        <w:t>grands enjeux de l’environnement mondial</w:t>
      </w:r>
      <w:r w:rsidRPr="007F55F9">
        <w:rPr>
          <w:rFonts w:asciiTheme="minorHAnsi" w:hAnsiTheme="minorHAnsi"/>
          <w:sz w:val="22"/>
          <w:szCs w:val="22"/>
        </w:rPr>
        <w:t xml:space="preserve"> (</w:t>
      </w:r>
      <w:r w:rsidRPr="007F55F9">
        <w:rPr>
          <w:rFonts w:asciiTheme="minorHAnsi" w:eastAsiaTheme="majorEastAsia" w:hAnsiTheme="minorHAnsi"/>
          <w:sz w:val="22"/>
          <w:szCs w:val="22"/>
        </w:rPr>
        <w:t>biodiversité</w:t>
      </w:r>
      <w:r w:rsidRPr="007F55F9">
        <w:rPr>
          <w:rFonts w:asciiTheme="minorHAnsi" w:hAnsiTheme="minorHAnsi"/>
          <w:sz w:val="22"/>
          <w:szCs w:val="22"/>
        </w:rPr>
        <w:t xml:space="preserve">, </w:t>
      </w:r>
      <w:r w:rsidRPr="007F55F9">
        <w:rPr>
          <w:rFonts w:asciiTheme="minorHAnsi" w:eastAsiaTheme="majorEastAsia" w:hAnsiTheme="minorHAnsi"/>
          <w:sz w:val="22"/>
          <w:szCs w:val="22"/>
        </w:rPr>
        <w:t>changements climatiques</w:t>
      </w:r>
      <w:r w:rsidRPr="007F55F9">
        <w:rPr>
          <w:rFonts w:asciiTheme="minorHAnsi" w:hAnsiTheme="minorHAnsi"/>
          <w:sz w:val="22"/>
          <w:szCs w:val="22"/>
        </w:rPr>
        <w:t xml:space="preserve">, </w:t>
      </w:r>
      <w:r w:rsidRPr="007F55F9">
        <w:rPr>
          <w:rFonts w:asciiTheme="minorHAnsi" w:eastAsiaTheme="majorEastAsia" w:hAnsiTheme="minorHAnsi"/>
          <w:sz w:val="22"/>
          <w:szCs w:val="22"/>
        </w:rPr>
        <w:t>eaux internationales</w:t>
      </w:r>
      <w:r w:rsidRPr="007F55F9">
        <w:rPr>
          <w:rFonts w:asciiTheme="minorHAnsi" w:hAnsiTheme="minorHAnsi"/>
          <w:sz w:val="22"/>
          <w:szCs w:val="22"/>
        </w:rPr>
        <w:t xml:space="preserve">, </w:t>
      </w:r>
      <w:r w:rsidRPr="007F55F9">
        <w:rPr>
          <w:rFonts w:asciiTheme="minorHAnsi" w:eastAsiaTheme="majorEastAsia" w:hAnsiTheme="minorHAnsi"/>
          <w:sz w:val="22"/>
          <w:szCs w:val="22"/>
        </w:rPr>
        <w:t>dégradation des terres incluant la désertification et la déforestation</w:t>
      </w:r>
      <w:r w:rsidRPr="007F55F9">
        <w:rPr>
          <w:rFonts w:asciiTheme="minorHAnsi" w:hAnsiTheme="minorHAnsi"/>
          <w:sz w:val="22"/>
          <w:szCs w:val="22"/>
        </w:rPr>
        <w:t xml:space="preserve">, </w:t>
      </w:r>
      <w:r w:rsidRPr="007F55F9">
        <w:rPr>
          <w:rFonts w:asciiTheme="minorHAnsi" w:eastAsiaTheme="majorEastAsia" w:hAnsiTheme="minorHAnsi"/>
          <w:sz w:val="22"/>
          <w:szCs w:val="22"/>
        </w:rPr>
        <w:t>polluants organiques persistants</w:t>
      </w:r>
      <w:r>
        <w:rPr>
          <w:rFonts w:asciiTheme="minorHAnsi" w:hAnsiTheme="minorHAnsi"/>
          <w:sz w:val="22"/>
          <w:szCs w:val="22"/>
        </w:rPr>
        <w:t xml:space="preserve"> et</w:t>
      </w:r>
      <w:r w:rsidRPr="007F55F9">
        <w:rPr>
          <w:rFonts w:asciiTheme="minorHAnsi" w:hAnsiTheme="minorHAnsi"/>
          <w:sz w:val="22"/>
          <w:szCs w:val="22"/>
        </w:rPr>
        <w:t xml:space="preserve"> </w:t>
      </w:r>
      <w:r w:rsidRPr="007F55F9">
        <w:rPr>
          <w:rFonts w:asciiTheme="minorHAnsi" w:eastAsiaTheme="majorEastAsia" w:hAnsiTheme="minorHAnsi"/>
          <w:sz w:val="22"/>
          <w:szCs w:val="22"/>
        </w:rPr>
        <w:t>couche d’ozone</w:t>
      </w:r>
      <w:r w:rsidRPr="007F55F9">
        <w:rPr>
          <w:rFonts w:asciiTheme="minorHAnsi" w:hAnsiTheme="minorHAnsi"/>
          <w:sz w:val="22"/>
          <w:szCs w:val="22"/>
        </w:rPr>
        <w:t>).</w:t>
      </w:r>
    </w:p>
    <w:p w14:paraId="3BC3EDE8" w14:textId="46884A5C" w:rsidR="00A94C76" w:rsidRPr="00E746D3" w:rsidRDefault="00A94C76" w:rsidP="00E746D3">
      <w:pPr>
        <w:pStyle w:val="NormalWeb"/>
        <w:spacing w:before="120" w:beforeAutospacing="0" w:after="120" w:afterAutospacing="0"/>
        <w:jc w:val="both"/>
        <w:rPr>
          <w:rFonts w:asciiTheme="minorHAnsi" w:hAnsiTheme="minorHAnsi"/>
          <w:sz w:val="22"/>
          <w:szCs w:val="22"/>
        </w:rPr>
      </w:pPr>
      <w:r w:rsidRPr="009F65D0">
        <w:rPr>
          <w:rFonts w:asciiTheme="minorHAnsi" w:hAnsiTheme="minorHAnsi"/>
          <w:sz w:val="22"/>
          <w:szCs w:val="22"/>
        </w:rPr>
        <w:t xml:space="preserve">De plus, en 2006, le fonds a mis en place le programme </w:t>
      </w:r>
      <w:r>
        <w:rPr>
          <w:rFonts w:asciiTheme="minorHAnsi" w:hAnsiTheme="minorHAnsi"/>
          <w:sz w:val="22"/>
          <w:szCs w:val="22"/>
        </w:rPr>
        <w:t xml:space="preserve">de </w:t>
      </w:r>
      <w:r w:rsidRPr="009F65D0">
        <w:rPr>
          <w:rFonts w:asciiTheme="minorHAnsi" w:hAnsiTheme="minorHAnsi"/>
          <w:sz w:val="22"/>
          <w:szCs w:val="22"/>
        </w:rPr>
        <w:t>petit</w:t>
      </w:r>
      <w:r>
        <w:rPr>
          <w:rFonts w:asciiTheme="minorHAnsi" w:hAnsiTheme="minorHAnsi"/>
          <w:sz w:val="22"/>
          <w:szCs w:val="22"/>
        </w:rPr>
        <w:t>es</w:t>
      </w:r>
      <w:r w:rsidRPr="009F65D0">
        <w:rPr>
          <w:rFonts w:asciiTheme="minorHAnsi" w:hAnsiTheme="minorHAnsi"/>
          <w:sz w:val="22"/>
          <w:szCs w:val="22"/>
        </w:rPr>
        <w:t xml:space="preserve"> initiatives (PPI) </w:t>
      </w:r>
      <w:r>
        <w:rPr>
          <w:rFonts w:asciiTheme="minorHAnsi" w:hAnsiTheme="minorHAnsi"/>
          <w:sz w:val="22"/>
          <w:szCs w:val="22"/>
        </w:rPr>
        <w:t xml:space="preserve">en Afrique de l’Ouest et Centrale </w:t>
      </w:r>
      <w:r w:rsidRPr="009F65D0">
        <w:rPr>
          <w:rFonts w:asciiTheme="minorHAnsi" w:hAnsiTheme="minorHAnsi"/>
          <w:sz w:val="22"/>
          <w:szCs w:val="22"/>
        </w:rPr>
        <w:t xml:space="preserve">qui a pour </w:t>
      </w:r>
      <w:r w:rsidRPr="009F65D0">
        <w:rPr>
          <w:rStyle w:val="Strong"/>
          <w:rFonts w:asciiTheme="minorHAnsi" w:eastAsiaTheme="majorEastAsia" w:hAnsiTheme="minorHAnsi"/>
          <w:b w:val="0"/>
          <w:sz w:val="22"/>
          <w:szCs w:val="22"/>
        </w:rPr>
        <w:t xml:space="preserve">a pour objectif de soutenir les organisations de la société civile des pays africains actives dans la protection de la biodiversité et la lutte contre le changement climatique, à travers le financement de projets de petite taille. </w:t>
      </w:r>
      <w:r>
        <w:rPr>
          <w:rStyle w:val="Strong"/>
          <w:rFonts w:asciiTheme="minorHAnsi" w:eastAsiaTheme="majorEastAsia" w:hAnsiTheme="minorHAnsi"/>
          <w:b w:val="0"/>
          <w:sz w:val="22"/>
          <w:szCs w:val="22"/>
        </w:rPr>
        <w:t>C</w:t>
      </w:r>
      <w:r w:rsidRPr="009F65D0">
        <w:rPr>
          <w:rStyle w:val="Strong"/>
          <w:rFonts w:asciiTheme="minorHAnsi" w:eastAsiaTheme="majorEastAsia" w:hAnsiTheme="minorHAnsi"/>
          <w:b w:val="0"/>
          <w:sz w:val="22"/>
          <w:szCs w:val="22"/>
        </w:rPr>
        <w:t>haque année 15 à 18 projets sont cofinancés par le FFEM à hauteur de 50 000 euros maximum chacun.</w:t>
      </w:r>
      <w:r w:rsidRPr="009F65D0">
        <w:rPr>
          <w:rStyle w:val="Strong"/>
          <w:rFonts w:asciiTheme="minorHAnsi" w:eastAsiaTheme="majorEastAsia" w:hAnsiTheme="minorHAnsi"/>
          <w:sz w:val="22"/>
          <w:szCs w:val="22"/>
        </w:rPr>
        <w:t xml:space="preserve"> </w:t>
      </w:r>
    </w:p>
    <w:p w14:paraId="39DF6402" w14:textId="7AB9FA27" w:rsidR="00296EF8" w:rsidRPr="00296EF8" w:rsidRDefault="00296EF8" w:rsidP="008B0EB3">
      <w:pPr>
        <w:pStyle w:val="ListParagraph"/>
        <w:numPr>
          <w:ilvl w:val="0"/>
          <w:numId w:val="22"/>
        </w:numPr>
        <w:jc w:val="left"/>
        <w:rPr>
          <w:rFonts w:cs="Arial"/>
          <w:color w:val="548AB7" w:themeColor="accent1" w:themeShade="BF"/>
          <w:szCs w:val="23"/>
        </w:rPr>
      </w:pPr>
      <w:proofErr w:type="spellStart"/>
      <w:r w:rsidRPr="00296EF8">
        <w:rPr>
          <w:rFonts w:cs="Arial"/>
          <w:color w:val="548AB7" w:themeColor="accent1" w:themeShade="BF"/>
          <w:szCs w:val="23"/>
        </w:rPr>
        <w:t>Interact</w:t>
      </w:r>
      <w:proofErr w:type="spellEnd"/>
      <w:r w:rsidRPr="00296EF8">
        <w:rPr>
          <w:rFonts w:cs="Arial"/>
          <w:color w:val="548AB7" w:themeColor="accent1" w:themeShade="BF"/>
          <w:szCs w:val="23"/>
        </w:rPr>
        <w:t xml:space="preserve"> </w:t>
      </w:r>
      <w:proofErr w:type="spellStart"/>
      <w:r w:rsidRPr="00296EF8">
        <w:rPr>
          <w:rFonts w:cs="Arial"/>
          <w:color w:val="548AB7" w:themeColor="accent1" w:themeShade="BF"/>
          <w:szCs w:val="23"/>
        </w:rPr>
        <w:t>Climate</w:t>
      </w:r>
      <w:proofErr w:type="spellEnd"/>
      <w:r w:rsidRPr="00296EF8">
        <w:rPr>
          <w:rFonts w:cs="Arial"/>
          <w:color w:val="548AB7" w:themeColor="accent1" w:themeShade="BF"/>
          <w:szCs w:val="23"/>
        </w:rPr>
        <w:t xml:space="preserve"> Change Facility (ICCF)</w:t>
      </w:r>
    </w:p>
    <w:p w14:paraId="762464A8" w14:textId="22462953" w:rsidR="00296EF8" w:rsidRPr="00296EF8" w:rsidRDefault="00296EF8" w:rsidP="00296EF8">
      <w:pPr>
        <w:spacing w:after="0"/>
        <w:rPr>
          <w:rFonts w:cs="Arial"/>
          <w:szCs w:val="22"/>
        </w:rPr>
      </w:pPr>
      <w:r w:rsidRPr="00296EF8">
        <w:rPr>
          <w:rFonts w:cs="Arial"/>
          <w:szCs w:val="22"/>
        </w:rPr>
        <w:t>En 2011, l’AFD, la Banque européenne d’investissement (BEI), PROPARCO et 10 autres institutions européennes de financement du développement ont mis en place l’ICCF</w:t>
      </w:r>
      <w:r>
        <w:rPr>
          <w:rFonts w:cs="Arial"/>
          <w:szCs w:val="22"/>
        </w:rPr>
        <w:t xml:space="preserve"> </w:t>
      </w:r>
      <w:r w:rsidRPr="00296EF8">
        <w:rPr>
          <w:rFonts w:cs="Arial"/>
          <w:szCs w:val="22"/>
        </w:rPr>
        <w:t>visant au cofinancement de projets d’énergies renouvelables et d’efficacité énergétique portés par le secteur privé dans les pays en développement et émergents.</w:t>
      </w:r>
    </w:p>
    <w:p w14:paraId="227CB9BC" w14:textId="789C544A" w:rsidR="00296EF8" w:rsidRPr="00296EF8" w:rsidRDefault="00296EF8" w:rsidP="00296EF8">
      <w:pPr>
        <w:spacing w:after="0"/>
        <w:rPr>
          <w:rFonts w:cs="Arial"/>
          <w:szCs w:val="22"/>
        </w:rPr>
      </w:pPr>
      <w:r w:rsidRPr="00296EF8">
        <w:rPr>
          <w:rFonts w:cs="Arial"/>
          <w:szCs w:val="22"/>
        </w:rPr>
        <w:t xml:space="preserve">Sur la période 2012-2014, </w:t>
      </w:r>
      <w:r w:rsidR="007F55F9">
        <w:rPr>
          <w:rFonts w:cs="Arial"/>
          <w:szCs w:val="22"/>
        </w:rPr>
        <w:t>l’ICCF a engagé 269 millions d’euros</w:t>
      </w:r>
      <w:r w:rsidRPr="00296EF8">
        <w:rPr>
          <w:rFonts w:cs="Arial"/>
          <w:szCs w:val="22"/>
        </w:rPr>
        <w:t xml:space="preserve"> sur 15 projets « climat »</w:t>
      </w:r>
      <w:r w:rsidR="007F55F9">
        <w:rPr>
          <w:rFonts w:cs="Arial"/>
          <w:szCs w:val="22"/>
        </w:rPr>
        <w:t>.</w:t>
      </w:r>
      <w:r w:rsidRPr="00296EF8">
        <w:rPr>
          <w:rFonts w:cs="Arial"/>
          <w:szCs w:val="22"/>
        </w:rPr>
        <w:t xml:space="preserve"> L’éolien représente près de la moitié des projets financés par l’ICCF, suivi par l’efficacité énergétique, l’énergie solaire, la géothermie et l’hydro-électricité. Ils se répartissent à parts sensiblement égales entre l’Asie et l’Afrique.</w:t>
      </w:r>
    </w:p>
    <w:p w14:paraId="39BF0EA8" w14:textId="5C0195CE" w:rsidR="00296EF8" w:rsidRDefault="00296EF8" w:rsidP="00296EF8">
      <w:pPr>
        <w:spacing w:after="0"/>
        <w:rPr>
          <w:rFonts w:cs="Arial"/>
          <w:szCs w:val="22"/>
        </w:rPr>
      </w:pPr>
      <w:r w:rsidRPr="00296EF8">
        <w:rPr>
          <w:rFonts w:cs="Arial"/>
          <w:szCs w:val="22"/>
        </w:rPr>
        <w:t>Depuis sa c</w:t>
      </w:r>
      <w:r w:rsidR="007F55F9">
        <w:rPr>
          <w:rFonts w:cs="Arial"/>
          <w:szCs w:val="22"/>
        </w:rPr>
        <w:t>réation, l’ICCF a collecté 461 millions d’euros</w:t>
      </w:r>
      <w:r>
        <w:rPr>
          <w:rStyle w:val="FootnoteReference"/>
          <w:rFonts w:cs="Arial"/>
          <w:szCs w:val="22"/>
        </w:rPr>
        <w:footnoteReference w:id="37"/>
      </w:r>
      <w:r w:rsidRPr="00296EF8">
        <w:rPr>
          <w:rFonts w:cs="Arial"/>
          <w:szCs w:val="22"/>
        </w:rPr>
        <w:t>.</w:t>
      </w:r>
    </w:p>
    <w:p w14:paraId="4E8F4956" w14:textId="77777777" w:rsidR="00A33F43" w:rsidRDefault="00A33F43" w:rsidP="00296EF8">
      <w:pPr>
        <w:spacing w:after="0"/>
        <w:rPr>
          <w:rFonts w:cs="Arial"/>
          <w:szCs w:val="22"/>
        </w:rPr>
      </w:pPr>
    </w:p>
    <w:p w14:paraId="46D2A6FA" w14:textId="6F35A578" w:rsidR="00A33F43" w:rsidRPr="00A33F43" w:rsidRDefault="00A33F43" w:rsidP="00A33F43">
      <w:pPr>
        <w:pStyle w:val="ListParagraph"/>
        <w:numPr>
          <w:ilvl w:val="0"/>
          <w:numId w:val="20"/>
        </w:numPr>
        <w:ind w:left="1418" w:hanging="284"/>
        <w:rPr>
          <w:rFonts w:cs="Arial"/>
          <w:color w:val="548AB7" w:themeColor="accent1" w:themeShade="BF"/>
          <w:szCs w:val="22"/>
        </w:rPr>
      </w:pPr>
      <w:r w:rsidRPr="00A33F43">
        <w:rPr>
          <w:color w:val="548AB7" w:themeColor="accent1" w:themeShade="BF"/>
        </w:rPr>
        <w:t>Fonds d’étude et d’Aide au Secteur Privé (FASEP)</w:t>
      </w:r>
      <w:r>
        <w:rPr>
          <w:rStyle w:val="FootnoteReference"/>
          <w:color w:val="548AB7" w:themeColor="accent1" w:themeShade="BF"/>
        </w:rPr>
        <w:footnoteReference w:id="38"/>
      </w:r>
    </w:p>
    <w:p w14:paraId="3B9B88AE" w14:textId="68E3BA2A" w:rsidR="00A33F43" w:rsidRPr="00A33F43" w:rsidRDefault="00A33F43" w:rsidP="00A33F43">
      <w:pPr>
        <w:spacing w:after="0"/>
        <w:rPr>
          <w:rFonts w:ascii="Tw Cen MT" w:hAnsi="Tw Cen MT"/>
          <w:szCs w:val="22"/>
        </w:rPr>
      </w:pPr>
      <w:r w:rsidRPr="00A33F43">
        <w:rPr>
          <w:rFonts w:ascii="Tw Cen MT" w:hAnsi="Tw Cen MT"/>
          <w:szCs w:val="22"/>
        </w:rPr>
        <w:t>Le FASEP est un instrument de don de l’aide-projet des ministères économiques et financiers français. Il a pour objectifs de :</w:t>
      </w:r>
    </w:p>
    <w:p w14:paraId="111B8140" w14:textId="1C70A00C" w:rsidR="00A33F43" w:rsidRPr="00A33F43" w:rsidRDefault="00A33F43" w:rsidP="00A33F43">
      <w:pPr>
        <w:numPr>
          <w:ilvl w:val="0"/>
          <w:numId w:val="54"/>
        </w:numPr>
        <w:spacing w:after="100" w:afterAutospacing="1"/>
        <w:rPr>
          <w:rFonts w:ascii="Tw Cen MT" w:hAnsi="Tw Cen MT"/>
          <w:szCs w:val="22"/>
        </w:rPr>
      </w:pPr>
      <w:r w:rsidRPr="00A33F43">
        <w:rPr>
          <w:rFonts w:ascii="Tw Cen MT" w:hAnsi="Tw Cen MT"/>
          <w:szCs w:val="22"/>
        </w:rPr>
        <w:t xml:space="preserve">bénéficier </w:t>
      </w:r>
      <w:r>
        <w:rPr>
          <w:rFonts w:ascii="Tw Cen MT" w:hAnsi="Tw Cen MT"/>
          <w:szCs w:val="22"/>
        </w:rPr>
        <w:t>à</w:t>
      </w:r>
      <w:r w:rsidRPr="00A33F43">
        <w:rPr>
          <w:rFonts w:ascii="Tw Cen MT" w:hAnsi="Tw Cen MT"/>
          <w:szCs w:val="22"/>
        </w:rPr>
        <w:t xml:space="preserve"> des entités publiques et des projets répondant aux besoins de développement des pays récipiendaires, dans une perspective de développement économique durable (meilleur </w:t>
      </w:r>
      <w:r w:rsidRPr="00A33F43">
        <w:rPr>
          <w:rFonts w:ascii="Tw Cen MT" w:hAnsi="Tw Cen MT"/>
          <w:szCs w:val="22"/>
        </w:rPr>
        <w:lastRenderedPageBreak/>
        <w:t>accès à l’eau, à l’électricité, amélioration de l’offre de transports, renforcement</w:t>
      </w:r>
      <w:r>
        <w:rPr>
          <w:rFonts w:ascii="Tw Cen MT" w:hAnsi="Tw Cen MT"/>
          <w:szCs w:val="22"/>
        </w:rPr>
        <w:t xml:space="preserve"> des capacités médicales, etc.) ;</w:t>
      </w:r>
    </w:p>
    <w:p w14:paraId="5979134A" w14:textId="2790C4FE" w:rsidR="00A33F43" w:rsidRPr="00A33F43" w:rsidRDefault="00A33F43" w:rsidP="00A33F43">
      <w:pPr>
        <w:numPr>
          <w:ilvl w:val="0"/>
          <w:numId w:val="54"/>
        </w:numPr>
        <w:rPr>
          <w:rFonts w:ascii="Tw Cen MT" w:hAnsi="Tw Cen MT"/>
          <w:szCs w:val="22"/>
        </w:rPr>
      </w:pPr>
      <w:r w:rsidRPr="00A33F43">
        <w:rPr>
          <w:rFonts w:ascii="Tw Cen MT" w:hAnsi="Tw Cen MT"/>
          <w:szCs w:val="22"/>
        </w:rPr>
        <w:t xml:space="preserve">contribuer au développement international des entreprises françaises en les positionnant sur des secteurs où elles disposent d’un savoir-faire reconnu. </w:t>
      </w:r>
    </w:p>
    <w:p w14:paraId="27E090A5" w14:textId="58D75F8A" w:rsidR="00A33F43" w:rsidRPr="00A33F43" w:rsidRDefault="00A33F43" w:rsidP="009D62B3">
      <w:pPr>
        <w:spacing w:after="0"/>
        <w:rPr>
          <w:rFonts w:ascii="Tw Cen MT" w:hAnsi="Tw Cen MT"/>
          <w:szCs w:val="22"/>
        </w:rPr>
      </w:pPr>
      <w:r w:rsidRPr="00A33F43">
        <w:rPr>
          <w:rFonts w:ascii="Tw Cen MT" w:hAnsi="Tw Cen MT"/>
          <w:szCs w:val="22"/>
        </w:rPr>
        <w:t xml:space="preserve">Il se décline en deux formules : </w:t>
      </w:r>
    </w:p>
    <w:p w14:paraId="4C51D4C4" w14:textId="42675BC6" w:rsidR="00A33F43" w:rsidRPr="00A33F43" w:rsidRDefault="00A33F43" w:rsidP="00A33F43">
      <w:pPr>
        <w:pStyle w:val="ListParagraph"/>
        <w:numPr>
          <w:ilvl w:val="0"/>
          <w:numId w:val="39"/>
        </w:numPr>
        <w:spacing w:after="100" w:afterAutospacing="1"/>
        <w:rPr>
          <w:rFonts w:ascii="Tw Cen MT" w:hAnsi="Tw Cen MT"/>
          <w:szCs w:val="22"/>
        </w:rPr>
      </w:pPr>
      <w:r w:rsidRPr="00A33F43">
        <w:rPr>
          <w:rFonts w:ascii="Tw Cen MT" w:hAnsi="Tw Cen MT"/>
          <w:szCs w:val="22"/>
        </w:rPr>
        <w:t xml:space="preserve">le </w:t>
      </w:r>
      <w:r>
        <w:rPr>
          <w:rFonts w:ascii="Tw Cen MT" w:hAnsi="Tw Cen MT"/>
          <w:szCs w:val="22"/>
        </w:rPr>
        <w:t>« </w:t>
      </w:r>
      <w:r w:rsidRPr="00A33F43">
        <w:rPr>
          <w:rFonts w:ascii="Tw Cen MT" w:hAnsi="Tw Cen MT"/>
          <w:iCs/>
          <w:szCs w:val="22"/>
        </w:rPr>
        <w:t>FASEP-Études</w:t>
      </w:r>
      <w:r>
        <w:rPr>
          <w:rFonts w:ascii="Tw Cen MT" w:hAnsi="Tw Cen MT"/>
          <w:iCs/>
          <w:szCs w:val="22"/>
        </w:rPr>
        <w:t> »</w:t>
      </w:r>
      <w:r w:rsidRPr="00A33F43">
        <w:rPr>
          <w:rFonts w:ascii="Tw Cen MT" w:hAnsi="Tw Cen MT"/>
          <w:szCs w:val="22"/>
        </w:rPr>
        <w:t xml:space="preserve"> qui finance principalement des études de faisabilité ou de l’assistance technique en amont de projet de développement ; </w:t>
      </w:r>
    </w:p>
    <w:p w14:paraId="52453589" w14:textId="038A7FC9" w:rsidR="00A33F43" w:rsidRPr="00A33F43" w:rsidRDefault="00A33F43" w:rsidP="00A33F43">
      <w:pPr>
        <w:pStyle w:val="ListParagraph"/>
        <w:numPr>
          <w:ilvl w:val="0"/>
          <w:numId w:val="39"/>
        </w:numPr>
        <w:spacing w:before="100" w:beforeAutospacing="1"/>
        <w:rPr>
          <w:rFonts w:ascii="Tw Cen MT" w:hAnsi="Tw Cen MT"/>
          <w:szCs w:val="22"/>
        </w:rPr>
      </w:pPr>
      <w:r w:rsidRPr="00A33F43">
        <w:rPr>
          <w:rFonts w:ascii="Tw Cen MT" w:hAnsi="Tw Cen MT"/>
          <w:szCs w:val="22"/>
        </w:rPr>
        <w:t xml:space="preserve">le </w:t>
      </w:r>
      <w:r>
        <w:rPr>
          <w:rFonts w:ascii="Tw Cen MT" w:hAnsi="Tw Cen MT"/>
          <w:szCs w:val="22"/>
        </w:rPr>
        <w:t>« </w:t>
      </w:r>
      <w:r w:rsidRPr="00A33F43">
        <w:rPr>
          <w:rFonts w:ascii="Tw Cen MT" w:hAnsi="Tw Cen MT"/>
          <w:iCs/>
          <w:szCs w:val="22"/>
        </w:rPr>
        <w:t>FASEP-Innovation verte</w:t>
      </w:r>
      <w:r>
        <w:rPr>
          <w:rFonts w:ascii="Tw Cen MT" w:hAnsi="Tw Cen MT"/>
          <w:iCs/>
          <w:szCs w:val="22"/>
        </w:rPr>
        <w:t> »</w:t>
      </w:r>
      <w:r w:rsidRPr="00A33F43">
        <w:rPr>
          <w:rFonts w:ascii="Tw Cen MT" w:hAnsi="Tw Cen MT"/>
          <w:szCs w:val="22"/>
        </w:rPr>
        <w:t xml:space="preserve"> qui finance des démonstrateurs de technologies innovantes dédiées à l’environnement et au développement durable ;</w:t>
      </w:r>
    </w:p>
    <w:p w14:paraId="7C26F8D1" w14:textId="66F954F1" w:rsidR="00A33F43" w:rsidRPr="00A33F43" w:rsidRDefault="00A33F43" w:rsidP="00A33F43">
      <w:pPr>
        <w:spacing w:after="0"/>
        <w:rPr>
          <w:rFonts w:ascii="Tw Cen MT" w:hAnsi="Tw Cen MT"/>
          <w:szCs w:val="22"/>
        </w:rPr>
      </w:pPr>
      <w:r w:rsidRPr="00A33F43">
        <w:rPr>
          <w:rFonts w:ascii="Tw Cen MT" w:hAnsi="Tw Cen MT"/>
          <w:szCs w:val="22"/>
        </w:rPr>
        <w:t xml:space="preserve">Depuis 2000, 327M€ de dons ont soutenu 508 prestations de plus de 200 entreprises françaises, dans 84 pays. En République du Congo, le FASEP-Innovation Verte a permis de financer à hauteur </w:t>
      </w:r>
      <w:r w:rsidR="009D62B3">
        <w:rPr>
          <w:rFonts w:ascii="Tw Cen MT" w:hAnsi="Tw Cen MT" w:cs="Arial"/>
          <w:szCs w:val="22"/>
        </w:rPr>
        <w:t xml:space="preserve">de 250 </w:t>
      </w:r>
      <w:r w:rsidRPr="00A33F43">
        <w:rPr>
          <w:rFonts w:ascii="Tw Cen MT" w:hAnsi="Tw Cen MT" w:cs="Arial"/>
          <w:szCs w:val="22"/>
        </w:rPr>
        <w:t xml:space="preserve">000 euros </w:t>
      </w:r>
      <w:r>
        <w:rPr>
          <w:rFonts w:ascii="Tw Cen MT" w:hAnsi="Tw Cen MT" w:cs="Arial"/>
          <w:szCs w:val="22"/>
        </w:rPr>
        <w:t>le projet d’i</w:t>
      </w:r>
      <w:r w:rsidRPr="00A33F43">
        <w:rPr>
          <w:rFonts w:ascii="Tw Cen MT" w:hAnsi="Tw Cen MT" w:cs="Arial"/>
          <w:szCs w:val="22"/>
        </w:rPr>
        <w:t>nstallation d</w:t>
      </w:r>
      <w:r>
        <w:rPr>
          <w:rFonts w:ascii="Tw Cen MT" w:hAnsi="Tw Cen MT" w:cs="Arial"/>
          <w:szCs w:val="22"/>
        </w:rPr>
        <w:t>’</w:t>
      </w:r>
      <w:r w:rsidRPr="00A33F43">
        <w:rPr>
          <w:rFonts w:ascii="Tw Cen MT" w:hAnsi="Tw Cen MT" w:cs="Arial"/>
          <w:szCs w:val="22"/>
        </w:rPr>
        <w:t>hydro</w:t>
      </w:r>
      <w:r>
        <w:rPr>
          <w:rFonts w:ascii="Tw Cen MT" w:hAnsi="Tw Cen MT" w:cs="Arial"/>
          <w:szCs w:val="22"/>
        </w:rPr>
        <w:t>liennes flottantes</w:t>
      </w:r>
      <w:r w:rsidRPr="00A33F43">
        <w:rPr>
          <w:rFonts w:ascii="Tw Cen MT" w:hAnsi="Tw Cen MT" w:cs="Arial"/>
          <w:szCs w:val="22"/>
        </w:rPr>
        <w:t xml:space="preserve"> à </w:t>
      </w:r>
      <w:proofErr w:type="spellStart"/>
      <w:r w:rsidRPr="00A33F43">
        <w:rPr>
          <w:rFonts w:ascii="Tw Cen MT" w:hAnsi="Tw Cen MT" w:cs="Arial"/>
          <w:szCs w:val="22"/>
        </w:rPr>
        <w:t>Moulenda</w:t>
      </w:r>
      <w:proofErr w:type="spellEnd"/>
      <w:r w:rsidRPr="00A33F43">
        <w:rPr>
          <w:rFonts w:ascii="Tw Cen MT" w:hAnsi="Tw Cen MT" w:cs="Arial"/>
          <w:szCs w:val="22"/>
        </w:rPr>
        <w:t xml:space="preserve"> (</w:t>
      </w:r>
      <w:r w:rsidR="009D62B3">
        <w:rPr>
          <w:rFonts w:ascii="Tw Cen MT" w:hAnsi="Tw Cen MT" w:cs="Arial"/>
          <w:szCs w:val="22"/>
        </w:rPr>
        <w:t>d</w:t>
      </w:r>
      <w:r w:rsidRPr="00A33F43">
        <w:rPr>
          <w:rFonts w:ascii="Tw Cen MT" w:hAnsi="Tw Cen MT" w:cs="Arial"/>
          <w:szCs w:val="22"/>
        </w:rPr>
        <w:t xml:space="preserve">épartement du Pool) mis en œuvre par l’IRAM France (Institut de Recherche et d’Application des Méthodes de Développement).  </w:t>
      </w:r>
    </w:p>
    <w:p w14:paraId="72ABDF7D" w14:textId="77777777" w:rsidR="00A33F43" w:rsidRPr="00A33F43" w:rsidRDefault="00A33F43" w:rsidP="00A33F43">
      <w:pPr>
        <w:spacing w:after="0"/>
        <w:rPr>
          <w:rFonts w:cs="Arial"/>
          <w:szCs w:val="22"/>
        </w:rPr>
      </w:pPr>
    </w:p>
    <w:p w14:paraId="13E6FBA4" w14:textId="5DBB834B" w:rsidR="00FB1395" w:rsidRDefault="00BC5CD1" w:rsidP="008B0EB3">
      <w:pPr>
        <w:pStyle w:val="Heading4"/>
        <w:numPr>
          <w:ilvl w:val="2"/>
          <w:numId w:val="13"/>
        </w:numPr>
      </w:pPr>
      <w:bookmarkStart w:id="32" w:name="_Ref449818823"/>
      <w:proofErr w:type="spellStart"/>
      <w:r>
        <w:t>L’Allemagne</w:t>
      </w:r>
      <w:bookmarkEnd w:id="32"/>
      <w:proofErr w:type="spellEnd"/>
    </w:p>
    <w:p w14:paraId="157B102E" w14:textId="72863F29" w:rsidR="009C759B" w:rsidRDefault="009C759B" w:rsidP="003274C6">
      <w:pPr>
        <w:rPr>
          <w:lang w:eastAsia="en-US"/>
        </w:rPr>
      </w:pPr>
      <w:r w:rsidRPr="009C759B">
        <w:rPr>
          <w:lang w:eastAsia="en-US"/>
        </w:rPr>
        <w:t>La République du Congo n’a pas d’accord de coopérat</w:t>
      </w:r>
      <w:r>
        <w:rPr>
          <w:lang w:eastAsia="en-US"/>
        </w:rPr>
        <w:t>ion bilatérale avec l’Allemagne mais e</w:t>
      </w:r>
      <w:r w:rsidRPr="009C759B">
        <w:rPr>
          <w:lang w:eastAsia="en-US"/>
        </w:rPr>
        <w:t xml:space="preserve">lle bénéficie </w:t>
      </w:r>
      <w:r>
        <w:rPr>
          <w:lang w:eastAsia="en-US"/>
        </w:rPr>
        <w:t>de financements à travers des programmes d’</w:t>
      </w:r>
      <w:r w:rsidRPr="009C759B">
        <w:rPr>
          <w:lang w:eastAsia="en-US"/>
        </w:rPr>
        <w:t>appuis régionaux</w:t>
      </w:r>
      <w:r>
        <w:rPr>
          <w:lang w:eastAsia="en-US"/>
        </w:rPr>
        <w:t xml:space="preserve">. </w:t>
      </w:r>
    </w:p>
    <w:p w14:paraId="778C6592" w14:textId="77777777" w:rsidR="009C759B" w:rsidRDefault="003274C6" w:rsidP="00A33F43">
      <w:pPr>
        <w:spacing w:after="0"/>
        <w:rPr>
          <w:lang w:eastAsia="en-US"/>
        </w:rPr>
      </w:pPr>
      <w:r w:rsidRPr="003274C6">
        <w:rPr>
          <w:lang w:eastAsia="en-US"/>
        </w:rPr>
        <w:t>L’appui de l’Allemagne au développement des pays du Bassin du Congo passe par plusieurs ministères à savoir</w:t>
      </w:r>
      <w:r w:rsidR="009C759B">
        <w:rPr>
          <w:lang w:eastAsia="en-US"/>
        </w:rPr>
        <w:t> :</w:t>
      </w:r>
    </w:p>
    <w:p w14:paraId="46A23001" w14:textId="77777777" w:rsidR="009C759B" w:rsidRPr="009C759B" w:rsidRDefault="009C759B" w:rsidP="008B0EB3">
      <w:pPr>
        <w:pStyle w:val="ListParagraph"/>
        <w:numPr>
          <w:ilvl w:val="0"/>
          <w:numId w:val="39"/>
        </w:numPr>
        <w:rPr>
          <w:szCs w:val="22"/>
          <w:lang w:eastAsia="en-US"/>
        </w:rPr>
      </w:pPr>
      <w:r w:rsidRPr="009C759B">
        <w:rPr>
          <w:szCs w:val="22"/>
          <w:lang w:eastAsia="en-US"/>
        </w:rPr>
        <w:t>l</w:t>
      </w:r>
      <w:r w:rsidR="003274C6" w:rsidRPr="009C759B">
        <w:rPr>
          <w:szCs w:val="22"/>
          <w:lang w:eastAsia="en-US"/>
        </w:rPr>
        <w:t xml:space="preserve">e </w:t>
      </w:r>
      <w:r w:rsidR="003274C6" w:rsidRPr="009C759B">
        <w:rPr>
          <w:rFonts w:eastAsiaTheme="majorEastAsia"/>
          <w:szCs w:val="22"/>
        </w:rPr>
        <w:t>ministère fédéral de l’Alimentation et de l’Agriculture (BMEL)</w:t>
      </w:r>
      <w:r w:rsidRPr="009C759B">
        <w:rPr>
          <w:rFonts w:eastAsiaTheme="majorEastAsia"/>
          <w:szCs w:val="22"/>
        </w:rPr>
        <w:t xml:space="preserve"> qui a notamment financé le projet </w:t>
      </w:r>
      <w:r w:rsidRPr="009C759B">
        <w:rPr>
          <w:szCs w:val="22"/>
        </w:rPr>
        <w:t>GCP/RAF/441/GER « Renforcement de la sécurité alimentaire en Afrique Centrale à travers la gestion durable des produits forestiers non ligneux » dans les pays du Bassin du Congo ;</w:t>
      </w:r>
    </w:p>
    <w:p w14:paraId="38650AFC" w14:textId="7DF06C9C" w:rsidR="009C759B" w:rsidRPr="009C759B" w:rsidRDefault="009C759B" w:rsidP="008B0EB3">
      <w:pPr>
        <w:pStyle w:val="ListParagraph"/>
        <w:numPr>
          <w:ilvl w:val="0"/>
          <w:numId w:val="39"/>
        </w:numPr>
        <w:rPr>
          <w:lang w:eastAsia="en-US"/>
        </w:rPr>
      </w:pPr>
      <w:r w:rsidRPr="009C759B">
        <w:rPr>
          <w:rFonts w:eastAsiaTheme="majorEastAsia"/>
          <w:szCs w:val="22"/>
        </w:rPr>
        <w:t xml:space="preserve">le ministère fédéral </w:t>
      </w:r>
      <w:r w:rsidRPr="009C759B">
        <w:rPr>
          <w:rStyle w:val="st"/>
          <w:rFonts w:eastAsiaTheme="majorEastAsia"/>
        </w:rPr>
        <w:t>de l'</w:t>
      </w:r>
      <w:r w:rsidRPr="009C759B">
        <w:rPr>
          <w:rStyle w:val="Emphasis"/>
          <w:i w:val="0"/>
        </w:rPr>
        <w:t>Environnement</w:t>
      </w:r>
      <w:r w:rsidRPr="009C759B">
        <w:rPr>
          <w:rStyle w:val="st"/>
          <w:rFonts w:eastAsiaTheme="majorEastAsia"/>
          <w:i/>
        </w:rPr>
        <w:t>,</w:t>
      </w:r>
      <w:r w:rsidRPr="009C759B">
        <w:rPr>
          <w:rStyle w:val="st"/>
          <w:rFonts w:eastAsiaTheme="majorEastAsia"/>
        </w:rPr>
        <w:t xml:space="preserve"> de la Protection de la nature, de la Construction et de la sûreté nucléaire (BMU)</w:t>
      </w:r>
      <w:r>
        <w:rPr>
          <w:rStyle w:val="st"/>
          <w:rFonts w:eastAsiaTheme="majorEastAsia"/>
        </w:rPr>
        <w:t xml:space="preserve"> qui finance notamment l</w:t>
      </w:r>
      <w:r w:rsidRPr="009C759B">
        <w:rPr>
          <w:rStyle w:val="st"/>
          <w:rFonts w:eastAsiaTheme="majorEastAsia"/>
        </w:rPr>
        <w:t>’</w:t>
      </w:r>
      <w:r w:rsidRPr="009C759B">
        <w:t>Initiative Climat Internationale (IKI) ;</w:t>
      </w:r>
    </w:p>
    <w:p w14:paraId="69CB3FE2" w14:textId="028545F6" w:rsidR="00BA65C9" w:rsidRPr="003274C6" w:rsidRDefault="009C759B" w:rsidP="00BA65C9">
      <w:pPr>
        <w:pStyle w:val="ListParagraph"/>
        <w:numPr>
          <w:ilvl w:val="0"/>
          <w:numId w:val="39"/>
        </w:numPr>
        <w:rPr>
          <w:lang w:eastAsia="en-US"/>
        </w:rPr>
      </w:pPr>
      <w:r w:rsidRPr="009C759B">
        <w:rPr>
          <w:rStyle w:val="st"/>
          <w:rFonts w:eastAsiaTheme="majorEastAsia"/>
        </w:rPr>
        <w:t>le</w:t>
      </w:r>
      <w:r>
        <w:rPr>
          <w:rStyle w:val="st"/>
          <w:rFonts w:eastAsiaTheme="majorEastAsia"/>
        </w:rPr>
        <w:t xml:space="preserve"> </w:t>
      </w:r>
      <w:r w:rsidRPr="009C759B">
        <w:rPr>
          <w:rFonts w:eastAsiaTheme="majorEastAsia"/>
          <w:szCs w:val="22"/>
        </w:rPr>
        <w:t>ministère fédéral de la Coopération Economique et du Développement</w:t>
      </w:r>
      <w:r w:rsidRPr="009C759B">
        <w:rPr>
          <w:szCs w:val="22"/>
        </w:rPr>
        <w:t xml:space="preserve"> (BMZ) et ses organismes d’exécutions. </w:t>
      </w:r>
    </w:p>
    <w:p w14:paraId="359A2D07" w14:textId="6B7F03CB" w:rsidR="00F3266D" w:rsidRPr="00F3266D" w:rsidRDefault="00F3266D" w:rsidP="00F3266D">
      <w:pPr>
        <w:rPr>
          <w:i/>
          <w:color w:val="DD8047" w:themeColor="accent2"/>
          <w:lang w:eastAsia="en-US"/>
        </w:rPr>
      </w:pPr>
      <w:r w:rsidRPr="00F3266D">
        <w:rPr>
          <w:rFonts w:eastAsiaTheme="majorEastAsia"/>
          <w:i/>
          <w:color w:val="DD8047" w:themeColor="accent2"/>
          <w:szCs w:val="22"/>
        </w:rPr>
        <w:t>Le ministère fédéral de la coopération économique</w:t>
      </w:r>
      <w:r w:rsidR="006F16B0">
        <w:rPr>
          <w:rFonts w:eastAsiaTheme="majorEastAsia"/>
          <w:i/>
          <w:color w:val="DD8047" w:themeColor="accent2"/>
          <w:szCs w:val="22"/>
        </w:rPr>
        <w:t xml:space="preserve"> et du développement</w:t>
      </w:r>
      <w:r w:rsidRPr="00F3266D">
        <w:rPr>
          <w:i/>
          <w:color w:val="DD8047" w:themeColor="accent2"/>
          <w:szCs w:val="22"/>
        </w:rPr>
        <w:t xml:space="preserve"> (BMZ)</w:t>
      </w:r>
      <w:r w:rsidR="000F2E1D">
        <w:rPr>
          <w:rStyle w:val="FootnoteReference"/>
          <w:i/>
          <w:color w:val="DD8047" w:themeColor="accent2"/>
          <w:szCs w:val="22"/>
        </w:rPr>
        <w:footnoteReference w:id="39"/>
      </w:r>
    </w:p>
    <w:p w14:paraId="6D875F39" w14:textId="16547B3C" w:rsidR="00736518" w:rsidRPr="00736518" w:rsidRDefault="002B5E19" w:rsidP="00736518">
      <w:pPr>
        <w:pStyle w:val="HTMLPreformatted"/>
        <w:jc w:val="both"/>
        <w:rPr>
          <w:rFonts w:asciiTheme="minorHAnsi" w:hAnsiTheme="minorHAnsi"/>
          <w:sz w:val="22"/>
          <w:szCs w:val="22"/>
          <w:lang w:val="fr-FR" w:eastAsia="fr-FR"/>
        </w:rPr>
      </w:pPr>
      <w:r w:rsidRPr="00736518">
        <w:rPr>
          <w:rFonts w:asciiTheme="minorHAnsi" w:hAnsiTheme="minorHAnsi"/>
          <w:sz w:val="22"/>
          <w:szCs w:val="22"/>
          <w:lang w:val="fr-FR" w:eastAsia="fr-FR"/>
        </w:rPr>
        <w:t>Le BMZ contracte d</w:t>
      </w:r>
      <w:r w:rsidR="00961C74" w:rsidRPr="00736518">
        <w:rPr>
          <w:rFonts w:asciiTheme="minorHAnsi" w:hAnsiTheme="minorHAnsi"/>
          <w:sz w:val="22"/>
          <w:szCs w:val="22"/>
          <w:lang w:val="fr-FR" w:eastAsia="fr-FR"/>
        </w:rPr>
        <w:t>es organismes d'exécution pour</w:t>
      </w:r>
      <w:r w:rsidRPr="00736518">
        <w:rPr>
          <w:rFonts w:asciiTheme="minorHAnsi" w:hAnsiTheme="minorHAnsi"/>
          <w:sz w:val="22"/>
          <w:szCs w:val="22"/>
          <w:lang w:val="fr-FR" w:eastAsia="fr-FR"/>
        </w:rPr>
        <w:t xml:space="preserve"> la réalisation concrète des projets et programmes de développement du gouvernement allemand. Il s’agit</w:t>
      </w:r>
      <w:r w:rsidR="00736518" w:rsidRPr="00736518">
        <w:rPr>
          <w:rFonts w:asciiTheme="minorHAnsi" w:hAnsiTheme="minorHAnsi"/>
          <w:sz w:val="22"/>
          <w:szCs w:val="22"/>
          <w:lang w:val="fr-FR" w:eastAsia="fr-FR"/>
        </w:rPr>
        <w:t xml:space="preserve"> de :</w:t>
      </w:r>
    </w:p>
    <w:p w14:paraId="768CEB44" w14:textId="1AB27900" w:rsidR="00736518" w:rsidRPr="00736518" w:rsidRDefault="002B5E19" w:rsidP="008B0EB3">
      <w:pPr>
        <w:pStyle w:val="HTMLPreformatted"/>
        <w:numPr>
          <w:ilvl w:val="0"/>
          <w:numId w:val="39"/>
        </w:numPr>
        <w:jc w:val="both"/>
        <w:rPr>
          <w:rFonts w:ascii="Tw Cen MT" w:hAnsi="Tw Cen MT"/>
          <w:sz w:val="22"/>
          <w:szCs w:val="22"/>
          <w:lang w:val="fr-FR"/>
        </w:rPr>
      </w:pPr>
      <w:r w:rsidRPr="00736518">
        <w:rPr>
          <w:rFonts w:ascii="Tw Cen MT" w:hAnsi="Tw Cen MT"/>
          <w:sz w:val="22"/>
          <w:szCs w:val="22"/>
          <w:lang w:val="fr-FR" w:eastAsia="fr-FR"/>
        </w:rPr>
        <w:t xml:space="preserve">la </w:t>
      </w:r>
      <w:proofErr w:type="spellStart"/>
      <w:r w:rsidRPr="00736518">
        <w:rPr>
          <w:rFonts w:ascii="Tw Cen MT" w:hAnsi="Tw Cen MT"/>
          <w:sz w:val="22"/>
          <w:szCs w:val="22"/>
          <w:lang w:val="fr-FR"/>
        </w:rPr>
        <w:t>KfW</w:t>
      </w:r>
      <w:proofErr w:type="spellEnd"/>
      <w:r w:rsidRPr="00736518">
        <w:rPr>
          <w:rFonts w:ascii="Tw Cen MT" w:hAnsi="Tw Cen MT"/>
          <w:sz w:val="22"/>
          <w:szCs w:val="22"/>
          <w:lang w:val="fr-FR"/>
        </w:rPr>
        <w:t xml:space="preserve"> </w:t>
      </w:r>
      <w:proofErr w:type="spellStart"/>
      <w:r w:rsidRPr="00736518">
        <w:rPr>
          <w:rFonts w:ascii="Tw Cen MT" w:hAnsi="Tw Cen MT"/>
          <w:sz w:val="22"/>
          <w:szCs w:val="22"/>
          <w:lang w:val="fr-FR"/>
        </w:rPr>
        <w:t>Entwicklungsbank</w:t>
      </w:r>
      <w:proofErr w:type="spellEnd"/>
      <w:r w:rsidRPr="00736518">
        <w:rPr>
          <w:rFonts w:ascii="Tw Cen MT" w:hAnsi="Tw Cen MT"/>
          <w:sz w:val="22"/>
          <w:szCs w:val="22"/>
          <w:lang w:val="fr-FR"/>
        </w:rPr>
        <w:t xml:space="preserve"> (</w:t>
      </w:r>
      <w:r w:rsidR="00736518" w:rsidRPr="00736518">
        <w:rPr>
          <w:rFonts w:ascii="Tw Cen MT" w:hAnsi="Tw Cen MT"/>
          <w:sz w:val="22"/>
          <w:szCs w:val="22"/>
          <w:lang w:val="fr-FR"/>
        </w:rPr>
        <w:t>Banque de développement</w:t>
      </w:r>
      <w:r w:rsidRPr="00736518">
        <w:rPr>
          <w:rFonts w:ascii="Tw Cen MT" w:hAnsi="Tw Cen MT"/>
          <w:sz w:val="22"/>
          <w:szCs w:val="22"/>
          <w:lang w:val="fr-FR"/>
        </w:rPr>
        <w:t>)</w:t>
      </w:r>
      <w:r w:rsidR="00961C74" w:rsidRPr="00736518">
        <w:rPr>
          <w:rFonts w:ascii="Tw Cen MT" w:hAnsi="Tw Cen MT"/>
          <w:sz w:val="22"/>
          <w:szCs w:val="22"/>
          <w:lang w:val="fr-FR"/>
        </w:rPr>
        <w:t xml:space="preserve"> et de</w:t>
      </w:r>
      <w:r w:rsidR="00736518" w:rsidRPr="00736518">
        <w:rPr>
          <w:rFonts w:ascii="Tw Cen MT" w:hAnsi="Tw Cen MT"/>
          <w:sz w:val="22"/>
          <w:szCs w:val="22"/>
          <w:lang w:val="fr-FR"/>
        </w:rPr>
        <w:t xml:space="preserve"> l’a</w:t>
      </w:r>
      <w:r w:rsidR="00736518" w:rsidRPr="00736518">
        <w:rPr>
          <w:rFonts w:ascii="Tw Cen MT" w:hAnsi="Tw Cen MT"/>
          <w:bCs/>
          <w:sz w:val="22"/>
          <w:szCs w:val="22"/>
          <w:lang w:val="fr-FR"/>
        </w:rPr>
        <w:t>gence allemande</w:t>
      </w:r>
      <w:r w:rsidR="00736518" w:rsidRPr="00736518">
        <w:rPr>
          <w:rFonts w:ascii="Tw Cen MT" w:hAnsi="Tw Cen MT"/>
          <w:b/>
          <w:bCs/>
          <w:sz w:val="22"/>
          <w:szCs w:val="22"/>
          <w:lang w:val="fr-FR"/>
        </w:rPr>
        <w:t xml:space="preserve"> </w:t>
      </w:r>
      <w:r w:rsidR="00736518" w:rsidRPr="00736518">
        <w:rPr>
          <w:rFonts w:ascii="Tw Cen MT" w:hAnsi="Tw Cen MT"/>
          <w:bCs/>
          <w:sz w:val="22"/>
          <w:szCs w:val="22"/>
          <w:lang w:val="fr-FR"/>
        </w:rPr>
        <w:t>d'investissement et de dévelop</w:t>
      </w:r>
      <w:r w:rsidR="00736518" w:rsidRPr="00736518">
        <w:rPr>
          <w:rFonts w:ascii="Tw Cen MT" w:hAnsi="Tw Cen MT"/>
          <w:sz w:val="22"/>
          <w:szCs w:val="22"/>
          <w:lang w:val="fr-FR"/>
        </w:rPr>
        <w:t>pement</w:t>
      </w:r>
      <w:r w:rsidR="00961C74" w:rsidRPr="00736518">
        <w:rPr>
          <w:rFonts w:ascii="Tw Cen MT" w:hAnsi="Tw Cen MT"/>
          <w:sz w:val="22"/>
          <w:szCs w:val="22"/>
          <w:lang w:val="fr-FR"/>
        </w:rPr>
        <w:t xml:space="preserve"> (DEG), filière</w:t>
      </w:r>
      <w:r w:rsidR="00736518">
        <w:rPr>
          <w:rFonts w:ascii="Tw Cen MT" w:hAnsi="Tw Cen MT"/>
          <w:sz w:val="22"/>
          <w:szCs w:val="22"/>
          <w:lang w:val="fr-FR"/>
        </w:rPr>
        <w:t xml:space="preserve"> de la </w:t>
      </w:r>
      <w:proofErr w:type="spellStart"/>
      <w:r w:rsidR="00736518">
        <w:rPr>
          <w:rFonts w:ascii="Tw Cen MT" w:hAnsi="Tw Cen MT"/>
          <w:sz w:val="22"/>
          <w:szCs w:val="22"/>
          <w:lang w:val="fr-FR"/>
        </w:rPr>
        <w:t>K</w:t>
      </w:r>
      <w:r w:rsidR="00736518" w:rsidRPr="00736518">
        <w:rPr>
          <w:rFonts w:ascii="Tw Cen MT" w:hAnsi="Tw Cen MT"/>
          <w:sz w:val="22"/>
          <w:szCs w:val="22"/>
          <w:lang w:val="fr-FR"/>
        </w:rPr>
        <w:t>fW</w:t>
      </w:r>
      <w:proofErr w:type="spellEnd"/>
      <w:r w:rsidR="00736518" w:rsidRPr="00736518">
        <w:rPr>
          <w:rFonts w:ascii="Tw Cen MT" w:hAnsi="Tw Cen MT"/>
          <w:sz w:val="22"/>
          <w:szCs w:val="22"/>
          <w:lang w:val="fr-FR"/>
        </w:rPr>
        <w:t xml:space="preserve"> d’appui au secteur privé</w:t>
      </w:r>
      <w:r w:rsidRPr="00736518">
        <w:rPr>
          <w:rFonts w:ascii="Tw Cen MT" w:hAnsi="Tw Cen MT"/>
          <w:sz w:val="22"/>
          <w:szCs w:val="22"/>
          <w:lang w:val="fr-FR" w:eastAsia="fr-FR"/>
        </w:rPr>
        <w:t xml:space="preserve"> pour la coopération financière</w:t>
      </w:r>
      <w:r w:rsidR="00FB1395">
        <w:rPr>
          <w:rFonts w:ascii="Tw Cen MT" w:hAnsi="Tw Cen MT"/>
          <w:sz w:val="22"/>
          <w:szCs w:val="22"/>
          <w:lang w:val="fr-FR" w:eastAsia="fr-FR"/>
        </w:rPr>
        <w:t> ;</w:t>
      </w:r>
      <w:r w:rsidRPr="00736518">
        <w:rPr>
          <w:rFonts w:ascii="Tw Cen MT" w:hAnsi="Tw Cen MT"/>
          <w:sz w:val="22"/>
          <w:szCs w:val="22"/>
          <w:lang w:val="fr-FR" w:eastAsia="fr-FR"/>
        </w:rPr>
        <w:t xml:space="preserve"> </w:t>
      </w:r>
    </w:p>
    <w:p w14:paraId="76FF2AF3" w14:textId="39B6DF51" w:rsidR="00BC5CD1" w:rsidRDefault="00736518" w:rsidP="008B0EB3">
      <w:pPr>
        <w:pStyle w:val="HTMLPreformatted"/>
        <w:numPr>
          <w:ilvl w:val="0"/>
          <w:numId w:val="39"/>
        </w:numPr>
        <w:jc w:val="both"/>
        <w:rPr>
          <w:rFonts w:ascii="Tw Cen MT" w:hAnsi="Tw Cen MT"/>
          <w:sz w:val="22"/>
          <w:szCs w:val="22"/>
          <w:lang w:val="fr-FR"/>
        </w:rPr>
      </w:pPr>
      <w:r w:rsidRPr="00736518">
        <w:rPr>
          <w:rFonts w:ascii="Tw Cen MT" w:hAnsi="Tw Cen MT"/>
          <w:sz w:val="22"/>
          <w:szCs w:val="22"/>
          <w:lang w:val="fr-FR" w:eastAsia="fr-FR"/>
        </w:rPr>
        <w:t>la</w:t>
      </w:r>
      <w:r w:rsidR="002B5E19" w:rsidRPr="00736518">
        <w:rPr>
          <w:rFonts w:ascii="Tw Cen MT" w:hAnsi="Tw Cen MT"/>
          <w:sz w:val="22"/>
          <w:szCs w:val="22"/>
          <w:lang w:val="fr-FR"/>
        </w:rPr>
        <w:t xml:space="preserve"> </w:t>
      </w:r>
      <w:r w:rsidR="002B5E19" w:rsidRPr="00736518">
        <w:rPr>
          <w:rFonts w:ascii="Tw Cen MT" w:hAnsi="Tw Cen MT"/>
          <w:bCs/>
          <w:i/>
          <w:iCs/>
          <w:sz w:val="22"/>
          <w:szCs w:val="22"/>
          <w:lang w:val="fr-FR"/>
        </w:rPr>
        <w:t xml:space="preserve">Deutsche Gesellschaft </w:t>
      </w:r>
      <w:proofErr w:type="spellStart"/>
      <w:r w:rsidR="002B5E19" w:rsidRPr="00736518">
        <w:rPr>
          <w:rFonts w:ascii="Tw Cen MT" w:hAnsi="Tw Cen MT"/>
          <w:bCs/>
          <w:i/>
          <w:iCs/>
          <w:sz w:val="22"/>
          <w:szCs w:val="22"/>
          <w:lang w:val="fr-FR"/>
        </w:rPr>
        <w:t>für</w:t>
      </w:r>
      <w:proofErr w:type="spellEnd"/>
      <w:r w:rsidR="002B5E19" w:rsidRPr="00736518">
        <w:rPr>
          <w:rFonts w:ascii="Tw Cen MT" w:hAnsi="Tw Cen MT"/>
          <w:bCs/>
          <w:i/>
          <w:iCs/>
          <w:sz w:val="22"/>
          <w:szCs w:val="22"/>
          <w:lang w:val="fr-FR"/>
        </w:rPr>
        <w:t xml:space="preserve"> Internationale </w:t>
      </w:r>
      <w:proofErr w:type="spellStart"/>
      <w:r w:rsidR="002B5E19" w:rsidRPr="00736518">
        <w:rPr>
          <w:rFonts w:ascii="Tw Cen MT" w:hAnsi="Tw Cen MT"/>
          <w:bCs/>
          <w:i/>
          <w:iCs/>
          <w:sz w:val="22"/>
          <w:szCs w:val="22"/>
          <w:lang w:val="fr-FR"/>
        </w:rPr>
        <w:t>Zusammenarbeit</w:t>
      </w:r>
      <w:proofErr w:type="spellEnd"/>
      <w:r w:rsidR="002B5E19" w:rsidRPr="00736518">
        <w:rPr>
          <w:rFonts w:ascii="Tw Cen MT" w:hAnsi="Tw Cen MT"/>
          <w:sz w:val="22"/>
          <w:szCs w:val="22"/>
          <w:lang w:val="fr-FR"/>
        </w:rPr>
        <w:t xml:space="preserve"> (GIZ) pour la coopération technique.</w:t>
      </w:r>
    </w:p>
    <w:p w14:paraId="5FF33AD4" w14:textId="77777777" w:rsidR="009C6E6C" w:rsidRDefault="009C6E6C" w:rsidP="00251FD8">
      <w:pPr>
        <w:pStyle w:val="HTMLPreformatted"/>
        <w:jc w:val="both"/>
        <w:rPr>
          <w:rFonts w:ascii="Tw Cen MT" w:hAnsi="Tw Cen MT"/>
          <w:sz w:val="22"/>
          <w:szCs w:val="22"/>
          <w:lang w:val="fr-FR"/>
        </w:rPr>
      </w:pPr>
    </w:p>
    <w:p w14:paraId="3D8CCC6E" w14:textId="5097557B" w:rsidR="009C6E6C" w:rsidRPr="009C6E6C" w:rsidRDefault="00251FD8" w:rsidP="009C6E6C">
      <w:pPr>
        <w:pStyle w:val="HTMLPreformatted"/>
        <w:jc w:val="both"/>
        <w:rPr>
          <w:rFonts w:asciiTheme="minorHAnsi" w:hAnsiTheme="minorHAnsi"/>
          <w:sz w:val="22"/>
          <w:szCs w:val="22"/>
          <w:lang w:val="fr-FR"/>
        </w:rPr>
      </w:pPr>
      <w:r w:rsidRPr="009C6E6C">
        <w:rPr>
          <w:rFonts w:asciiTheme="minorHAnsi" w:hAnsiTheme="minorHAnsi"/>
          <w:sz w:val="22"/>
          <w:szCs w:val="22"/>
          <w:lang w:val="fr-FR"/>
        </w:rPr>
        <w:t xml:space="preserve">La République du Congo </w:t>
      </w:r>
      <w:r w:rsidR="008946E8" w:rsidRPr="009C6E6C">
        <w:rPr>
          <w:rFonts w:asciiTheme="minorHAnsi" w:hAnsiTheme="minorHAnsi"/>
          <w:sz w:val="22"/>
          <w:szCs w:val="22"/>
          <w:lang w:val="fr-FR"/>
        </w:rPr>
        <w:t>bénéficie actuellement des appuis</w:t>
      </w:r>
      <w:r w:rsidR="009C6E6C" w:rsidRPr="009C6E6C">
        <w:rPr>
          <w:rFonts w:asciiTheme="minorHAnsi" w:hAnsiTheme="minorHAnsi"/>
          <w:sz w:val="22"/>
          <w:szCs w:val="22"/>
          <w:lang w:val="fr-FR"/>
        </w:rPr>
        <w:t xml:space="preserve"> régionaux</w:t>
      </w:r>
      <w:r w:rsidR="008946E8" w:rsidRPr="009C6E6C">
        <w:rPr>
          <w:rFonts w:asciiTheme="minorHAnsi" w:hAnsiTheme="minorHAnsi"/>
          <w:sz w:val="22"/>
          <w:szCs w:val="22"/>
          <w:lang w:val="fr-FR"/>
        </w:rPr>
        <w:t xml:space="preserve"> de la BMZ notamment au travers de </w:t>
      </w:r>
      <w:r w:rsidR="009C6E6C" w:rsidRPr="009C6E6C">
        <w:rPr>
          <w:rFonts w:asciiTheme="minorHAnsi" w:hAnsiTheme="minorHAnsi"/>
          <w:sz w:val="22"/>
          <w:szCs w:val="22"/>
          <w:lang w:val="fr-FR"/>
        </w:rPr>
        <w:t>le projet d’appui GIZ</w:t>
      </w:r>
      <w:r w:rsidR="008946E8" w:rsidRPr="009C6E6C">
        <w:rPr>
          <w:rFonts w:asciiTheme="minorHAnsi" w:hAnsiTheme="minorHAnsi"/>
          <w:sz w:val="22"/>
          <w:szCs w:val="22"/>
          <w:lang w:val="fr-FR"/>
        </w:rPr>
        <w:t xml:space="preserve"> à la COMIFAC</w:t>
      </w:r>
      <w:r w:rsidR="009C6E6C" w:rsidRPr="009C6E6C">
        <w:rPr>
          <w:rFonts w:asciiTheme="minorHAnsi" w:hAnsiTheme="minorHAnsi"/>
          <w:sz w:val="22"/>
          <w:szCs w:val="22"/>
          <w:lang w:val="fr-FR"/>
        </w:rPr>
        <w:t xml:space="preserve"> comprenant</w:t>
      </w:r>
      <w:r w:rsidR="001D6E9A">
        <w:rPr>
          <w:rFonts w:asciiTheme="minorHAnsi" w:hAnsiTheme="minorHAnsi"/>
          <w:sz w:val="22"/>
          <w:szCs w:val="22"/>
          <w:lang w:val="fr-FR"/>
        </w:rPr>
        <w:t xml:space="preserve"> notamment</w:t>
      </w:r>
      <w:r w:rsidR="009C6E6C" w:rsidRPr="009C6E6C">
        <w:rPr>
          <w:rFonts w:asciiTheme="minorHAnsi" w:hAnsiTheme="minorHAnsi"/>
          <w:sz w:val="22"/>
          <w:szCs w:val="22"/>
          <w:lang w:val="fr-FR"/>
        </w:rPr>
        <w:t xml:space="preserve"> un appui à la Fondation pour le Tri-national de la Sangha (</w:t>
      </w:r>
      <w:r w:rsidR="00F3266D">
        <w:rPr>
          <w:rFonts w:asciiTheme="minorHAnsi" w:hAnsiTheme="minorHAnsi"/>
          <w:sz w:val="22"/>
          <w:szCs w:val="22"/>
          <w:lang w:val="fr-FR"/>
        </w:rPr>
        <w:t xml:space="preserve">FTNS, </w:t>
      </w:r>
      <w:r w:rsidR="009C6E6C" w:rsidRPr="009C6E6C">
        <w:rPr>
          <w:rFonts w:asciiTheme="minorHAnsi" w:hAnsiTheme="minorHAnsi"/>
          <w:sz w:val="22"/>
          <w:szCs w:val="22"/>
          <w:lang w:val="fr-FR"/>
        </w:rPr>
        <w:t xml:space="preserve">cf. partie </w:t>
      </w:r>
      <w:r w:rsidR="007503DC">
        <w:rPr>
          <w:rFonts w:asciiTheme="minorHAnsi" w:hAnsiTheme="minorHAnsi"/>
          <w:sz w:val="22"/>
          <w:szCs w:val="22"/>
          <w:lang w:val="fr-FR"/>
        </w:rPr>
        <w:t>1.3</w:t>
      </w:r>
      <w:r w:rsidR="009C6E6C" w:rsidRPr="009C6E6C">
        <w:rPr>
          <w:rFonts w:asciiTheme="minorHAnsi" w:hAnsiTheme="minorHAnsi"/>
          <w:sz w:val="22"/>
          <w:szCs w:val="22"/>
          <w:lang w:val="fr-FR"/>
        </w:rPr>
        <w:t xml:space="preserve">) et la mise en œuvre du </w:t>
      </w:r>
      <w:r w:rsidR="008946E8" w:rsidRPr="009C6E6C">
        <w:rPr>
          <w:rFonts w:asciiTheme="minorHAnsi" w:hAnsiTheme="minorHAnsi"/>
          <w:sz w:val="22"/>
          <w:szCs w:val="22"/>
          <w:lang w:val="fr-FR"/>
        </w:rPr>
        <w:t xml:space="preserve">programme </w:t>
      </w:r>
      <w:r w:rsidR="009C6E6C" w:rsidRPr="009C6E6C">
        <w:rPr>
          <w:rFonts w:asciiTheme="minorHAnsi" w:hAnsiTheme="minorHAnsi"/>
          <w:sz w:val="22"/>
          <w:szCs w:val="22"/>
          <w:lang w:val="fr-FR"/>
        </w:rPr>
        <w:t>de Promotion de l’exploitation certifiée des forêts dans le Bassin du Congo (PPECF).</w:t>
      </w:r>
    </w:p>
    <w:p w14:paraId="6BF989D7" w14:textId="3407C770" w:rsidR="00345B3E" w:rsidRPr="00345B3E" w:rsidRDefault="009C6E6C" w:rsidP="00BA65C9">
      <w:pPr>
        <w:pStyle w:val="HTMLPreformatted"/>
        <w:spacing w:after="120"/>
        <w:jc w:val="both"/>
        <w:rPr>
          <w:rFonts w:asciiTheme="minorHAnsi" w:hAnsiTheme="minorHAnsi"/>
          <w:sz w:val="22"/>
          <w:szCs w:val="22"/>
          <w:lang w:val="fr-FR"/>
        </w:rPr>
      </w:pPr>
      <w:r w:rsidRPr="009C6E6C">
        <w:rPr>
          <w:rFonts w:asciiTheme="minorHAnsi" w:hAnsiTheme="minorHAnsi"/>
          <w:sz w:val="22"/>
          <w:szCs w:val="22"/>
          <w:lang w:val="fr-FR"/>
        </w:rPr>
        <w:t xml:space="preserve">Démarré en 2012 pour une durée de 4 ans, le programme PPECF finance des projets d’appui aux gouvernements, secteur privé et société civile pour l’accès et le maintien de la certification FSC et PAFC dans les pays du Bassin du Congo. Il a été financé par la </w:t>
      </w:r>
      <w:proofErr w:type="spellStart"/>
      <w:r w:rsidRPr="009C6E6C">
        <w:rPr>
          <w:rFonts w:asciiTheme="minorHAnsi" w:hAnsiTheme="minorHAnsi"/>
          <w:sz w:val="22"/>
          <w:szCs w:val="22"/>
          <w:lang w:val="fr-FR"/>
        </w:rPr>
        <w:t>KfW</w:t>
      </w:r>
      <w:proofErr w:type="spellEnd"/>
      <w:r w:rsidRPr="009C6E6C">
        <w:rPr>
          <w:rFonts w:asciiTheme="minorHAnsi" w:hAnsiTheme="minorHAnsi"/>
          <w:sz w:val="22"/>
          <w:szCs w:val="22"/>
          <w:lang w:val="fr-FR"/>
        </w:rPr>
        <w:t xml:space="preserve"> à hauteur de 6,5 milliards de FCFA et la coordination de la mise en œuvre est assurée par la COMIFAC</w:t>
      </w:r>
      <w:r w:rsidR="001A007F">
        <w:rPr>
          <w:rStyle w:val="FootnoteReference"/>
          <w:rFonts w:asciiTheme="minorHAnsi" w:hAnsiTheme="minorHAnsi"/>
          <w:sz w:val="22"/>
          <w:szCs w:val="22"/>
          <w:lang w:val="fr-FR"/>
        </w:rPr>
        <w:footnoteReference w:id="40"/>
      </w:r>
      <w:r w:rsidRPr="009C6E6C">
        <w:rPr>
          <w:rFonts w:asciiTheme="minorHAnsi" w:hAnsiTheme="minorHAnsi"/>
          <w:sz w:val="22"/>
          <w:szCs w:val="22"/>
          <w:lang w:val="fr-FR"/>
        </w:rPr>
        <w:t>.</w:t>
      </w:r>
    </w:p>
    <w:p w14:paraId="2FE37F2D" w14:textId="76D52174" w:rsidR="008946E8" w:rsidRDefault="009C6E6C" w:rsidP="00251FD8">
      <w:pPr>
        <w:pStyle w:val="HTMLPreformatted"/>
        <w:jc w:val="both"/>
        <w:rPr>
          <w:rFonts w:ascii="Tw Cen MT" w:hAnsi="Tw Cen MT"/>
          <w:sz w:val="22"/>
          <w:szCs w:val="22"/>
          <w:lang w:val="fr-FR"/>
        </w:rPr>
      </w:pPr>
      <w:r>
        <w:rPr>
          <w:rFonts w:ascii="Tw Cen MT" w:hAnsi="Tw Cen MT"/>
          <w:sz w:val="22"/>
          <w:szCs w:val="22"/>
          <w:lang w:val="fr-FR"/>
        </w:rPr>
        <w:t>On note que dans le cadre de ses activités, outre la certification forestière, la BMZ a également appuyé la promotion de la certification de la production d’huile de palme durable en Afrique.</w:t>
      </w:r>
      <w:r w:rsidR="008946E8">
        <w:rPr>
          <w:rFonts w:ascii="Tw Cen MT" w:hAnsi="Tw Cen MT"/>
          <w:sz w:val="22"/>
          <w:szCs w:val="22"/>
          <w:lang w:val="fr-FR"/>
        </w:rPr>
        <w:t xml:space="preserve"> </w:t>
      </w:r>
    </w:p>
    <w:p w14:paraId="7DA8C0BD" w14:textId="77777777" w:rsidR="00FB1395" w:rsidRDefault="00FB1395" w:rsidP="00251FD8">
      <w:pPr>
        <w:pStyle w:val="HTMLPreformatted"/>
        <w:jc w:val="both"/>
        <w:rPr>
          <w:rFonts w:ascii="Tw Cen MT" w:hAnsi="Tw Cen MT"/>
          <w:sz w:val="22"/>
          <w:szCs w:val="22"/>
          <w:lang w:val="fr-FR"/>
        </w:rPr>
      </w:pPr>
    </w:p>
    <w:p w14:paraId="4DD9A9DC" w14:textId="77777777" w:rsidR="0080491D" w:rsidRDefault="0080491D" w:rsidP="00251FD8">
      <w:pPr>
        <w:pStyle w:val="HTMLPreformatted"/>
        <w:jc w:val="both"/>
        <w:rPr>
          <w:rFonts w:ascii="Tw Cen MT" w:hAnsi="Tw Cen MT"/>
          <w:sz w:val="22"/>
          <w:szCs w:val="22"/>
          <w:lang w:val="fr-FR"/>
        </w:rPr>
      </w:pPr>
    </w:p>
    <w:p w14:paraId="32563F4E" w14:textId="77777777" w:rsidR="0080491D" w:rsidRPr="00736518" w:rsidRDefault="0080491D" w:rsidP="00251FD8">
      <w:pPr>
        <w:pStyle w:val="HTMLPreformatted"/>
        <w:jc w:val="both"/>
        <w:rPr>
          <w:rFonts w:ascii="Tw Cen MT" w:hAnsi="Tw Cen MT"/>
          <w:sz w:val="22"/>
          <w:szCs w:val="22"/>
          <w:lang w:val="fr-FR"/>
        </w:rPr>
      </w:pPr>
    </w:p>
    <w:p w14:paraId="69906301" w14:textId="1ADCCC92" w:rsidR="00FB1395" w:rsidRPr="00E746D3" w:rsidRDefault="00FB1395" w:rsidP="00E746D3">
      <w:pPr>
        <w:pStyle w:val="HTMLPreformatted"/>
        <w:spacing w:after="120"/>
        <w:rPr>
          <w:rFonts w:ascii="Tw Cen MT" w:hAnsi="Tw Cen MT"/>
          <w:color w:val="DD8047" w:themeColor="accent2"/>
          <w:sz w:val="22"/>
          <w:szCs w:val="22"/>
          <w:lang w:val="fr-FR"/>
        </w:rPr>
      </w:pPr>
      <w:r w:rsidRPr="00FB1395">
        <w:rPr>
          <w:rFonts w:ascii="Tw Cen MT" w:hAnsi="Tw Cen MT"/>
          <w:i/>
          <w:color w:val="DD8047" w:themeColor="accent2"/>
          <w:sz w:val="22"/>
          <w:szCs w:val="22"/>
          <w:lang w:val="fr-FR"/>
        </w:rPr>
        <w:lastRenderedPageBreak/>
        <w:t>L’a</w:t>
      </w:r>
      <w:r w:rsidRPr="00FB1395">
        <w:rPr>
          <w:rFonts w:ascii="Tw Cen MT" w:hAnsi="Tw Cen MT"/>
          <w:bCs/>
          <w:i/>
          <w:color w:val="DD8047" w:themeColor="accent2"/>
          <w:sz w:val="22"/>
          <w:szCs w:val="22"/>
          <w:lang w:val="fr-FR"/>
        </w:rPr>
        <w:t>gence allemande</w:t>
      </w:r>
      <w:r w:rsidRPr="00FB1395">
        <w:rPr>
          <w:rFonts w:ascii="Tw Cen MT" w:hAnsi="Tw Cen MT"/>
          <w:b/>
          <w:bCs/>
          <w:i/>
          <w:color w:val="DD8047" w:themeColor="accent2"/>
          <w:sz w:val="22"/>
          <w:szCs w:val="22"/>
          <w:lang w:val="fr-FR"/>
        </w:rPr>
        <w:t xml:space="preserve"> </w:t>
      </w:r>
      <w:r w:rsidRPr="00FB1395">
        <w:rPr>
          <w:rFonts w:ascii="Tw Cen MT" w:hAnsi="Tw Cen MT"/>
          <w:bCs/>
          <w:i/>
          <w:color w:val="DD8047" w:themeColor="accent2"/>
          <w:sz w:val="22"/>
          <w:szCs w:val="22"/>
          <w:lang w:val="fr-FR"/>
        </w:rPr>
        <w:t>d'investissement et de dévelop</w:t>
      </w:r>
      <w:r w:rsidRPr="00FB1395">
        <w:rPr>
          <w:rFonts w:ascii="Tw Cen MT" w:hAnsi="Tw Cen MT"/>
          <w:i/>
          <w:color w:val="DD8047" w:themeColor="accent2"/>
          <w:sz w:val="22"/>
          <w:szCs w:val="22"/>
          <w:lang w:val="fr-FR"/>
        </w:rPr>
        <w:t>pement (DEG)</w:t>
      </w:r>
      <w:r w:rsidR="00A25813">
        <w:rPr>
          <w:rStyle w:val="FootnoteReference"/>
          <w:rFonts w:ascii="Tw Cen MT" w:hAnsi="Tw Cen MT"/>
          <w:i/>
          <w:color w:val="DD8047" w:themeColor="accent2"/>
          <w:sz w:val="22"/>
          <w:szCs w:val="22"/>
          <w:lang w:val="fr-FR"/>
        </w:rPr>
        <w:footnoteReference w:id="41"/>
      </w:r>
    </w:p>
    <w:p w14:paraId="6C575B26" w14:textId="46E32C53" w:rsidR="00FB1395" w:rsidRPr="00A25813" w:rsidRDefault="000F2E1D" w:rsidP="00BA65C9">
      <w:pPr>
        <w:pStyle w:val="HTMLPreformatted"/>
        <w:spacing w:after="120"/>
        <w:jc w:val="both"/>
        <w:rPr>
          <w:rFonts w:asciiTheme="minorHAnsi" w:hAnsiTheme="minorHAnsi"/>
          <w:sz w:val="22"/>
          <w:szCs w:val="22"/>
          <w:lang w:val="fr-FR"/>
        </w:rPr>
      </w:pPr>
      <w:r>
        <w:rPr>
          <w:rFonts w:asciiTheme="minorHAnsi" w:hAnsiTheme="minorHAnsi"/>
          <w:sz w:val="22"/>
          <w:szCs w:val="22"/>
          <w:lang w:val="fr-FR"/>
        </w:rPr>
        <w:t xml:space="preserve">La DEG est une filiale de la </w:t>
      </w:r>
      <w:proofErr w:type="spellStart"/>
      <w:r>
        <w:rPr>
          <w:rFonts w:asciiTheme="minorHAnsi" w:hAnsiTheme="minorHAnsi"/>
          <w:sz w:val="22"/>
          <w:szCs w:val="22"/>
          <w:lang w:val="fr-FR"/>
        </w:rPr>
        <w:t>K</w:t>
      </w:r>
      <w:r w:rsidR="00FB1395" w:rsidRPr="00A25813">
        <w:rPr>
          <w:rFonts w:asciiTheme="minorHAnsi" w:hAnsiTheme="minorHAnsi"/>
          <w:sz w:val="22"/>
          <w:szCs w:val="22"/>
          <w:lang w:val="fr-FR"/>
        </w:rPr>
        <w:t>fW</w:t>
      </w:r>
      <w:proofErr w:type="spellEnd"/>
      <w:r w:rsidR="00FB1395" w:rsidRPr="00A25813">
        <w:rPr>
          <w:rFonts w:asciiTheme="minorHAnsi" w:hAnsiTheme="minorHAnsi"/>
          <w:sz w:val="22"/>
          <w:szCs w:val="22"/>
          <w:lang w:val="fr-FR"/>
        </w:rPr>
        <w:t xml:space="preserve"> qui appui le entreprises privées qui investissement dans les pays en voie de développem</w:t>
      </w:r>
      <w:r>
        <w:rPr>
          <w:rFonts w:asciiTheme="minorHAnsi" w:hAnsiTheme="minorHAnsi"/>
          <w:sz w:val="22"/>
          <w:szCs w:val="22"/>
          <w:lang w:val="fr-FR"/>
        </w:rPr>
        <w:t>ent et émergent. En 2015, la DEG</w:t>
      </w:r>
      <w:r w:rsidR="00FB1395" w:rsidRPr="00A25813">
        <w:rPr>
          <w:rFonts w:asciiTheme="minorHAnsi" w:hAnsiTheme="minorHAnsi"/>
          <w:sz w:val="22"/>
          <w:szCs w:val="22"/>
          <w:lang w:val="fr-FR"/>
        </w:rPr>
        <w:t xml:space="preserve"> a investi plus de 1 milliards d’euros dont 284</w:t>
      </w:r>
      <w:r w:rsidR="00082FDB">
        <w:rPr>
          <w:rFonts w:asciiTheme="minorHAnsi" w:hAnsiTheme="minorHAnsi"/>
          <w:sz w:val="22"/>
          <w:szCs w:val="22"/>
          <w:lang w:val="fr-FR"/>
        </w:rPr>
        <w:t xml:space="preserve"> millions</w:t>
      </w:r>
      <w:r w:rsidR="00FB1395" w:rsidRPr="00A25813">
        <w:rPr>
          <w:rFonts w:asciiTheme="minorHAnsi" w:hAnsiTheme="minorHAnsi"/>
          <w:sz w:val="22"/>
          <w:szCs w:val="22"/>
          <w:lang w:val="fr-FR"/>
        </w:rPr>
        <w:t xml:space="preserve"> en Afrique Sub-saharienne et dispose d’un portefeuille d’investissement d’environ 8 milliards </w:t>
      </w:r>
      <w:r w:rsidR="00B0444B">
        <w:rPr>
          <w:rFonts w:asciiTheme="minorHAnsi" w:hAnsiTheme="minorHAnsi"/>
          <w:sz w:val="22"/>
          <w:szCs w:val="22"/>
          <w:lang w:val="fr-FR"/>
        </w:rPr>
        <w:t>d’USD</w:t>
      </w:r>
      <w:r w:rsidR="00FB1395" w:rsidRPr="00A25813">
        <w:rPr>
          <w:rFonts w:asciiTheme="minorHAnsi" w:hAnsiTheme="minorHAnsi"/>
          <w:sz w:val="22"/>
          <w:szCs w:val="22"/>
          <w:lang w:val="fr-FR"/>
        </w:rPr>
        <w:t xml:space="preserve">. </w:t>
      </w:r>
    </w:p>
    <w:p w14:paraId="633307D6" w14:textId="5FD036D3" w:rsidR="00FB1395" w:rsidRPr="00A25813" w:rsidRDefault="00FB1395" w:rsidP="00A25813">
      <w:pPr>
        <w:autoSpaceDE w:val="0"/>
        <w:autoSpaceDN w:val="0"/>
        <w:adjustRightInd w:val="0"/>
        <w:spacing w:after="0"/>
        <w:rPr>
          <w:rFonts w:eastAsiaTheme="minorHAnsi" w:cs="Caecilia-Roman"/>
          <w:szCs w:val="22"/>
          <w:lang w:eastAsia="en-US"/>
        </w:rPr>
      </w:pPr>
      <w:r w:rsidRPr="00A25813">
        <w:rPr>
          <w:szCs w:val="22"/>
        </w:rPr>
        <w:t xml:space="preserve">Aujourd’hui, la DEG </w:t>
      </w:r>
      <w:r w:rsidR="00A25813" w:rsidRPr="00A25813">
        <w:rPr>
          <w:rFonts w:eastAsiaTheme="minorHAnsi" w:cs="Caecilia-Roman"/>
          <w:szCs w:val="22"/>
          <w:lang w:eastAsia="en-US"/>
        </w:rPr>
        <w:t>figure parmi l</w:t>
      </w:r>
      <w:r w:rsidRPr="00A25813">
        <w:rPr>
          <w:rFonts w:eastAsiaTheme="minorHAnsi" w:cs="Caecilia-Roman"/>
          <w:szCs w:val="22"/>
          <w:lang w:eastAsia="en-US"/>
        </w:rPr>
        <w:t>es plus grandes</w:t>
      </w:r>
      <w:r w:rsidR="00A25813" w:rsidRPr="00A25813">
        <w:rPr>
          <w:rFonts w:eastAsiaTheme="minorHAnsi" w:cs="Caecilia-Roman"/>
          <w:szCs w:val="22"/>
          <w:lang w:eastAsia="en-US"/>
        </w:rPr>
        <w:t xml:space="preserve"> institutions de financement du </w:t>
      </w:r>
      <w:r w:rsidRPr="00A25813">
        <w:rPr>
          <w:rFonts w:eastAsiaTheme="minorHAnsi" w:cs="Caecilia-Roman"/>
          <w:szCs w:val="22"/>
          <w:lang w:eastAsia="en-US"/>
        </w:rPr>
        <w:t>développement dans le monde.</w:t>
      </w:r>
      <w:r w:rsidRPr="00A25813">
        <w:rPr>
          <w:szCs w:val="22"/>
        </w:rPr>
        <w:t xml:space="preserve"> </w:t>
      </w:r>
    </w:p>
    <w:p w14:paraId="6A14AB47" w14:textId="77777777" w:rsidR="00FB1395" w:rsidRDefault="00FB1395" w:rsidP="002B5E19">
      <w:pPr>
        <w:pStyle w:val="HTMLPreformatted"/>
        <w:rPr>
          <w:lang w:val="fr-FR"/>
        </w:rPr>
      </w:pPr>
    </w:p>
    <w:p w14:paraId="63872187" w14:textId="77777777" w:rsidR="00736518" w:rsidRPr="00736518" w:rsidRDefault="00736518" w:rsidP="00736518">
      <w:pPr>
        <w:rPr>
          <w:i/>
          <w:color w:val="DD8047" w:themeColor="accent2"/>
          <w:lang w:eastAsia="en-US"/>
        </w:rPr>
      </w:pPr>
      <w:r w:rsidRPr="00736518">
        <w:rPr>
          <w:i/>
          <w:color w:val="DD8047" w:themeColor="accent2"/>
          <w:lang w:eastAsia="en-US"/>
        </w:rPr>
        <w:t xml:space="preserve">Les fonds et initiatives </w:t>
      </w:r>
    </w:p>
    <w:p w14:paraId="69AEBCF8" w14:textId="11930F5D" w:rsidR="00A12DCC" w:rsidRDefault="00585232" w:rsidP="008B0EB3">
      <w:pPr>
        <w:pStyle w:val="ListParagraph"/>
        <w:numPr>
          <w:ilvl w:val="0"/>
          <w:numId w:val="20"/>
        </w:numPr>
        <w:rPr>
          <w:color w:val="548AB7" w:themeColor="accent1" w:themeShade="BF"/>
        </w:rPr>
      </w:pPr>
      <w:r w:rsidRPr="00585232">
        <w:rPr>
          <w:color w:val="548AB7" w:themeColor="accent1" w:themeShade="BF"/>
        </w:rPr>
        <w:t xml:space="preserve">Initiative Climat Internationale </w:t>
      </w:r>
      <w:r>
        <w:rPr>
          <w:color w:val="548AB7" w:themeColor="accent1" w:themeShade="BF"/>
        </w:rPr>
        <w:t>(IKI</w:t>
      </w:r>
      <w:r w:rsidR="00A12DCC" w:rsidRPr="00585232">
        <w:rPr>
          <w:color w:val="548AB7" w:themeColor="accent1" w:themeShade="BF"/>
        </w:rPr>
        <w:t>)</w:t>
      </w:r>
      <w:r w:rsidR="004E2050">
        <w:rPr>
          <w:rStyle w:val="FootnoteReference"/>
          <w:color w:val="548AB7" w:themeColor="accent1" w:themeShade="BF"/>
        </w:rPr>
        <w:footnoteReference w:id="42"/>
      </w:r>
    </w:p>
    <w:p w14:paraId="1281ED6C" w14:textId="3F35C701" w:rsidR="004F10BE" w:rsidRDefault="004E2050" w:rsidP="004F10BE">
      <w:r>
        <w:t xml:space="preserve">Créé en 2008 par le </w:t>
      </w:r>
      <w:r w:rsidRPr="004E2050">
        <w:rPr>
          <w:rStyle w:val="Emphasis"/>
          <w:i w:val="0"/>
        </w:rPr>
        <w:t>ministère</w:t>
      </w:r>
      <w:r>
        <w:rPr>
          <w:rStyle w:val="st"/>
          <w:rFonts w:eastAsiaTheme="majorEastAsia"/>
        </w:rPr>
        <w:t xml:space="preserve"> fédéral de l'</w:t>
      </w:r>
      <w:r w:rsidRPr="004E2050">
        <w:rPr>
          <w:rStyle w:val="Emphasis"/>
          <w:i w:val="0"/>
        </w:rPr>
        <w:t>Environnemen</w:t>
      </w:r>
      <w:r w:rsidRPr="00736518">
        <w:rPr>
          <w:rStyle w:val="Emphasis"/>
          <w:i w:val="0"/>
        </w:rPr>
        <w:t>t</w:t>
      </w:r>
      <w:r w:rsidRPr="00736518">
        <w:rPr>
          <w:rStyle w:val="st"/>
          <w:rFonts w:eastAsiaTheme="majorEastAsia"/>
          <w:i/>
        </w:rPr>
        <w:t>,</w:t>
      </w:r>
      <w:r>
        <w:rPr>
          <w:rStyle w:val="st"/>
          <w:rFonts w:eastAsiaTheme="majorEastAsia"/>
        </w:rPr>
        <w:t xml:space="preserve"> de la Protection de la natur</w:t>
      </w:r>
      <w:r w:rsidR="00736518">
        <w:rPr>
          <w:rStyle w:val="st"/>
          <w:rFonts w:eastAsiaTheme="majorEastAsia"/>
        </w:rPr>
        <w:t>e, de la Construction et de la sûreté nucléaire (BMU), l</w:t>
      </w:r>
      <w:r>
        <w:t xml:space="preserve">’IKI finance des projets dans les domaines de l’atténuation des émissions de GES, l’adaptation, le REDD+ et la conservation de la biodiversité. </w:t>
      </w:r>
    </w:p>
    <w:p w14:paraId="4F3434B8" w14:textId="0B5D432B" w:rsidR="004E2050" w:rsidRDefault="004E2050" w:rsidP="004F10BE">
      <w:r>
        <w:t>Depuis 2008, l’IKI a permis de financer 500 projets pour un montant total de 1,7 milliards d’euros. En 2014, le montan</w:t>
      </w:r>
      <w:r w:rsidR="000F2E1D">
        <w:t>t total investit sur l’année était</w:t>
      </w:r>
      <w:r>
        <w:t xml:space="preserve"> de 319 millions d’euros. </w:t>
      </w:r>
    </w:p>
    <w:p w14:paraId="55863DD5" w14:textId="1FE78AC1" w:rsidR="00585232" w:rsidRPr="004F10BE" w:rsidRDefault="004F10BE" w:rsidP="00585232">
      <w:r w:rsidRPr="00524940">
        <w:t>La République du Congo ne fait actuellement pas partie des bénéficiaires du fonds</w:t>
      </w:r>
      <w:r>
        <w:t>.</w:t>
      </w:r>
      <w:r w:rsidR="00BF0C60">
        <w:t xml:space="preserve"> Pour bénéficier du fonds, il est nécessaire de présenter un document initial de projet selon le modèle adopté par le fonds lors d’appels à propositions. Si le projet est présélectionné, une deuxième étape est de soumission d’une proposition de projet plus détaillée est alors réalisée pour la sélection finale des projets. </w:t>
      </w:r>
    </w:p>
    <w:p w14:paraId="325F17E5" w14:textId="64117FC4" w:rsidR="00316B4C" w:rsidRDefault="00316B4C" w:rsidP="008B0EB3">
      <w:pPr>
        <w:pStyle w:val="ListParagraph"/>
        <w:numPr>
          <w:ilvl w:val="0"/>
          <w:numId w:val="20"/>
        </w:numPr>
        <w:rPr>
          <w:color w:val="548AB7" w:themeColor="accent1" w:themeShade="BF"/>
          <w:lang w:val="en-US"/>
        </w:rPr>
      </w:pPr>
      <w:r w:rsidRPr="005E0378">
        <w:rPr>
          <w:color w:val="548AB7" w:themeColor="accent1" w:themeShade="BF"/>
          <w:lang w:val="en-US"/>
        </w:rPr>
        <w:t>REDD early movers (REM)</w:t>
      </w:r>
    </w:p>
    <w:p w14:paraId="556492DA" w14:textId="77777777" w:rsidR="00826BB8" w:rsidRDefault="008F60BA" w:rsidP="008F60BA">
      <w:r w:rsidRPr="00826BB8">
        <w:t xml:space="preserve">Le programme REDD </w:t>
      </w:r>
      <w:proofErr w:type="spellStart"/>
      <w:r w:rsidRPr="00826BB8">
        <w:t>early</w:t>
      </w:r>
      <w:proofErr w:type="spellEnd"/>
      <w:r w:rsidRPr="00826BB8">
        <w:t xml:space="preserve"> </w:t>
      </w:r>
      <w:proofErr w:type="spellStart"/>
      <w:r w:rsidRPr="00826BB8">
        <w:t>mover</w:t>
      </w:r>
      <w:proofErr w:type="spellEnd"/>
      <w:r w:rsidR="00826BB8" w:rsidRPr="00826BB8">
        <w:t xml:space="preserve"> (2012-2019)</w:t>
      </w:r>
      <w:r w:rsidRPr="00826BB8">
        <w:t xml:space="preserve"> est un fonds multilatéral (Allemagne, Norvège) qui vise à réaliser des paiements aux résultats des initiatives REDD+ pour les pays ayant déjà démarré leurs activités sur le terrain. </w:t>
      </w:r>
    </w:p>
    <w:p w14:paraId="318B9415" w14:textId="52BCB9BA" w:rsidR="0041561C" w:rsidRDefault="00826BB8" w:rsidP="008F60BA">
      <w:r>
        <w:t xml:space="preserve">Depuis 2012, le programme supporte une activité de déforestation évitée dans l’Etat d’Acre au Brésil. En 2014, la Colombie et l’Equateur sont devenus bénéficiaires du programme pour la période 2015-2017. Sur cette période, le programme achètera les réductions d’émissions des deux pays à hauteur de 5 dollars par </w:t>
      </w:r>
      <w:r w:rsidR="00B3357E">
        <w:t>tonne de CO2</w:t>
      </w:r>
      <w:r>
        <w:t xml:space="preserve"> équivalent pour un montant total maximum de 32,5 millions </w:t>
      </w:r>
      <w:r w:rsidR="00B0444B">
        <w:t>d’USD</w:t>
      </w:r>
      <w:r>
        <w:t xml:space="preserve"> par pays</w:t>
      </w:r>
      <w:r>
        <w:rPr>
          <w:rStyle w:val="FootnoteReference"/>
        </w:rPr>
        <w:footnoteReference w:id="43"/>
      </w:r>
      <w:r>
        <w:t xml:space="preserve">.   </w:t>
      </w:r>
    </w:p>
    <w:p w14:paraId="7274F157" w14:textId="7237B190" w:rsidR="009006E0" w:rsidRPr="00826BB8" w:rsidRDefault="009006E0" w:rsidP="008F60BA">
      <w:r>
        <w:t>Pour bénéficier de ce fonds, la procédure est similaire au Fonds Carbone du FCPF et nécessite l’approbation de</w:t>
      </w:r>
      <w:r w:rsidR="00C60375">
        <w:t>s</w:t>
      </w:r>
      <w:r>
        <w:t xml:space="preserve"> document</w:t>
      </w:r>
      <w:r w:rsidR="00C60375">
        <w:t>s</w:t>
      </w:r>
      <w:r>
        <w:t xml:space="preserve"> de projets juridictionnels ou nationaux incluant l’ensemble des éléments relatifs au niveau de référence, aux réductions d’émissions attendues, au système de suivi, reportage et </w:t>
      </w:r>
      <w:r w:rsidR="00C60375">
        <w:t>vérification</w:t>
      </w:r>
      <w:r>
        <w:t>, au respect des garanties</w:t>
      </w:r>
      <w:r w:rsidR="00C60375">
        <w:t xml:space="preserve"> sociales et environnementales</w:t>
      </w:r>
      <w:r>
        <w:t>,</w:t>
      </w:r>
      <w:r w:rsidR="00C60375">
        <w:t xml:space="preserve"> au partage des bénéfices et</w:t>
      </w:r>
      <w:r>
        <w:t xml:space="preserve"> etc.</w:t>
      </w:r>
    </w:p>
    <w:p w14:paraId="05247E64" w14:textId="5E16B522" w:rsidR="00316B4C" w:rsidRDefault="00316B4C" w:rsidP="008B0EB3">
      <w:pPr>
        <w:pStyle w:val="ListParagraph"/>
        <w:numPr>
          <w:ilvl w:val="0"/>
          <w:numId w:val="20"/>
        </w:numPr>
        <w:rPr>
          <w:color w:val="548AB7" w:themeColor="accent1" w:themeShade="BF"/>
          <w:lang w:val="en-US"/>
        </w:rPr>
      </w:pPr>
      <w:r w:rsidRPr="005E0378">
        <w:rPr>
          <w:color w:val="548AB7" w:themeColor="accent1" w:themeShade="BF"/>
          <w:lang w:val="en-US"/>
        </w:rPr>
        <w:t>NAMA</w:t>
      </w:r>
      <w:r w:rsidR="00195293">
        <w:rPr>
          <w:color w:val="548AB7" w:themeColor="accent1" w:themeShade="BF"/>
          <w:lang w:val="en-US"/>
        </w:rPr>
        <w:t xml:space="preserve"> facility</w:t>
      </w:r>
      <w:r w:rsidR="00195293">
        <w:rPr>
          <w:rStyle w:val="FootnoteReference"/>
          <w:color w:val="548AB7" w:themeColor="accent1" w:themeShade="BF"/>
          <w:lang w:val="en-US"/>
        </w:rPr>
        <w:footnoteReference w:id="44"/>
      </w:r>
    </w:p>
    <w:p w14:paraId="6C274A1E" w14:textId="4FCA20C3" w:rsidR="003E0571" w:rsidRPr="00195293" w:rsidRDefault="000F2E1D" w:rsidP="00DC454B">
      <w:r>
        <w:t>Fonds multi-</w:t>
      </w:r>
      <w:r w:rsidR="008D0BF8" w:rsidRPr="003E0571">
        <w:t>bilatéral</w:t>
      </w:r>
      <w:r w:rsidR="00DC454B" w:rsidRPr="003E0571">
        <w:t xml:space="preserve"> créé par l’Allemagne et le </w:t>
      </w:r>
      <w:r w:rsidR="008D0BF8" w:rsidRPr="003E0571">
        <w:t>Royaume</w:t>
      </w:r>
      <w:r w:rsidR="00DC454B" w:rsidRPr="003E0571">
        <w:t xml:space="preserve"> Unis</w:t>
      </w:r>
      <w:r w:rsidR="008D0BF8" w:rsidRPr="003E0571">
        <w:t xml:space="preserve"> en 2013, la Facilité NAMA </w:t>
      </w:r>
      <w:r w:rsidR="007563BE" w:rsidRPr="003E0571">
        <w:t>aujourd’hui</w:t>
      </w:r>
      <w:r w:rsidR="008D0BF8" w:rsidRPr="003E0571">
        <w:t xml:space="preserve"> regroupe de multiple</w:t>
      </w:r>
      <w:r w:rsidR="007563BE" w:rsidRPr="003E0571">
        <w:t>s</w:t>
      </w:r>
      <w:r w:rsidR="008D0BF8" w:rsidRPr="003E0571">
        <w:t xml:space="preserve"> donneurs </w:t>
      </w:r>
      <w:r w:rsidR="007563BE" w:rsidRPr="003E0571">
        <w:t>dont l’UE et le Danemark pour un montant des contributions totales s’élevant à 215 millions d’euros.</w:t>
      </w:r>
      <w:r w:rsidR="003E0571">
        <w:t xml:space="preserve"> Les financements visent à appuyer les pays en voie de développement et émergent dans la mise en place de </w:t>
      </w:r>
      <w:r w:rsidR="00195293" w:rsidRPr="00195293">
        <w:rPr>
          <w:bCs/>
        </w:rPr>
        <w:t>mesures d'atténuation appropriées à l'échelle nationale (</w:t>
      </w:r>
      <w:proofErr w:type="spellStart"/>
      <w:r w:rsidR="00195293">
        <w:rPr>
          <w:bCs/>
        </w:rPr>
        <w:t>NAMAs</w:t>
      </w:r>
      <w:proofErr w:type="spellEnd"/>
      <w:r w:rsidR="00195293" w:rsidRPr="00195293">
        <w:rPr>
          <w:bCs/>
        </w:rPr>
        <w:t>)</w:t>
      </w:r>
      <w:r w:rsidR="00195293">
        <w:rPr>
          <w:bCs/>
        </w:rPr>
        <w:t>.</w:t>
      </w:r>
      <w:r w:rsidR="003E0571" w:rsidRPr="00195293">
        <w:t xml:space="preserve"> </w:t>
      </w:r>
    </w:p>
    <w:p w14:paraId="3FAFE289" w14:textId="231E5426" w:rsidR="00DC454B" w:rsidRPr="00BA65C9" w:rsidRDefault="00195293" w:rsidP="00BA65C9">
      <w:r w:rsidRPr="00524940">
        <w:t>La République du Congo ne fait actuellement pas partie des bénéficiaires du fonds</w:t>
      </w:r>
      <w:r>
        <w:t>.</w:t>
      </w:r>
      <w:r w:rsidR="008404B7">
        <w:t xml:space="preserve"> Pour bénéficier de ce fonds, la Facilité NAMA organise des appels à propositions. Aujourd’hui 3 ont été réalisés </w:t>
      </w:r>
      <w:r w:rsidR="008404B7" w:rsidRPr="003E0571">
        <w:t>et 12 programmes sont en phase d’implantation et</w:t>
      </w:r>
      <w:r w:rsidR="008404B7">
        <w:t xml:space="preserve"> de mise en œuvre dans 11 pays (pour environ 45 propositions de projets réalisées par appel). Les projets sont financés à hauteur de 5 à 20 millions d’euros </w:t>
      </w:r>
      <w:r w:rsidR="002E77B1">
        <w:t>par projet</w:t>
      </w:r>
      <w:r w:rsidR="00F43E62">
        <w:t xml:space="preserve"> et doivent être soumis soit par le gouvernement, des organisations intergouvernementales ou par des organisations d’exécutions dites qualifiées. Pour être considérés, les projets doivent associés une organisation d’exécutions répondant aux critères de qualifications du fonds (légalité, expérience dans la gestion de financements de l’APD, absence de conflits d’intérêts, etc.) et satisfaire des critères d’ambition et de faisabilité.</w:t>
      </w:r>
    </w:p>
    <w:p w14:paraId="0E5F8050" w14:textId="3DDB5120" w:rsidR="00316B4C" w:rsidRDefault="00316B4C" w:rsidP="008B0EB3">
      <w:pPr>
        <w:pStyle w:val="ListParagraph"/>
        <w:numPr>
          <w:ilvl w:val="0"/>
          <w:numId w:val="20"/>
        </w:numPr>
        <w:rPr>
          <w:color w:val="548AB7" w:themeColor="accent1" w:themeShade="BF"/>
          <w:lang w:val="en-US"/>
        </w:rPr>
      </w:pPr>
      <w:bookmarkStart w:id="33" w:name="OLE_LINK15"/>
      <w:bookmarkStart w:id="34" w:name="OLE_LINK16"/>
      <w:r w:rsidRPr="005E0378">
        <w:rPr>
          <w:color w:val="548AB7" w:themeColor="accent1" w:themeShade="BF"/>
          <w:lang w:val="en-US"/>
        </w:rPr>
        <w:lastRenderedPageBreak/>
        <w:t xml:space="preserve">Global Climate Partnership Fund </w:t>
      </w:r>
      <w:bookmarkEnd w:id="33"/>
      <w:bookmarkEnd w:id="34"/>
      <w:r w:rsidRPr="005E0378">
        <w:rPr>
          <w:color w:val="548AB7" w:themeColor="accent1" w:themeShade="BF"/>
          <w:lang w:val="en-US"/>
        </w:rPr>
        <w:t>(GCPF)</w:t>
      </w:r>
      <w:r w:rsidR="00524940">
        <w:rPr>
          <w:rStyle w:val="FootnoteReference"/>
          <w:color w:val="548AB7" w:themeColor="accent1" w:themeShade="BF"/>
          <w:lang w:val="en-US"/>
        </w:rPr>
        <w:footnoteReference w:id="45"/>
      </w:r>
    </w:p>
    <w:p w14:paraId="30273FAE" w14:textId="73CA4FA3" w:rsidR="00DC454B" w:rsidRPr="00524940" w:rsidRDefault="00524940" w:rsidP="00DC454B">
      <w:r w:rsidRPr="00524940">
        <w:t>Le GCPF est un f</w:t>
      </w:r>
      <w:r w:rsidR="00DC454B" w:rsidRPr="00524940">
        <w:t xml:space="preserve">onds multi </w:t>
      </w:r>
      <w:r w:rsidRPr="00524940">
        <w:t>bilatéral</w:t>
      </w:r>
      <w:r w:rsidR="00DC454B" w:rsidRPr="00524940">
        <w:t xml:space="preserve"> </w:t>
      </w:r>
      <w:r w:rsidRPr="00524940">
        <w:t>créé</w:t>
      </w:r>
      <w:r w:rsidR="00DC454B" w:rsidRPr="00524940">
        <w:t xml:space="preserve"> par l’Allemagne</w:t>
      </w:r>
      <w:r w:rsidRPr="00524940">
        <w:t xml:space="preserve"> et l’Autriche </w:t>
      </w:r>
      <w:r w:rsidR="00154581" w:rsidRPr="00524940">
        <w:t>qui appui le financement (soi</w:t>
      </w:r>
      <w:r w:rsidRPr="00524940">
        <w:t>t directement soit via une institu</w:t>
      </w:r>
      <w:r w:rsidR="00154581" w:rsidRPr="00524940">
        <w:t xml:space="preserve">tion </w:t>
      </w:r>
      <w:r w:rsidR="00F4647C">
        <w:t>financière</w:t>
      </w:r>
      <w:r w:rsidR="00154581" w:rsidRPr="00524940">
        <w:t>) de projets d’améliorati</w:t>
      </w:r>
      <w:r w:rsidR="00D0493D">
        <w:t xml:space="preserve">on de l’efficacité énergétique </w:t>
      </w:r>
      <w:r w:rsidR="00E746D3">
        <w:t xml:space="preserve">et d’énergie renouvelable. </w:t>
      </w:r>
      <w:r w:rsidR="00154581" w:rsidRPr="00524940">
        <w:t>Les projets éligibles sont, pour l’efficacité énergétique, les projets qui réduisent d’au minimum 20% des émissions de GES (dans le bâtiment, l’industrie et les procédés) et, pour l’énergie renouvelable, les projets de petite et moyenne échelle employant l’énergie solaire, le mini hydroélectrique, les parcs éoliens ou encore la biomasse.</w:t>
      </w:r>
    </w:p>
    <w:p w14:paraId="61D9F80B" w14:textId="2A5CA779" w:rsidR="00524940" w:rsidRPr="00524940" w:rsidRDefault="00524940" w:rsidP="00DC454B">
      <w:r w:rsidRPr="00524940">
        <w:t xml:space="preserve">A la fin 2014, le fonds a permis le financement de 15 projets dans 12 pays pour un montant total de 230,2 millions d’euros (dont 43 millions en 2014). </w:t>
      </w:r>
    </w:p>
    <w:p w14:paraId="75493385" w14:textId="4599DD5B" w:rsidR="00813617" w:rsidRPr="00DC454B" w:rsidRDefault="00524940" w:rsidP="003A0C9B">
      <w:r w:rsidRPr="00524940">
        <w:t xml:space="preserve">La République du Congo ne fait actuellement pas partie des bénéficiaires du fonds mais elle fait partie des pays ciblés par celui-ci. </w:t>
      </w:r>
      <w:r w:rsidR="00F4647C">
        <w:t>Pour bénéficier du fonds, les institutions financières ou les porteurs de projets doivent soumettre les documents de projet au fonds (incluant le plan de financement et les études de risques).</w:t>
      </w:r>
    </w:p>
    <w:p w14:paraId="144A6CFB" w14:textId="0966F038" w:rsidR="00813617" w:rsidRDefault="00813617" w:rsidP="008B0EB3">
      <w:pPr>
        <w:pStyle w:val="Heading4"/>
        <w:numPr>
          <w:ilvl w:val="2"/>
          <w:numId w:val="13"/>
        </w:numPr>
      </w:pPr>
      <w:r>
        <w:t xml:space="preserve">Les </w:t>
      </w:r>
      <w:proofErr w:type="spellStart"/>
      <w:r>
        <w:t>Etats-Unis</w:t>
      </w:r>
      <w:proofErr w:type="spellEnd"/>
    </w:p>
    <w:p w14:paraId="637DE252" w14:textId="30DE9B1E" w:rsidR="00720F8C" w:rsidRPr="00720F8C" w:rsidRDefault="00720F8C" w:rsidP="00720F8C">
      <w:pPr>
        <w:rPr>
          <w:i/>
          <w:color w:val="DD8047" w:themeColor="accent2"/>
          <w:lang w:eastAsia="en-US"/>
        </w:rPr>
      </w:pPr>
      <w:r w:rsidRPr="00720F8C">
        <w:rPr>
          <w:bCs/>
          <w:i/>
          <w:color w:val="DD8047" w:themeColor="accent2"/>
        </w:rPr>
        <w:t>Agence des États-Unis pour le développement international</w:t>
      </w:r>
      <w:r w:rsidRPr="00720F8C">
        <w:rPr>
          <w:i/>
          <w:color w:val="DD8047" w:themeColor="accent2"/>
        </w:rPr>
        <w:t xml:space="preserve"> (</w:t>
      </w:r>
      <w:r w:rsidRPr="00720F8C">
        <w:rPr>
          <w:bCs/>
          <w:i/>
          <w:color w:val="DD8047" w:themeColor="accent2"/>
        </w:rPr>
        <w:t xml:space="preserve">United States Agency for International </w:t>
      </w:r>
      <w:proofErr w:type="spellStart"/>
      <w:r w:rsidRPr="00720F8C">
        <w:rPr>
          <w:bCs/>
          <w:i/>
          <w:color w:val="DD8047" w:themeColor="accent2"/>
        </w:rPr>
        <w:t>Development</w:t>
      </w:r>
      <w:proofErr w:type="spellEnd"/>
      <w:r w:rsidRPr="00720F8C">
        <w:rPr>
          <w:i/>
          <w:color w:val="DD8047" w:themeColor="accent2"/>
        </w:rPr>
        <w:t xml:space="preserve"> </w:t>
      </w:r>
      <w:r>
        <w:rPr>
          <w:i/>
          <w:color w:val="DD8047" w:themeColor="accent2"/>
        </w:rPr>
        <w:t>–</w:t>
      </w:r>
      <w:r w:rsidRPr="00720F8C">
        <w:rPr>
          <w:i/>
          <w:color w:val="DD8047" w:themeColor="accent2"/>
        </w:rPr>
        <w:t xml:space="preserve"> </w:t>
      </w:r>
      <w:r w:rsidRPr="00720F8C">
        <w:rPr>
          <w:bCs/>
          <w:i/>
          <w:color w:val="DD8047" w:themeColor="accent2"/>
        </w:rPr>
        <w:t>USAID</w:t>
      </w:r>
      <w:r>
        <w:rPr>
          <w:bCs/>
          <w:i/>
          <w:color w:val="DD8047" w:themeColor="accent2"/>
        </w:rPr>
        <w:t>)</w:t>
      </w:r>
      <w:r w:rsidR="00D0493D" w:rsidRPr="00D0493D">
        <w:rPr>
          <w:rStyle w:val="FootnoteReference"/>
          <w:lang w:eastAsia="en-US"/>
        </w:rPr>
        <w:t xml:space="preserve"> </w:t>
      </w:r>
      <w:r w:rsidR="00D0493D" w:rsidRPr="00D0493D">
        <w:rPr>
          <w:rStyle w:val="FootnoteReference"/>
          <w:color w:val="DD8047" w:themeColor="accent2"/>
          <w:lang w:eastAsia="en-US"/>
        </w:rPr>
        <w:footnoteReference w:id="46"/>
      </w:r>
    </w:p>
    <w:p w14:paraId="278C5692" w14:textId="5FB7F132" w:rsidR="00720F8C" w:rsidRPr="00720F8C" w:rsidRDefault="00720F8C" w:rsidP="00720F8C">
      <w:pPr>
        <w:rPr>
          <w:lang w:eastAsia="en-US"/>
        </w:rPr>
      </w:pPr>
      <w:r w:rsidRPr="00720F8C">
        <w:rPr>
          <w:lang w:eastAsia="en-US"/>
        </w:rPr>
        <w:t xml:space="preserve">Les Etats-Unis contribuent majoritairement à l’APD notamment au travers de </w:t>
      </w:r>
      <w:r>
        <w:rPr>
          <w:lang w:eastAsia="en-US"/>
        </w:rPr>
        <w:t>l’</w:t>
      </w:r>
      <w:r w:rsidRPr="00720F8C">
        <w:rPr>
          <w:bCs/>
        </w:rPr>
        <w:t>USAID</w:t>
      </w:r>
      <w:r w:rsidRPr="00720F8C">
        <w:t xml:space="preserve"> chargée du développement économique et de l’assistance </w:t>
      </w:r>
      <w:r w:rsidRPr="00720F8C">
        <w:rPr>
          <w:rFonts w:eastAsiaTheme="majorEastAsia"/>
        </w:rPr>
        <w:t>humanitaire</w:t>
      </w:r>
      <w:r w:rsidRPr="00720F8C">
        <w:t xml:space="preserve"> dans le monde.</w:t>
      </w:r>
      <w:r w:rsidRPr="00720F8C">
        <w:rPr>
          <w:lang w:eastAsia="en-US"/>
        </w:rPr>
        <w:t xml:space="preserve"> </w:t>
      </w:r>
    </w:p>
    <w:p w14:paraId="7277F02C" w14:textId="1C71229E" w:rsidR="00720F8C" w:rsidRDefault="00720F8C" w:rsidP="00720F8C">
      <w:pPr>
        <w:rPr>
          <w:lang w:eastAsia="en-US"/>
        </w:rPr>
      </w:pPr>
      <w:r>
        <w:rPr>
          <w:lang w:eastAsia="en-US"/>
        </w:rPr>
        <w:t>Il n’existe pas de programme d’aide bilatérale entre la République du Congo et les Etats-Unis. Outre l’APD dispensée par les institutions multilatérales et l’aide d’urgence humanitaire, la contribution des Etats-Unis à la coopération au développem</w:t>
      </w:r>
      <w:r w:rsidR="00D0493D">
        <w:rPr>
          <w:lang w:eastAsia="en-US"/>
        </w:rPr>
        <w:t>ent avec le Congo est réalisée au travers du</w:t>
      </w:r>
      <w:r>
        <w:rPr>
          <w:lang w:eastAsia="en-US"/>
        </w:rPr>
        <w:t xml:space="preserve"> programme régional </w:t>
      </w:r>
      <w:r w:rsidR="00D0493D" w:rsidRPr="00F94303">
        <w:rPr>
          <w:rStyle w:val="st"/>
          <w:rFonts w:eastAsiaTheme="majorEastAsia"/>
        </w:rPr>
        <w:t>de l'</w:t>
      </w:r>
      <w:r w:rsidR="00D0493D" w:rsidRPr="00F94303">
        <w:rPr>
          <w:rStyle w:val="Emphasis"/>
          <w:i w:val="0"/>
        </w:rPr>
        <w:t>Afrique</w:t>
      </w:r>
      <w:r w:rsidR="00D0493D" w:rsidRPr="00F94303">
        <w:rPr>
          <w:rStyle w:val="st"/>
          <w:rFonts w:eastAsiaTheme="majorEastAsia"/>
          <w:i/>
        </w:rPr>
        <w:t xml:space="preserve"> </w:t>
      </w:r>
      <w:r w:rsidR="00D0493D">
        <w:rPr>
          <w:rStyle w:val="st"/>
          <w:rFonts w:eastAsiaTheme="majorEastAsia"/>
        </w:rPr>
        <w:t>Centrale pour l'e</w:t>
      </w:r>
      <w:r w:rsidR="00D0493D" w:rsidRPr="00F94303">
        <w:rPr>
          <w:rStyle w:val="st"/>
          <w:rFonts w:eastAsiaTheme="majorEastAsia"/>
        </w:rPr>
        <w:t>nvironnement</w:t>
      </w:r>
      <w:r w:rsidR="00D0493D">
        <w:rPr>
          <w:lang w:eastAsia="en-US"/>
        </w:rPr>
        <w:t xml:space="preserve"> (</w:t>
      </w:r>
      <w:r>
        <w:rPr>
          <w:lang w:eastAsia="en-US"/>
        </w:rPr>
        <w:t>CARPE</w:t>
      </w:r>
      <w:r w:rsidR="00D0493D">
        <w:rPr>
          <w:lang w:eastAsia="en-US"/>
        </w:rPr>
        <w:t>)</w:t>
      </w:r>
      <w:r w:rsidR="00C7328B">
        <w:rPr>
          <w:lang w:eastAsia="en-US"/>
        </w:rPr>
        <w:t xml:space="preserve"> et </w:t>
      </w:r>
      <w:r w:rsidR="00D0493D">
        <w:rPr>
          <w:lang w:eastAsia="en-US"/>
        </w:rPr>
        <w:t xml:space="preserve">de </w:t>
      </w:r>
      <w:r w:rsidR="00C7328B">
        <w:rPr>
          <w:lang w:eastAsia="en-US"/>
        </w:rPr>
        <w:t xml:space="preserve">son soutien au Partenariat pour les Forêts du Bassin du Congo (PFBC). </w:t>
      </w:r>
      <w:r>
        <w:rPr>
          <w:lang w:eastAsia="en-US"/>
        </w:rPr>
        <w:t xml:space="preserve"> </w:t>
      </w:r>
    </w:p>
    <w:p w14:paraId="67A2301C" w14:textId="7544A81C" w:rsidR="00720F8C" w:rsidRDefault="00B43D5B" w:rsidP="00720F8C">
      <w:pPr>
        <w:rPr>
          <w:i/>
          <w:color w:val="DD8047" w:themeColor="accent2"/>
          <w:lang w:eastAsia="en-US"/>
        </w:rPr>
      </w:pPr>
      <w:r w:rsidRPr="00B43D5B">
        <w:rPr>
          <w:i/>
          <w:color w:val="DD8047" w:themeColor="accent2"/>
        </w:rPr>
        <w:t>Société de promotion des investissements privés à l’étranger</w:t>
      </w:r>
      <w:r w:rsidRPr="00B43D5B">
        <w:rPr>
          <w:i/>
          <w:color w:val="DD8047" w:themeColor="accent2"/>
          <w:lang w:eastAsia="en-US"/>
        </w:rPr>
        <w:t xml:space="preserve"> (</w:t>
      </w:r>
      <w:proofErr w:type="spellStart"/>
      <w:r w:rsidRPr="00B43D5B">
        <w:rPr>
          <w:i/>
          <w:color w:val="DD8047" w:themeColor="accent2"/>
          <w:lang w:eastAsia="en-US"/>
        </w:rPr>
        <w:t>Overseas</w:t>
      </w:r>
      <w:proofErr w:type="spellEnd"/>
      <w:r w:rsidRPr="00B43D5B">
        <w:rPr>
          <w:i/>
          <w:color w:val="DD8047" w:themeColor="accent2"/>
          <w:lang w:eastAsia="en-US"/>
        </w:rPr>
        <w:t xml:space="preserve"> </w:t>
      </w:r>
      <w:proofErr w:type="spellStart"/>
      <w:r w:rsidRPr="00B43D5B">
        <w:rPr>
          <w:i/>
          <w:color w:val="DD8047" w:themeColor="accent2"/>
          <w:lang w:eastAsia="en-US"/>
        </w:rPr>
        <w:t>Private</w:t>
      </w:r>
      <w:proofErr w:type="spellEnd"/>
      <w:r w:rsidRPr="00B43D5B">
        <w:rPr>
          <w:i/>
          <w:color w:val="DD8047" w:themeColor="accent2"/>
          <w:lang w:eastAsia="en-US"/>
        </w:rPr>
        <w:t xml:space="preserve"> Investment </w:t>
      </w:r>
      <w:proofErr w:type="spellStart"/>
      <w:r w:rsidRPr="00B43D5B">
        <w:rPr>
          <w:i/>
          <w:color w:val="DD8047" w:themeColor="accent2"/>
          <w:lang w:eastAsia="en-US"/>
        </w:rPr>
        <w:t>Cooperation</w:t>
      </w:r>
      <w:proofErr w:type="spellEnd"/>
      <w:r w:rsidRPr="00B43D5B">
        <w:rPr>
          <w:i/>
          <w:color w:val="DD8047" w:themeColor="accent2"/>
          <w:lang w:eastAsia="en-US"/>
        </w:rPr>
        <w:t xml:space="preserve"> - OPIC)</w:t>
      </w:r>
      <w:r w:rsidR="00D0493D">
        <w:rPr>
          <w:rStyle w:val="FootnoteReference"/>
          <w:i/>
          <w:color w:val="DD8047" w:themeColor="accent2"/>
          <w:lang w:eastAsia="en-US"/>
        </w:rPr>
        <w:footnoteReference w:id="47"/>
      </w:r>
    </w:p>
    <w:p w14:paraId="07AAA2B5" w14:textId="7807BEBF" w:rsidR="00B43D5B" w:rsidRDefault="00C25D3F" w:rsidP="00720F8C">
      <w:pPr>
        <w:rPr>
          <w:lang w:eastAsia="en-US"/>
        </w:rPr>
      </w:pPr>
      <w:r>
        <w:rPr>
          <w:lang w:eastAsia="en-US"/>
        </w:rPr>
        <w:t xml:space="preserve">L’OPIC </w:t>
      </w:r>
      <w:r>
        <w:t>a été fondée en 1971 par le Gouvernement des Etats-Unis en tant qu’agence de développement. Son soutien en matière de financement et d’assurance aide les entreprises américaines à investir à l’étranger et favorise le développement économique dans plus de 150</w:t>
      </w:r>
      <w:r w:rsidR="00D0493D">
        <w:t xml:space="preserve"> pays en développement et marché</w:t>
      </w:r>
      <w:r>
        <w:t xml:space="preserve">s émergents dans le monde entier notamment en République du Congo (existence d’un agrément bilatéral entre les deux parties). En 35 ans, l’OPIC a soutenu 177 milliards </w:t>
      </w:r>
      <w:r w:rsidR="00B0444B">
        <w:t>d’USD</w:t>
      </w:r>
      <w:r>
        <w:t xml:space="preserve"> d’investissements notamment dans les domaines des ressources renouvelables, de l’appui aux PME et d</w:t>
      </w:r>
      <w:r w:rsidR="00D0493D">
        <w:t>e</w:t>
      </w:r>
      <w:r>
        <w:t xml:space="preserve"> l’énergie en Afrique. </w:t>
      </w:r>
    </w:p>
    <w:p w14:paraId="4EC4ABCD" w14:textId="22E23088" w:rsidR="00B43D5B" w:rsidRDefault="00B43D5B" w:rsidP="00720F8C">
      <w:pPr>
        <w:rPr>
          <w:i/>
          <w:color w:val="DD8047" w:themeColor="accent2"/>
          <w:lang w:eastAsia="en-US"/>
        </w:rPr>
      </w:pPr>
      <w:r>
        <w:rPr>
          <w:i/>
          <w:color w:val="DD8047" w:themeColor="accent2"/>
          <w:lang w:eastAsia="en-US"/>
        </w:rPr>
        <w:t xml:space="preserve">Les fonds et initiatives </w:t>
      </w:r>
    </w:p>
    <w:p w14:paraId="3826827F" w14:textId="6062E595" w:rsidR="00732970" w:rsidRPr="00F94303" w:rsidRDefault="00732970" w:rsidP="008B0EB3">
      <w:pPr>
        <w:pStyle w:val="ListParagraph"/>
        <w:numPr>
          <w:ilvl w:val="0"/>
          <w:numId w:val="22"/>
        </w:numPr>
        <w:rPr>
          <w:color w:val="548AB7" w:themeColor="accent1" w:themeShade="BF"/>
        </w:rPr>
      </w:pPr>
      <w:r w:rsidRPr="00F94303">
        <w:rPr>
          <w:color w:val="548AB7" w:themeColor="accent1" w:themeShade="BF"/>
        </w:rPr>
        <w:t xml:space="preserve">Global </w:t>
      </w:r>
      <w:proofErr w:type="spellStart"/>
      <w:r w:rsidRPr="00F94303">
        <w:rPr>
          <w:color w:val="548AB7" w:themeColor="accent1" w:themeShade="BF"/>
        </w:rPr>
        <w:t>Climate</w:t>
      </w:r>
      <w:proofErr w:type="spellEnd"/>
      <w:r w:rsidRPr="00F94303">
        <w:rPr>
          <w:color w:val="548AB7" w:themeColor="accent1" w:themeShade="BF"/>
        </w:rPr>
        <w:t xml:space="preserve"> Change Initiative (GCCI)</w:t>
      </w:r>
      <w:r w:rsidR="00BB1C99">
        <w:rPr>
          <w:rStyle w:val="FootnoteReference"/>
          <w:color w:val="548AB7" w:themeColor="accent1" w:themeShade="BF"/>
        </w:rPr>
        <w:footnoteReference w:id="48"/>
      </w:r>
    </w:p>
    <w:p w14:paraId="38D42B09" w14:textId="49B3D2C5" w:rsidR="00BB1C99" w:rsidRPr="00F94303" w:rsidRDefault="00DC454B" w:rsidP="00D0493D">
      <w:pPr>
        <w:spacing w:after="0"/>
      </w:pPr>
      <w:r w:rsidRPr="00F94303">
        <w:t>L’initiative GCCI est construite autour de 3 piliers</w:t>
      </w:r>
      <w:r w:rsidR="00BB1C99" w:rsidRPr="00F94303">
        <w:t xml:space="preserve"> chacun subdivisés en</w:t>
      </w:r>
      <w:r w:rsidRPr="00F94303">
        <w:t xml:space="preserve"> </w:t>
      </w:r>
      <w:r w:rsidR="00BB1C99" w:rsidRPr="00F94303">
        <w:t>programmes nationaux et régionaux et ave</w:t>
      </w:r>
      <w:r w:rsidR="00D0493D">
        <w:t>c un programme d’action globale :</w:t>
      </w:r>
    </w:p>
    <w:p w14:paraId="4F9B5D35" w14:textId="00E67ABF" w:rsidR="00BB1C99" w:rsidRPr="00F94303" w:rsidRDefault="00BB1C99" w:rsidP="008B0EB3">
      <w:pPr>
        <w:pStyle w:val="ListParagraph"/>
        <w:numPr>
          <w:ilvl w:val="0"/>
          <w:numId w:val="39"/>
        </w:numPr>
      </w:pPr>
      <w:r w:rsidRPr="00F94303">
        <w:t>Adaptation avec 6 programmes ;</w:t>
      </w:r>
    </w:p>
    <w:p w14:paraId="717A1F1A" w14:textId="0362500C" w:rsidR="00BB1C99" w:rsidRPr="00F94303" w:rsidRDefault="00BB1C99" w:rsidP="008B0EB3">
      <w:pPr>
        <w:pStyle w:val="ListParagraph"/>
        <w:numPr>
          <w:ilvl w:val="0"/>
          <w:numId w:val="39"/>
        </w:numPr>
      </w:pPr>
      <w:r w:rsidRPr="00F94303">
        <w:t>Energies</w:t>
      </w:r>
      <w:r w:rsidR="00DC454B" w:rsidRPr="00F94303">
        <w:t xml:space="preserve"> </w:t>
      </w:r>
      <w:r w:rsidRPr="00F94303">
        <w:t>propres</w:t>
      </w:r>
      <w:r w:rsidR="00DC454B" w:rsidRPr="00F94303">
        <w:t xml:space="preserve"> </w:t>
      </w:r>
      <w:r w:rsidRPr="00F94303">
        <w:t>avec 5 programmes ;</w:t>
      </w:r>
    </w:p>
    <w:p w14:paraId="1D5754B1" w14:textId="6F57AA70" w:rsidR="00FB0431" w:rsidRPr="00F94303" w:rsidRDefault="00BB1C99" w:rsidP="008B0EB3">
      <w:pPr>
        <w:pStyle w:val="ListParagraph"/>
        <w:numPr>
          <w:ilvl w:val="0"/>
          <w:numId w:val="39"/>
        </w:numPr>
      </w:pPr>
      <w:r w:rsidRPr="00F94303">
        <w:t>P</w:t>
      </w:r>
      <w:r w:rsidR="00DC454B" w:rsidRPr="00F94303">
        <w:t>aysage</w:t>
      </w:r>
      <w:r w:rsidRPr="00F94303">
        <w:t>s</w:t>
      </w:r>
      <w:r w:rsidR="00DC454B" w:rsidRPr="00F94303">
        <w:t xml:space="preserve"> durable</w:t>
      </w:r>
      <w:r w:rsidRPr="00F94303">
        <w:t>s</w:t>
      </w:r>
      <w:r w:rsidR="00DC454B" w:rsidRPr="00F94303">
        <w:t xml:space="preserve"> </w:t>
      </w:r>
      <w:r w:rsidRPr="00F94303">
        <w:t>avec 4 programmes.</w:t>
      </w:r>
    </w:p>
    <w:p w14:paraId="01B2E355" w14:textId="2BCC4970" w:rsidR="00BB1C99" w:rsidRDefault="00BB1C99" w:rsidP="00BB1C99">
      <w:r w:rsidRPr="00F94303">
        <w:t xml:space="preserve">Depuis 2010, le GCCI finance les projets pour un montant total </w:t>
      </w:r>
      <w:r w:rsidR="00F94303" w:rsidRPr="00F94303">
        <w:t>d’environ 350</w:t>
      </w:r>
      <w:r w:rsidRPr="00F94303">
        <w:t xml:space="preserve"> millions </w:t>
      </w:r>
      <w:r w:rsidR="00B0444B">
        <w:t>d’USD</w:t>
      </w:r>
      <w:r w:rsidR="00F94303" w:rsidRPr="00F94303">
        <w:t xml:space="preserve"> par an</w:t>
      </w:r>
      <w:r w:rsidRPr="00F94303">
        <w:t xml:space="preserve">. En 2015, la répartition était de pour 139 millions </w:t>
      </w:r>
      <w:r w:rsidR="00B0444B">
        <w:t>d’USD</w:t>
      </w:r>
      <w:r w:rsidRPr="00F94303">
        <w:t xml:space="preserve"> pour l’adaptation, 109 pour les énergies propres et 100 pour les paysages durables. </w:t>
      </w:r>
    </w:p>
    <w:p w14:paraId="33F3EDBE" w14:textId="6D7F3B9B" w:rsidR="00F94303" w:rsidRDefault="00F94303" w:rsidP="00BB1C99">
      <w:r>
        <w:t xml:space="preserve">La République du Congo est bénéficiaire de ces financements au travers du </w:t>
      </w:r>
      <w:r w:rsidR="00D0493D">
        <w:t>CARPE</w:t>
      </w:r>
      <w:r>
        <w:t xml:space="preserve"> relevant du pilier « paysages durables ». </w:t>
      </w:r>
    </w:p>
    <w:p w14:paraId="4CFD7ABC" w14:textId="0779F792" w:rsidR="00F94303" w:rsidRDefault="00F94303" w:rsidP="00D0493D">
      <w:pPr>
        <w:spacing w:after="0"/>
        <w:rPr>
          <w:lang w:eastAsia="en-US"/>
        </w:rPr>
      </w:pPr>
      <w:r>
        <w:rPr>
          <w:lang w:eastAsia="en-US"/>
        </w:rPr>
        <w:lastRenderedPageBreak/>
        <w:t>Démarré en 1997, le CARPE</w:t>
      </w:r>
      <w:r w:rsidRPr="00F94303">
        <w:rPr>
          <w:rStyle w:val="FootnoteReference"/>
          <w:lang w:eastAsia="en-US"/>
        </w:rPr>
        <w:footnoteReference w:id="49"/>
      </w:r>
      <w:r>
        <w:rPr>
          <w:lang w:eastAsia="en-US"/>
        </w:rPr>
        <w:t xml:space="preserve"> est une initiative régionale initialemen</w:t>
      </w:r>
      <w:r w:rsidR="006E7E41">
        <w:rPr>
          <w:lang w:eastAsia="en-US"/>
        </w:rPr>
        <w:t>t prévue sur 20 ans divisée en trois</w:t>
      </w:r>
      <w:r>
        <w:rPr>
          <w:lang w:eastAsia="en-US"/>
        </w:rPr>
        <w:t xml:space="preserve"> phases stratégiques :</w:t>
      </w:r>
    </w:p>
    <w:p w14:paraId="335A615A" w14:textId="7C696CD1" w:rsidR="00F94303" w:rsidRDefault="00F94303" w:rsidP="008B0EB3">
      <w:pPr>
        <w:pStyle w:val="ListParagraph"/>
        <w:numPr>
          <w:ilvl w:val="0"/>
          <w:numId w:val="39"/>
        </w:numPr>
        <w:rPr>
          <w:lang w:eastAsia="en-US"/>
        </w:rPr>
      </w:pPr>
      <w:r>
        <w:rPr>
          <w:lang w:eastAsia="en-US"/>
        </w:rPr>
        <w:t>La phase I (1997-2003) a permis de collecter l’information sur</w:t>
      </w:r>
      <w:r w:rsidR="004E4027">
        <w:rPr>
          <w:lang w:eastAsia="en-US"/>
        </w:rPr>
        <w:t xml:space="preserve"> les écosystèmes forestiers du B</w:t>
      </w:r>
      <w:r>
        <w:rPr>
          <w:lang w:eastAsia="en-US"/>
        </w:rPr>
        <w:t xml:space="preserve">assin du </w:t>
      </w:r>
      <w:r w:rsidR="004E4027">
        <w:rPr>
          <w:lang w:eastAsia="en-US"/>
        </w:rPr>
        <w:t>Congo</w:t>
      </w:r>
      <w:r>
        <w:rPr>
          <w:lang w:eastAsia="en-US"/>
        </w:rPr>
        <w:t xml:space="preserve"> et de construire les capacités en ressources humaines régionales et institutionnelles ;</w:t>
      </w:r>
    </w:p>
    <w:p w14:paraId="2D55987B" w14:textId="4E7CFC63" w:rsidR="00F94303" w:rsidRDefault="00F94303" w:rsidP="008B0EB3">
      <w:pPr>
        <w:pStyle w:val="ListParagraph"/>
        <w:numPr>
          <w:ilvl w:val="0"/>
          <w:numId w:val="39"/>
        </w:numPr>
        <w:rPr>
          <w:lang w:eastAsia="en-US"/>
        </w:rPr>
      </w:pPr>
      <w:r>
        <w:rPr>
          <w:lang w:eastAsia="en-US"/>
        </w:rPr>
        <w:t xml:space="preserve">La phase II (2003-2012) </w:t>
      </w:r>
      <w:r>
        <w:t>s’est concentrée sur l'appui de la gestion durable des ressources naturelles sur le terrain, l'amélioration de la gouvernance environnementale et le renforcement de la capacité de surveillance des ressources naturelles en Afrique centrale</w:t>
      </w:r>
      <w:r>
        <w:rPr>
          <w:lang w:eastAsia="en-US"/>
        </w:rPr>
        <w:t>. Dans ce cadre et</w:t>
      </w:r>
      <w:r w:rsidRPr="006346E0">
        <w:rPr>
          <w:lang w:eastAsia="en-US"/>
        </w:rPr>
        <w:t xml:space="preserve"> </w:t>
      </w:r>
      <w:r>
        <w:rPr>
          <w:lang w:eastAsia="en-US"/>
        </w:rPr>
        <w:t xml:space="preserve">pour appuyer les objectifs du </w:t>
      </w:r>
      <w:r w:rsidR="006E7E41">
        <w:rPr>
          <w:lang w:eastAsia="en-US"/>
        </w:rPr>
        <w:t>PFBC</w:t>
      </w:r>
      <w:r>
        <w:rPr>
          <w:lang w:eastAsia="en-US"/>
        </w:rPr>
        <w:t xml:space="preserve">, le gouvernement américain a engagé 15 millions </w:t>
      </w:r>
      <w:r w:rsidR="00B0444B">
        <w:rPr>
          <w:lang w:eastAsia="en-US"/>
        </w:rPr>
        <w:t>d’USD</w:t>
      </w:r>
      <w:r>
        <w:rPr>
          <w:lang w:eastAsia="en-US"/>
        </w:rPr>
        <w:t>/an entre 2003 et 2012 auxquels s’ajoute un financement équivalent de la part de ses partenaires.</w:t>
      </w:r>
    </w:p>
    <w:p w14:paraId="47C777E8" w14:textId="5BA76E97" w:rsidR="00F94303" w:rsidRDefault="00F94303" w:rsidP="008B0EB3">
      <w:pPr>
        <w:pStyle w:val="ListParagraph"/>
        <w:numPr>
          <w:ilvl w:val="0"/>
          <w:numId w:val="39"/>
        </w:numPr>
        <w:rPr>
          <w:lang w:eastAsia="en-US"/>
        </w:rPr>
      </w:pPr>
      <w:r>
        <w:rPr>
          <w:lang w:eastAsia="en-US"/>
        </w:rPr>
        <w:t xml:space="preserve">La phase III (2012-2020) se focalise sur la gestion durable de la forêt et de la biodiversité </w:t>
      </w:r>
      <w:r w:rsidR="006E7E41">
        <w:rPr>
          <w:lang w:eastAsia="en-US"/>
        </w:rPr>
        <w:t>sur certains paysages prédéfini</w:t>
      </w:r>
      <w:r>
        <w:rPr>
          <w:lang w:eastAsia="en-US"/>
        </w:rPr>
        <w:t xml:space="preserve">s, l’appui institutionnel </w:t>
      </w:r>
      <w:r w:rsidR="006E7E41">
        <w:rPr>
          <w:lang w:eastAsia="en-US"/>
        </w:rPr>
        <w:t xml:space="preserve">dans </w:t>
      </w:r>
      <w:r>
        <w:rPr>
          <w:lang w:eastAsia="en-US"/>
        </w:rPr>
        <w:t>le cadre de</w:t>
      </w:r>
      <w:r w:rsidR="006E7E41">
        <w:rPr>
          <w:lang w:eastAsia="en-US"/>
        </w:rPr>
        <w:t xml:space="preserve"> la</w:t>
      </w:r>
      <w:r>
        <w:rPr>
          <w:lang w:eastAsia="en-US"/>
        </w:rPr>
        <w:t xml:space="preserve"> gestion des écosystèmes forestiers et de la biodiversité et le renforcement des capacités pour le suivi de la couverture forestières, des émissions de GES et de la biodiversité. Le projet prévoit notamment le renforcement des capacités de l’A</w:t>
      </w:r>
      <w:bookmarkStart w:id="35" w:name="OLE_LINK17"/>
      <w:bookmarkStart w:id="36" w:name="OLE_LINK18"/>
      <w:r w:rsidR="006E7E41">
        <w:rPr>
          <w:lang w:eastAsia="en-US"/>
        </w:rPr>
        <w:t xml:space="preserve">gence </w:t>
      </w:r>
      <w:r>
        <w:rPr>
          <w:lang w:eastAsia="en-US"/>
        </w:rPr>
        <w:t>C</w:t>
      </w:r>
      <w:r w:rsidR="006E7E41">
        <w:rPr>
          <w:lang w:eastAsia="en-US"/>
        </w:rPr>
        <w:t>ongolaise de la Faune et des Aires Protégées</w:t>
      </w:r>
      <w:bookmarkEnd w:id="35"/>
      <w:bookmarkEnd w:id="36"/>
      <w:r w:rsidR="006E7E41">
        <w:rPr>
          <w:lang w:eastAsia="en-US"/>
        </w:rPr>
        <w:t xml:space="preserve"> (AC</w:t>
      </w:r>
      <w:r>
        <w:rPr>
          <w:lang w:eastAsia="en-US"/>
        </w:rPr>
        <w:t>FAP</w:t>
      </w:r>
      <w:r w:rsidR="006E7E41">
        <w:rPr>
          <w:lang w:eastAsia="en-US"/>
        </w:rPr>
        <w:t>)</w:t>
      </w:r>
      <w:r>
        <w:rPr>
          <w:lang w:eastAsia="en-US"/>
        </w:rPr>
        <w:t>, le CNIAF et la CN REDD</w:t>
      </w:r>
      <w:r w:rsidR="00D0493D">
        <w:rPr>
          <w:lang w:eastAsia="en-US"/>
        </w:rPr>
        <w:t>.</w:t>
      </w:r>
    </w:p>
    <w:p w14:paraId="4A4FD539" w14:textId="6AE358F0" w:rsidR="00F94303" w:rsidRDefault="006E7E41" w:rsidP="00F94303">
      <w:pPr>
        <w:pStyle w:val="ListParagraph"/>
        <w:rPr>
          <w:lang w:eastAsia="en-US"/>
        </w:rPr>
      </w:pPr>
      <w:r>
        <w:rPr>
          <w:lang w:eastAsia="en-US"/>
        </w:rPr>
        <w:t xml:space="preserve">La phase III </w:t>
      </w:r>
      <w:r w:rsidR="00F94303">
        <w:rPr>
          <w:lang w:eastAsia="en-US"/>
        </w:rPr>
        <w:t xml:space="preserve">a démarré en se focalisant principalement sur la zone Congo-Brazzaville et RDC. Les paysages concernés par le programme en République du Congo sont la Sangha </w:t>
      </w:r>
      <w:proofErr w:type="spellStart"/>
      <w:r w:rsidR="00F94303">
        <w:rPr>
          <w:lang w:eastAsia="en-US"/>
        </w:rPr>
        <w:t>Trinationale</w:t>
      </w:r>
      <w:proofErr w:type="spellEnd"/>
      <w:r w:rsidR="00F94303">
        <w:rPr>
          <w:lang w:eastAsia="en-US"/>
        </w:rPr>
        <w:t xml:space="preserve">, le paysage </w:t>
      </w:r>
      <w:proofErr w:type="spellStart"/>
      <w:r w:rsidR="00F94303">
        <w:rPr>
          <w:lang w:eastAsia="en-US"/>
        </w:rPr>
        <w:t>Léconi</w:t>
      </w:r>
      <w:proofErr w:type="spellEnd"/>
      <w:r w:rsidR="00F94303">
        <w:rPr>
          <w:lang w:eastAsia="en-US"/>
        </w:rPr>
        <w:t>-Batéké-</w:t>
      </w:r>
      <w:proofErr w:type="spellStart"/>
      <w:r w:rsidR="00F94303">
        <w:rPr>
          <w:lang w:eastAsia="en-US"/>
        </w:rPr>
        <w:t>Léfini</w:t>
      </w:r>
      <w:proofErr w:type="spellEnd"/>
      <w:r w:rsidR="00F94303">
        <w:rPr>
          <w:lang w:eastAsia="en-US"/>
        </w:rPr>
        <w:t xml:space="preserve"> et la Lac Télé/Lac Tumba. </w:t>
      </w:r>
    </w:p>
    <w:p w14:paraId="73B3D2A8" w14:textId="77777777" w:rsidR="00F94303" w:rsidRDefault="00F94303" w:rsidP="00F94303">
      <w:pPr>
        <w:pStyle w:val="ListParagraph"/>
        <w:rPr>
          <w:lang w:eastAsia="en-US"/>
        </w:rPr>
      </w:pPr>
      <w:r>
        <w:rPr>
          <w:lang w:eastAsia="en-US"/>
        </w:rPr>
        <w:t>La Norvège avec l’USAID contribueront au financement de la phase III.</w:t>
      </w:r>
    </w:p>
    <w:p w14:paraId="54A566E6" w14:textId="77777777" w:rsidR="00F94303" w:rsidRDefault="00F94303" w:rsidP="00F94303">
      <w:r>
        <w:t xml:space="preserve">A terme, il est prévu que deux nouvelles initiatives succèdent au CARPE : le projet de conservation des écosystèmes forestiers de l’Afrique Centrale (CAFEC) qui se focaliseront sur la gestion des activités dans les paysages forestiers identifiées dans le cadre du CARPE et le projet de suivi environnemental et d’appui institutionnel (EMAPS) pour les renforcement des capacités des institutions publics et privées dans la sous-région en terme de gestion des forêts, de la biodiversité et des changements climatiques. </w:t>
      </w:r>
    </w:p>
    <w:p w14:paraId="0C7704BD" w14:textId="406707F2" w:rsidR="00F94303" w:rsidRDefault="00F94303" w:rsidP="00BB1C99">
      <w:r>
        <w:t>On note que dans le cadre du pilier « énergie propre », le GCCI finance un programme « Energie pour l’Afrique » qui vise à financer les projets de pr</w:t>
      </w:r>
      <w:r w:rsidR="006E7E41">
        <w:t>oduction d’énergie renouvelable</w:t>
      </w:r>
      <w:r>
        <w:t xml:space="preserve"> tels que l’hydroélectricité, les éoliennes, le solaire ou encore le géothermal dans le pays d’Afrique Sub-saharienne.</w:t>
      </w:r>
    </w:p>
    <w:p w14:paraId="65ABC30E" w14:textId="729B6CD7" w:rsidR="00813617" w:rsidRDefault="00813617" w:rsidP="008B0EB3">
      <w:pPr>
        <w:pStyle w:val="Heading4"/>
        <w:numPr>
          <w:ilvl w:val="2"/>
          <w:numId w:val="13"/>
        </w:numPr>
      </w:pPr>
      <w:r>
        <w:t xml:space="preserve">Le </w:t>
      </w:r>
      <w:proofErr w:type="spellStart"/>
      <w:r>
        <w:t>Royaume-Uni</w:t>
      </w:r>
      <w:proofErr w:type="spellEnd"/>
    </w:p>
    <w:p w14:paraId="65243D0B" w14:textId="3507648F" w:rsidR="00FF33DB" w:rsidRPr="00FF33DB" w:rsidRDefault="00FF33DB" w:rsidP="00FF33DB">
      <w:pPr>
        <w:rPr>
          <w:i/>
          <w:color w:val="DD8047" w:themeColor="accent2"/>
          <w:lang w:eastAsia="en-US"/>
        </w:rPr>
      </w:pPr>
      <w:r w:rsidRPr="00FF33DB">
        <w:rPr>
          <w:i/>
          <w:color w:val="DD8047" w:themeColor="accent2"/>
        </w:rPr>
        <w:t>Département du Développement International (DFID)</w:t>
      </w:r>
      <w:r w:rsidR="006E7E41">
        <w:rPr>
          <w:rStyle w:val="FootnoteReference"/>
          <w:i/>
          <w:color w:val="DD8047" w:themeColor="accent2"/>
        </w:rPr>
        <w:footnoteReference w:id="50"/>
      </w:r>
    </w:p>
    <w:p w14:paraId="437D4D6F" w14:textId="7A5DA1BB" w:rsidR="00CE03CD" w:rsidRDefault="00CE03CD" w:rsidP="00CE03CD">
      <w:r>
        <w:t xml:space="preserve">Au Royaume Uni, le </w:t>
      </w:r>
      <w:r w:rsidRPr="00FF33DB">
        <w:rPr>
          <w:rFonts w:eastAsiaTheme="majorEastAsia"/>
        </w:rPr>
        <w:t>département exécutif</w:t>
      </w:r>
      <w:r>
        <w:t xml:space="preserve"> du </w:t>
      </w:r>
      <w:r>
        <w:rPr>
          <w:rFonts w:eastAsiaTheme="majorEastAsia"/>
        </w:rPr>
        <w:t>gouvernement</w:t>
      </w:r>
      <w:r>
        <w:t xml:space="preserve"> responsable de</w:t>
      </w:r>
      <w:r w:rsidR="00B00CDE">
        <w:t xml:space="preserve"> la majorité de</w:t>
      </w:r>
      <w:r>
        <w:t xml:space="preserve"> l'</w:t>
      </w:r>
      <w:r w:rsidRPr="00FF33DB">
        <w:rPr>
          <w:rFonts w:eastAsiaTheme="majorEastAsia"/>
        </w:rPr>
        <w:t>aide humanitaire</w:t>
      </w:r>
      <w:r>
        <w:t xml:space="preserve"> et de </w:t>
      </w:r>
      <w:r w:rsidR="006E7E41">
        <w:t>l’APD</w:t>
      </w:r>
      <w:r w:rsidR="00B00CDE">
        <w:t xml:space="preserve"> </w:t>
      </w:r>
      <w:r>
        <w:t xml:space="preserve">au niveau international est </w:t>
      </w:r>
      <w:r w:rsidR="00FF33DB">
        <w:t>le DFID</w:t>
      </w:r>
      <w:r>
        <w:t xml:space="preserve">. </w:t>
      </w:r>
      <w:r w:rsidR="00FF33DB">
        <w:t>L’APD bilatérale, d</w:t>
      </w:r>
      <w:r w:rsidR="00422F2D">
        <w:t xml:space="preserve">’un montant total d’environ </w:t>
      </w:r>
      <w:r w:rsidR="00FF33DB">
        <w:t>6,8</w:t>
      </w:r>
      <w:r w:rsidR="00422F2D">
        <w:t xml:space="preserve"> milliards de livres sterling en 2014 (soit </w:t>
      </w:r>
      <w:r w:rsidR="00FF33DB">
        <w:t xml:space="preserve">9,9 </w:t>
      </w:r>
      <w:r w:rsidR="00422F2D">
        <w:t xml:space="preserve">milliards </w:t>
      </w:r>
      <w:r w:rsidR="00B0444B">
        <w:t>d’USD</w:t>
      </w:r>
      <w:r w:rsidR="00422F2D">
        <w:t>),</w:t>
      </w:r>
      <w:r>
        <w:t xml:space="preserve"> </w:t>
      </w:r>
      <w:r w:rsidR="00FF33DB">
        <w:t>est allouée</w:t>
      </w:r>
      <w:r>
        <w:t xml:space="preserve"> </w:t>
      </w:r>
      <w:r w:rsidR="00B00CDE">
        <w:t>au travers de</w:t>
      </w:r>
      <w:r>
        <w:t xml:space="preserve"> ses programmes bilatéraux dans 28 pays prioritaires </w:t>
      </w:r>
      <w:r w:rsidR="00FF33DB">
        <w:t>et</w:t>
      </w:r>
      <w:r>
        <w:t xml:space="preserve"> de program</w:t>
      </w:r>
      <w:r w:rsidR="00FF33DB">
        <w:t xml:space="preserve">mes de développement régionaux (DFID, 2015). </w:t>
      </w:r>
    </w:p>
    <w:p w14:paraId="08F09C47" w14:textId="51516733" w:rsidR="00FF33DB" w:rsidRDefault="00FF33DB" w:rsidP="00CE03CD">
      <w:r>
        <w:t xml:space="preserve">La République du Congo ne fait pas partie des pays prioritaires du DFID. Selon le rapport annuel du DFID 2014-2015, son appui passe </w:t>
      </w:r>
      <w:r w:rsidR="00901184">
        <w:t>généralement</w:t>
      </w:r>
      <w:r>
        <w:t xml:space="preserve"> par les agences multilatérales et</w:t>
      </w:r>
      <w:r w:rsidR="00901184">
        <w:t>,</w:t>
      </w:r>
      <w:r>
        <w:t xml:space="preserve"> de manière plus sporadique</w:t>
      </w:r>
      <w:r w:rsidR="00901184">
        <w:t>,</w:t>
      </w:r>
      <w:r>
        <w:t xml:space="preserve"> par des circuits bilatéraux (cf. </w:t>
      </w:r>
      <w:r w:rsidR="007503DC">
        <w:t xml:space="preserve">Tableau </w:t>
      </w:r>
      <w:r w:rsidR="007503DC">
        <w:rPr>
          <w:noProof/>
        </w:rPr>
        <w:t>4</w:t>
      </w:r>
      <w:r>
        <w:t>)</w:t>
      </w:r>
    </w:p>
    <w:tbl>
      <w:tblPr>
        <w:tblStyle w:val="TableauGrille4-Accentuation13"/>
        <w:tblW w:w="0" w:type="auto"/>
        <w:jc w:val="center"/>
        <w:tblLayout w:type="fixed"/>
        <w:tblLook w:val="04A0" w:firstRow="1" w:lastRow="0" w:firstColumn="1" w:lastColumn="0" w:noHBand="0" w:noVBand="1"/>
      </w:tblPr>
      <w:tblGrid>
        <w:gridCol w:w="2235"/>
        <w:gridCol w:w="992"/>
        <w:gridCol w:w="992"/>
        <w:gridCol w:w="992"/>
        <w:gridCol w:w="992"/>
        <w:gridCol w:w="993"/>
      </w:tblGrid>
      <w:tr w:rsidR="00FF33DB" w14:paraId="10001704" w14:textId="63D12198" w:rsidTr="009011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50E858E2" w14:textId="77777777" w:rsidR="00FF33DB" w:rsidRPr="00FF33DB" w:rsidRDefault="00FF33DB" w:rsidP="00FF33DB">
            <w:pPr>
              <w:spacing w:after="0"/>
              <w:rPr>
                <w:sz w:val="20"/>
              </w:rPr>
            </w:pPr>
          </w:p>
        </w:tc>
        <w:tc>
          <w:tcPr>
            <w:tcW w:w="992" w:type="dxa"/>
          </w:tcPr>
          <w:p w14:paraId="7CA6BBDA" w14:textId="40DDDF95" w:rsidR="00FF33DB" w:rsidRPr="00FF33DB" w:rsidRDefault="00FF33DB" w:rsidP="00FF33DB">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FF33DB">
              <w:rPr>
                <w:sz w:val="20"/>
              </w:rPr>
              <w:t>2009</w:t>
            </w:r>
          </w:p>
        </w:tc>
        <w:tc>
          <w:tcPr>
            <w:tcW w:w="992" w:type="dxa"/>
          </w:tcPr>
          <w:p w14:paraId="23818DA9" w14:textId="1AD73E9C" w:rsidR="00FF33DB" w:rsidRPr="00FF33DB" w:rsidRDefault="00FF33DB" w:rsidP="00FF33DB">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FF33DB">
              <w:rPr>
                <w:sz w:val="20"/>
              </w:rPr>
              <w:t>2010</w:t>
            </w:r>
          </w:p>
        </w:tc>
        <w:tc>
          <w:tcPr>
            <w:tcW w:w="992" w:type="dxa"/>
          </w:tcPr>
          <w:p w14:paraId="3C2462CA" w14:textId="4E89943A" w:rsidR="00FF33DB" w:rsidRPr="00FF33DB" w:rsidRDefault="00FF33DB" w:rsidP="00FF33DB">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FF33DB">
              <w:rPr>
                <w:sz w:val="20"/>
              </w:rPr>
              <w:t>2011</w:t>
            </w:r>
          </w:p>
        </w:tc>
        <w:tc>
          <w:tcPr>
            <w:tcW w:w="992" w:type="dxa"/>
          </w:tcPr>
          <w:p w14:paraId="5AEEA36B" w14:textId="0F085FB2" w:rsidR="00FF33DB" w:rsidRPr="00FF33DB" w:rsidRDefault="00FF33DB" w:rsidP="00FF33DB">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FF33DB">
              <w:rPr>
                <w:sz w:val="20"/>
              </w:rPr>
              <w:t>2012</w:t>
            </w:r>
          </w:p>
        </w:tc>
        <w:tc>
          <w:tcPr>
            <w:tcW w:w="993" w:type="dxa"/>
          </w:tcPr>
          <w:p w14:paraId="6902A1CD" w14:textId="4F4BF559" w:rsidR="00FF33DB" w:rsidRPr="00FF33DB" w:rsidRDefault="00FF33DB" w:rsidP="00FF33DB">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FF33DB">
              <w:rPr>
                <w:sz w:val="20"/>
              </w:rPr>
              <w:t>2013</w:t>
            </w:r>
          </w:p>
        </w:tc>
      </w:tr>
      <w:tr w:rsidR="00FF33DB" w14:paraId="68A8B5BC" w14:textId="250630A8" w:rsidTr="009011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6E7FB171" w14:textId="6C36AA4E" w:rsidR="00FF33DB" w:rsidRPr="00FF33DB" w:rsidRDefault="00FF33DB" w:rsidP="00FF33DB">
            <w:pPr>
              <w:spacing w:after="0"/>
              <w:rPr>
                <w:sz w:val="20"/>
              </w:rPr>
            </w:pPr>
            <w:r w:rsidRPr="00FF33DB">
              <w:rPr>
                <w:sz w:val="20"/>
              </w:rPr>
              <w:t>APD bilatérale nette</w:t>
            </w:r>
          </w:p>
        </w:tc>
        <w:tc>
          <w:tcPr>
            <w:tcW w:w="992" w:type="dxa"/>
          </w:tcPr>
          <w:p w14:paraId="33C736B6" w14:textId="4550ADC2" w:rsidR="00FF33DB" w:rsidRPr="00FF33DB" w:rsidRDefault="00FF33DB" w:rsidP="00FF33D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F33DB">
              <w:rPr>
                <w:sz w:val="20"/>
              </w:rPr>
              <w:t>0</w:t>
            </w:r>
          </w:p>
        </w:tc>
        <w:tc>
          <w:tcPr>
            <w:tcW w:w="992" w:type="dxa"/>
          </w:tcPr>
          <w:p w14:paraId="7C8AA4ED" w14:textId="4326D460" w:rsidR="00FF33DB" w:rsidRPr="00FF33DB" w:rsidRDefault="00FF33DB" w:rsidP="00FF33D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F33DB">
              <w:rPr>
                <w:sz w:val="20"/>
              </w:rPr>
              <w:t>50,988</w:t>
            </w:r>
          </w:p>
        </w:tc>
        <w:tc>
          <w:tcPr>
            <w:tcW w:w="992" w:type="dxa"/>
          </w:tcPr>
          <w:p w14:paraId="6DE61CDE" w14:textId="43AE4C1A" w:rsidR="00FF33DB" w:rsidRPr="00FF33DB" w:rsidRDefault="00FF33DB" w:rsidP="00FF33D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F33DB">
              <w:rPr>
                <w:sz w:val="20"/>
              </w:rPr>
              <w:t>0</w:t>
            </w:r>
          </w:p>
        </w:tc>
        <w:tc>
          <w:tcPr>
            <w:tcW w:w="992" w:type="dxa"/>
          </w:tcPr>
          <w:p w14:paraId="2FEE6BC2" w14:textId="10AA6A7F" w:rsidR="00FF33DB" w:rsidRPr="00FF33DB" w:rsidRDefault="00FF33DB" w:rsidP="00FF33D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F33DB">
              <w:rPr>
                <w:sz w:val="20"/>
              </w:rPr>
              <w:t>50</w:t>
            </w:r>
          </w:p>
        </w:tc>
        <w:tc>
          <w:tcPr>
            <w:tcW w:w="993" w:type="dxa"/>
          </w:tcPr>
          <w:p w14:paraId="7985682E" w14:textId="620C1DF4" w:rsidR="00FF33DB" w:rsidRPr="00FF33DB" w:rsidRDefault="00FF33DB" w:rsidP="00FF33D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F33DB">
              <w:rPr>
                <w:sz w:val="20"/>
              </w:rPr>
              <w:t>0</w:t>
            </w:r>
          </w:p>
        </w:tc>
      </w:tr>
      <w:tr w:rsidR="00FF33DB" w14:paraId="3F3D86AC" w14:textId="0DFAB409" w:rsidTr="00901184">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2B50D958" w14:textId="41AA647D" w:rsidR="00FF33DB" w:rsidRPr="00FF33DB" w:rsidRDefault="00FF33DB" w:rsidP="00FF33DB">
            <w:pPr>
              <w:spacing w:after="0"/>
              <w:rPr>
                <w:sz w:val="20"/>
              </w:rPr>
            </w:pPr>
            <w:r w:rsidRPr="00FF33DB">
              <w:rPr>
                <w:sz w:val="20"/>
              </w:rPr>
              <w:t>APD multilatérale nette</w:t>
            </w:r>
          </w:p>
        </w:tc>
        <w:tc>
          <w:tcPr>
            <w:tcW w:w="992" w:type="dxa"/>
          </w:tcPr>
          <w:p w14:paraId="57AEDBF6" w14:textId="30102E53" w:rsidR="00FF33DB" w:rsidRPr="00FF33DB" w:rsidRDefault="00FF33DB" w:rsidP="00FF33D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FF33DB">
              <w:rPr>
                <w:sz w:val="20"/>
              </w:rPr>
              <w:t>3,246</w:t>
            </w:r>
          </w:p>
        </w:tc>
        <w:tc>
          <w:tcPr>
            <w:tcW w:w="992" w:type="dxa"/>
          </w:tcPr>
          <w:p w14:paraId="6A3941C8" w14:textId="77CDFB91" w:rsidR="00FF33DB" w:rsidRPr="00FF33DB" w:rsidRDefault="00FF33DB" w:rsidP="00FF33D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FF33DB">
              <w:rPr>
                <w:sz w:val="20"/>
              </w:rPr>
              <w:t>6,429</w:t>
            </w:r>
          </w:p>
        </w:tc>
        <w:tc>
          <w:tcPr>
            <w:tcW w:w="992" w:type="dxa"/>
          </w:tcPr>
          <w:p w14:paraId="319D988F" w14:textId="3438EC94" w:rsidR="00FF33DB" w:rsidRPr="00FF33DB" w:rsidRDefault="00FF33DB" w:rsidP="00FF33D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FF33DB">
              <w:rPr>
                <w:sz w:val="20"/>
              </w:rPr>
              <w:t>6,128</w:t>
            </w:r>
          </w:p>
        </w:tc>
        <w:tc>
          <w:tcPr>
            <w:tcW w:w="992" w:type="dxa"/>
          </w:tcPr>
          <w:p w14:paraId="05F265F1" w14:textId="06D8A9D5" w:rsidR="00FF33DB" w:rsidRPr="00FF33DB" w:rsidRDefault="00FF33DB" w:rsidP="00FF33D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FF33DB">
              <w:rPr>
                <w:sz w:val="20"/>
              </w:rPr>
              <w:t>5,569</w:t>
            </w:r>
          </w:p>
        </w:tc>
        <w:tc>
          <w:tcPr>
            <w:tcW w:w="993" w:type="dxa"/>
          </w:tcPr>
          <w:p w14:paraId="65D9728B" w14:textId="40F80F78" w:rsidR="00FF33DB" w:rsidRPr="00FF33DB" w:rsidRDefault="00FF33DB" w:rsidP="00FF33D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FF33DB">
              <w:rPr>
                <w:sz w:val="20"/>
              </w:rPr>
              <w:t>7,158</w:t>
            </w:r>
          </w:p>
        </w:tc>
      </w:tr>
    </w:tbl>
    <w:p w14:paraId="4E95115A" w14:textId="3DDE49F3" w:rsidR="00901184" w:rsidRDefault="00901184" w:rsidP="00901184">
      <w:pPr>
        <w:pStyle w:val="Caption"/>
      </w:pPr>
      <w:bookmarkStart w:id="37" w:name="_Ref449780773"/>
      <w:bookmarkStart w:id="38" w:name="_Toc454886803"/>
      <w:r>
        <w:t xml:space="preserve">Tableau </w:t>
      </w:r>
      <w:r>
        <w:fldChar w:fldCharType="begin"/>
      </w:r>
      <w:r>
        <w:instrText xml:space="preserve"> SEQ Tableau \* ARABIC </w:instrText>
      </w:r>
      <w:r>
        <w:fldChar w:fldCharType="separate"/>
      </w:r>
      <w:r w:rsidR="0080491D">
        <w:rPr>
          <w:noProof/>
        </w:rPr>
        <w:t>4</w:t>
      </w:r>
      <w:r>
        <w:fldChar w:fldCharType="end"/>
      </w:r>
      <w:bookmarkEnd w:id="37"/>
      <w:r>
        <w:t xml:space="preserve">: APD nette versée par le Royaume Uni à la République du Congo entre 2009 et 2013 </w:t>
      </w:r>
      <w:r w:rsidRPr="004943AB">
        <w:t>(millions de livres sterling) (source : DFID, 2015)</w:t>
      </w:r>
      <w:bookmarkEnd w:id="38"/>
    </w:p>
    <w:p w14:paraId="1FCCB18F" w14:textId="6BCBE77D" w:rsidR="005B5FAB" w:rsidRDefault="002238E2" w:rsidP="00CE03CD">
      <w:r>
        <w:t xml:space="preserve">Dans le Bassin du Congo et avec l’UE, le DFID finance </w:t>
      </w:r>
      <w:r w:rsidR="006E7E41">
        <w:t xml:space="preserve">des activités </w:t>
      </w:r>
      <w:r>
        <w:t>en lien avec la mise en œuvre du FLEGT. Le tableau ci-</w:t>
      </w:r>
      <w:r w:rsidR="005B5FAB">
        <w:t>après</w:t>
      </w:r>
      <w:r>
        <w:t xml:space="preserve"> reprend les projets appuyés en totalité ou partiellement par le DFID dans ce domaine. </w:t>
      </w:r>
      <w:r w:rsidR="005B5FAB">
        <w:br w:type="page"/>
      </w:r>
    </w:p>
    <w:tbl>
      <w:tblPr>
        <w:tblStyle w:val="TableauGrille4-Accentuation13"/>
        <w:tblW w:w="9100" w:type="dxa"/>
        <w:jc w:val="center"/>
        <w:tblLook w:val="04A0" w:firstRow="1" w:lastRow="0" w:firstColumn="1" w:lastColumn="0" w:noHBand="0" w:noVBand="1"/>
      </w:tblPr>
      <w:tblGrid>
        <w:gridCol w:w="4976"/>
        <w:gridCol w:w="1134"/>
        <w:gridCol w:w="1134"/>
        <w:gridCol w:w="1856"/>
      </w:tblGrid>
      <w:tr w:rsidR="002238E2" w:rsidRPr="002238E2" w14:paraId="3CAB4872" w14:textId="77777777" w:rsidTr="002238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76" w:type="dxa"/>
            <w:vAlign w:val="center"/>
          </w:tcPr>
          <w:p w14:paraId="43564989" w14:textId="77777777" w:rsidR="002238E2" w:rsidRPr="002238E2" w:rsidRDefault="002238E2" w:rsidP="005B5FAB">
            <w:pPr>
              <w:spacing w:before="100" w:beforeAutospacing="1" w:after="100" w:afterAutospacing="1"/>
              <w:jc w:val="left"/>
              <w:rPr>
                <w:sz w:val="20"/>
                <w:szCs w:val="20"/>
              </w:rPr>
            </w:pPr>
            <w:r w:rsidRPr="002238E2">
              <w:rPr>
                <w:sz w:val="20"/>
                <w:szCs w:val="20"/>
              </w:rPr>
              <w:lastRenderedPageBreak/>
              <w:t>Projet</w:t>
            </w:r>
          </w:p>
        </w:tc>
        <w:tc>
          <w:tcPr>
            <w:tcW w:w="1134" w:type="dxa"/>
            <w:vAlign w:val="center"/>
          </w:tcPr>
          <w:p w14:paraId="604FDF1D" w14:textId="64939130" w:rsidR="002238E2" w:rsidRPr="002238E2" w:rsidRDefault="002238E2" w:rsidP="002238E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Période</w:t>
            </w:r>
          </w:p>
        </w:tc>
        <w:tc>
          <w:tcPr>
            <w:tcW w:w="1134" w:type="dxa"/>
          </w:tcPr>
          <w:p w14:paraId="732F4D46" w14:textId="77777777" w:rsidR="002238E2" w:rsidRPr="002238E2" w:rsidRDefault="002238E2" w:rsidP="009C276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20"/>
                <w:szCs w:val="20"/>
              </w:rPr>
            </w:pPr>
            <w:r w:rsidRPr="002238E2">
              <w:rPr>
                <w:sz w:val="20"/>
                <w:szCs w:val="20"/>
              </w:rPr>
              <w:t>Budget (milliers €)</w:t>
            </w:r>
          </w:p>
        </w:tc>
        <w:tc>
          <w:tcPr>
            <w:tcW w:w="1856" w:type="dxa"/>
          </w:tcPr>
          <w:p w14:paraId="78B46C4A" w14:textId="77777777" w:rsidR="002238E2" w:rsidRPr="002238E2" w:rsidRDefault="002238E2" w:rsidP="009C276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20"/>
                <w:szCs w:val="20"/>
              </w:rPr>
            </w:pPr>
            <w:r w:rsidRPr="002238E2">
              <w:rPr>
                <w:sz w:val="20"/>
                <w:szCs w:val="20"/>
              </w:rPr>
              <w:t>Sources de financement</w:t>
            </w:r>
          </w:p>
        </w:tc>
      </w:tr>
      <w:tr w:rsidR="002238E2" w:rsidRPr="002238E2" w14:paraId="57E44AB0" w14:textId="77777777" w:rsidTr="0027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76" w:type="dxa"/>
            <w:vAlign w:val="center"/>
          </w:tcPr>
          <w:p w14:paraId="65BDE06F" w14:textId="77777777" w:rsidR="002238E2" w:rsidRPr="002238E2" w:rsidRDefault="002238E2" w:rsidP="0027365A">
            <w:pPr>
              <w:spacing w:before="100" w:beforeAutospacing="1" w:after="100" w:afterAutospacing="1"/>
              <w:jc w:val="left"/>
              <w:rPr>
                <w:sz w:val="20"/>
                <w:szCs w:val="20"/>
              </w:rPr>
            </w:pPr>
            <w:r w:rsidRPr="002238E2">
              <w:rPr>
                <w:sz w:val="20"/>
                <w:szCs w:val="20"/>
              </w:rPr>
              <w:t>Implantation du FLEGT : Promotion de la bonne gouvernance dans le secteur forestier (10 pays bénéficiaires)</w:t>
            </w:r>
          </w:p>
        </w:tc>
        <w:tc>
          <w:tcPr>
            <w:tcW w:w="1134" w:type="dxa"/>
            <w:vAlign w:val="center"/>
          </w:tcPr>
          <w:p w14:paraId="4057E8D4" w14:textId="77777777"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2238E2">
              <w:rPr>
                <w:sz w:val="20"/>
                <w:szCs w:val="20"/>
              </w:rPr>
              <w:t>2011-2015</w:t>
            </w:r>
          </w:p>
        </w:tc>
        <w:tc>
          <w:tcPr>
            <w:tcW w:w="1134" w:type="dxa"/>
            <w:vAlign w:val="center"/>
          </w:tcPr>
          <w:p w14:paraId="078BD314" w14:textId="77777777"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2238E2">
              <w:rPr>
                <w:sz w:val="20"/>
                <w:szCs w:val="20"/>
              </w:rPr>
              <w:t>3,2</w:t>
            </w:r>
          </w:p>
        </w:tc>
        <w:tc>
          <w:tcPr>
            <w:tcW w:w="1856" w:type="dxa"/>
            <w:vAlign w:val="center"/>
          </w:tcPr>
          <w:p w14:paraId="1A2D5360" w14:textId="77777777"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2238E2">
              <w:rPr>
                <w:sz w:val="20"/>
                <w:szCs w:val="20"/>
              </w:rPr>
              <w:t>DFID : 100%</w:t>
            </w:r>
          </w:p>
        </w:tc>
      </w:tr>
      <w:tr w:rsidR="002238E2" w:rsidRPr="002238E2" w14:paraId="4990F2DD" w14:textId="77777777" w:rsidTr="0027365A">
        <w:trPr>
          <w:jc w:val="center"/>
        </w:trPr>
        <w:tc>
          <w:tcPr>
            <w:cnfStyle w:val="001000000000" w:firstRow="0" w:lastRow="0" w:firstColumn="1" w:lastColumn="0" w:oddVBand="0" w:evenVBand="0" w:oddHBand="0" w:evenHBand="0" w:firstRowFirstColumn="0" w:firstRowLastColumn="0" w:lastRowFirstColumn="0" w:lastRowLastColumn="0"/>
            <w:tcW w:w="4976" w:type="dxa"/>
            <w:vAlign w:val="center"/>
          </w:tcPr>
          <w:p w14:paraId="0E6FCB14" w14:textId="3BE2E084" w:rsidR="002238E2" w:rsidRPr="002238E2" w:rsidRDefault="002238E2" w:rsidP="0027365A">
            <w:pPr>
              <w:spacing w:before="100" w:beforeAutospacing="1" w:after="100" w:afterAutospacing="1"/>
              <w:jc w:val="left"/>
              <w:rPr>
                <w:sz w:val="20"/>
                <w:szCs w:val="20"/>
              </w:rPr>
            </w:pPr>
            <w:r w:rsidRPr="002238E2">
              <w:rPr>
                <w:sz w:val="20"/>
                <w:szCs w:val="20"/>
              </w:rPr>
              <w:t>Facilité EU FLEGT (18 pays)</w:t>
            </w:r>
          </w:p>
        </w:tc>
        <w:tc>
          <w:tcPr>
            <w:tcW w:w="1134" w:type="dxa"/>
            <w:vAlign w:val="center"/>
          </w:tcPr>
          <w:p w14:paraId="71CE8286" w14:textId="77777777" w:rsidR="002238E2" w:rsidRPr="002238E2" w:rsidRDefault="002238E2" w:rsidP="002238E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2238E2">
              <w:rPr>
                <w:sz w:val="20"/>
                <w:szCs w:val="20"/>
              </w:rPr>
              <w:t>2006-2018</w:t>
            </w:r>
          </w:p>
        </w:tc>
        <w:tc>
          <w:tcPr>
            <w:tcW w:w="1134" w:type="dxa"/>
            <w:vAlign w:val="center"/>
          </w:tcPr>
          <w:p w14:paraId="1A723ABB" w14:textId="77777777" w:rsidR="002238E2" w:rsidRPr="002238E2" w:rsidRDefault="002238E2" w:rsidP="002238E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2238E2">
              <w:rPr>
                <w:sz w:val="20"/>
                <w:szCs w:val="20"/>
              </w:rPr>
              <w:t>45,7</w:t>
            </w:r>
          </w:p>
        </w:tc>
        <w:tc>
          <w:tcPr>
            <w:tcW w:w="1856" w:type="dxa"/>
            <w:vAlign w:val="center"/>
          </w:tcPr>
          <w:p w14:paraId="2B43C8B7" w14:textId="6171B29A" w:rsidR="002238E2" w:rsidRPr="002238E2" w:rsidRDefault="002238E2" w:rsidP="002238E2">
            <w:pPr>
              <w:spacing w:after="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2238E2">
              <w:rPr>
                <w:sz w:val="20"/>
                <w:szCs w:val="20"/>
                <w:lang w:val="en-US"/>
              </w:rPr>
              <w:t>UE : 56%</w:t>
            </w:r>
          </w:p>
          <w:p w14:paraId="6277D178" w14:textId="77777777" w:rsidR="002238E2" w:rsidRPr="002238E2" w:rsidRDefault="002238E2" w:rsidP="002238E2">
            <w:pPr>
              <w:spacing w:after="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2238E2">
              <w:rPr>
                <w:sz w:val="20"/>
                <w:szCs w:val="20"/>
                <w:lang w:val="en-US"/>
              </w:rPr>
              <w:t>DFID : 20%</w:t>
            </w:r>
          </w:p>
          <w:p w14:paraId="29ABE341" w14:textId="6E7A2CCF" w:rsidR="002238E2" w:rsidRPr="002238E2" w:rsidRDefault="002238E2" w:rsidP="002238E2">
            <w:pPr>
              <w:spacing w:after="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2238E2">
              <w:rPr>
                <w:sz w:val="20"/>
                <w:szCs w:val="20"/>
                <w:lang w:val="en-US"/>
              </w:rPr>
              <w:t>MFA: 11%</w:t>
            </w:r>
          </w:p>
          <w:p w14:paraId="05592FF1" w14:textId="0D4E8B04" w:rsidR="002238E2" w:rsidRPr="002238E2" w:rsidRDefault="002238E2" w:rsidP="002238E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2238E2">
              <w:rPr>
                <w:sz w:val="20"/>
                <w:szCs w:val="20"/>
              </w:rPr>
              <w:t>SIDA : 8%</w:t>
            </w:r>
          </w:p>
        </w:tc>
      </w:tr>
      <w:tr w:rsidR="002238E2" w:rsidRPr="002238E2" w14:paraId="64F5A963" w14:textId="77777777" w:rsidTr="0027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76" w:type="dxa"/>
            <w:vAlign w:val="center"/>
          </w:tcPr>
          <w:p w14:paraId="627FDB82" w14:textId="7A2E211A" w:rsidR="002238E2" w:rsidRPr="002238E2" w:rsidRDefault="002238E2" w:rsidP="0027365A">
            <w:pPr>
              <w:jc w:val="left"/>
              <w:rPr>
                <w:sz w:val="20"/>
                <w:szCs w:val="20"/>
              </w:rPr>
            </w:pPr>
            <w:r w:rsidRPr="002238E2">
              <w:rPr>
                <w:sz w:val="20"/>
                <w:szCs w:val="20"/>
              </w:rPr>
              <w:t xml:space="preserve">Outils d’implantation de la gouvernance forestière (TIFG) (5 pays) </w:t>
            </w:r>
          </w:p>
        </w:tc>
        <w:tc>
          <w:tcPr>
            <w:tcW w:w="1134" w:type="dxa"/>
            <w:vAlign w:val="center"/>
          </w:tcPr>
          <w:p w14:paraId="5E14F06D" w14:textId="77777777"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2238E2">
              <w:rPr>
                <w:sz w:val="20"/>
                <w:szCs w:val="20"/>
                <w:lang w:val="en-US"/>
              </w:rPr>
              <w:t>2014-2015</w:t>
            </w:r>
          </w:p>
        </w:tc>
        <w:tc>
          <w:tcPr>
            <w:tcW w:w="1134" w:type="dxa"/>
            <w:vAlign w:val="center"/>
          </w:tcPr>
          <w:p w14:paraId="64587C82" w14:textId="49822A26"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2238E2">
              <w:rPr>
                <w:sz w:val="20"/>
                <w:szCs w:val="20"/>
                <w:lang w:val="en-US"/>
              </w:rPr>
              <w:t>316</w:t>
            </w:r>
          </w:p>
        </w:tc>
        <w:tc>
          <w:tcPr>
            <w:tcW w:w="1856" w:type="dxa"/>
            <w:vAlign w:val="center"/>
          </w:tcPr>
          <w:p w14:paraId="31AD6B2F" w14:textId="77777777"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2238E2">
              <w:rPr>
                <w:sz w:val="20"/>
                <w:szCs w:val="20"/>
                <w:lang w:val="en-US"/>
              </w:rPr>
              <w:t>DFID : 100%</w:t>
            </w:r>
          </w:p>
        </w:tc>
      </w:tr>
      <w:tr w:rsidR="002238E2" w:rsidRPr="002238E2" w14:paraId="1CE156D3" w14:textId="77777777" w:rsidTr="0027365A">
        <w:trPr>
          <w:jc w:val="center"/>
        </w:trPr>
        <w:tc>
          <w:tcPr>
            <w:cnfStyle w:val="001000000000" w:firstRow="0" w:lastRow="0" w:firstColumn="1" w:lastColumn="0" w:oddVBand="0" w:evenVBand="0" w:oddHBand="0" w:evenHBand="0" w:firstRowFirstColumn="0" w:firstRowLastColumn="0" w:lastRowFirstColumn="0" w:lastRowLastColumn="0"/>
            <w:tcW w:w="4976" w:type="dxa"/>
            <w:vAlign w:val="center"/>
          </w:tcPr>
          <w:p w14:paraId="325FF764" w14:textId="47109FD5" w:rsidR="002238E2" w:rsidRPr="002238E2" w:rsidRDefault="002238E2" w:rsidP="0027365A">
            <w:pPr>
              <w:jc w:val="left"/>
              <w:rPr>
                <w:sz w:val="20"/>
                <w:szCs w:val="20"/>
              </w:rPr>
            </w:pPr>
            <w:r w:rsidRPr="002238E2">
              <w:rPr>
                <w:sz w:val="20"/>
                <w:szCs w:val="20"/>
              </w:rPr>
              <w:t xml:space="preserve">Appui à la mise en œuvre d’une Observation Indépendante de la mise en application des lois forestières en Afrique (République Démocratique du Congo, Congo et Côte d’Ivoire) </w:t>
            </w:r>
          </w:p>
        </w:tc>
        <w:tc>
          <w:tcPr>
            <w:tcW w:w="1134" w:type="dxa"/>
            <w:vAlign w:val="center"/>
          </w:tcPr>
          <w:p w14:paraId="26A2961D" w14:textId="77777777" w:rsidR="002238E2" w:rsidRPr="002238E2" w:rsidRDefault="002238E2" w:rsidP="002238E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2238E2">
              <w:rPr>
                <w:sz w:val="20"/>
                <w:szCs w:val="20"/>
              </w:rPr>
              <w:t>2014-2015</w:t>
            </w:r>
          </w:p>
        </w:tc>
        <w:tc>
          <w:tcPr>
            <w:tcW w:w="1134" w:type="dxa"/>
            <w:vAlign w:val="center"/>
          </w:tcPr>
          <w:p w14:paraId="4665A7C2" w14:textId="77777777" w:rsidR="002238E2" w:rsidRPr="002238E2" w:rsidRDefault="002238E2" w:rsidP="002238E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2238E2">
              <w:rPr>
                <w:sz w:val="20"/>
                <w:szCs w:val="20"/>
              </w:rPr>
              <w:t>302,6</w:t>
            </w:r>
          </w:p>
        </w:tc>
        <w:tc>
          <w:tcPr>
            <w:tcW w:w="1856" w:type="dxa"/>
            <w:vAlign w:val="center"/>
          </w:tcPr>
          <w:p w14:paraId="44E1936B" w14:textId="7331119F" w:rsidR="002238E2" w:rsidRPr="002238E2" w:rsidRDefault="002238E2" w:rsidP="002238E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2238E2">
              <w:rPr>
                <w:sz w:val="20"/>
                <w:szCs w:val="20"/>
              </w:rPr>
              <w:t>DFID 100%</w:t>
            </w:r>
          </w:p>
        </w:tc>
      </w:tr>
      <w:tr w:rsidR="002238E2" w:rsidRPr="002238E2" w14:paraId="03AB4E97" w14:textId="77777777" w:rsidTr="0027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76" w:type="dxa"/>
            <w:vAlign w:val="center"/>
          </w:tcPr>
          <w:p w14:paraId="3F3A6094" w14:textId="38B9B2E4" w:rsidR="002238E2" w:rsidRPr="002238E2" w:rsidRDefault="002238E2" w:rsidP="0027365A">
            <w:pPr>
              <w:jc w:val="left"/>
              <w:rPr>
                <w:sz w:val="20"/>
                <w:szCs w:val="20"/>
              </w:rPr>
            </w:pPr>
            <w:r w:rsidRPr="002238E2">
              <w:rPr>
                <w:sz w:val="20"/>
                <w:szCs w:val="20"/>
              </w:rPr>
              <w:t xml:space="preserve">Renforcement des capacités dans le Bassin du Congo et implantation d’un auditeur indépendant FLEG en République du Congo </w:t>
            </w:r>
          </w:p>
        </w:tc>
        <w:tc>
          <w:tcPr>
            <w:tcW w:w="1134" w:type="dxa"/>
            <w:vAlign w:val="center"/>
          </w:tcPr>
          <w:p w14:paraId="3D97D6D2" w14:textId="77777777"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2238E2">
              <w:rPr>
                <w:sz w:val="20"/>
                <w:szCs w:val="20"/>
                <w:lang w:val="en-US"/>
              </w:rPr>
              <w:t>2006-2010</w:t>
            </w:r>
          </w:p>
        </w:tc>
        <w:tc>
          <w:tcPr>
            <w:tcW w:w="1134" w:type="dxa"/>
            <w:vAlign w:val="center"/>
          </w:tcPr>
          <w:p w14:paraId="051913F4" w14:textId="77777777"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2238E2">
              <w:rPr>
                <w:sz w:val="20"/>
                <w:szCs w:val="20"/>
                <w:lang w:val="en-US"/>
              </w:rPr>
              <w:t>2 128</w:t>
            </w:r>
          </w:p>
        </w:tc>
        <w:tc>
          <w:tcPr>
            <w:tcW w:w="1856" w:type="dxa"/>
            <w:vAlign w:val="center"/>
          </w:tcPr>
          <w:p w14:paraId="2E1F2D11" w14:textId="77777777"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2238E2">
              <w:rPr>
                <w:sz w:val="20"/>
                <w:szCs w:val="20"/>
                <w:lang w:val="en-US"/>
              </w:rPr>
              <w:t>DEVCO : 77%</w:t>
            </w:r>
          </w:p>
          <w:p w14:paraId="7D10AC34" w14:textId="77777777"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2238E2">
              <w:rPr>
                <w:sz w:val="20"/>
                <w:szCs w:val="20"/>
                <w:lang w:val="en-US"/>
              </w:rPr>
              <w:t>DFID: 23%</w:t>
            </w:r>
          </w:p>
        </w:tc>
      </w:tr>
      <w:tr w:rsidR="002238E2" w:rsidRPr="002238E2" w14:paraId="4A95FB44" w14:textId="77777777" w:rsidTr="0027365A">
        <w:trPr>
          <w:jc w:val="center"/>
        </w:trPr>
        <w:tc>
          <w:tcPr>
            <w:cnfStyle w:val="001000000000" w:firstRow="0" w:lastRow="0" w:firstColumn="1" w:lastColumn="0" w:oddVBand="0" w:evenVBand="0" w:oddHBand="0" w:evenHBand="0" w:firstRowFirstColumn="0" w:firstRowLastColumn="0" w:lastRowFirstColumn="0" w:lastRowLastColumn="0"/>
            <w:tcW w:w="4976" w:type="dxa"/>
            <w:vAlign w:val="center"/>
          </w:tcPr>
          <w:p w14:paraId="0B9A2ACF" w14:textId="5FA42F5C" w:rsidR="002238E2" w:rsidRPr="002238E2" w:rsidRDefault="002238E2" w:rsidP="0027365A">
            <w:pPr>
              <w:jc w:val="left"/>
              <w:rPr>
                <w:sz w:val="20"/>
                <w:szCs w:val="20"/>
                <w:lang w:val="en-US"/>
              </w:rPr>
            </w:pPr>
            <w:r w:rsidRPr="002238E2">
              <w:rPr>
                <w:sz w:val="20"/>
                <w:szCs w:val="20"/>
                <w:lang w:val="en-US"/>
              </w:rPr>
              <w:t>Driving illegality from forest risk commodities (multi pays)</w:t>
            </w:r>
          </w:p>
        </w:tc>
        <w:tc>
          <w:tcPr>
            <w:tcW w:w="1134" w:type="dxa"/>
            <w:vAlign w:val="center"/>
          </w:tcPr>
          <w:p w14:paraId="34690D42" w14:textId="77777777" w:rsidR="002238E2" w:rsidRPr="002238E2" w:rsidRDefault="002238E2" w:rsidP="002238E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2238E2">
              <w:rPr>
                <w:sz w:val="20"/>
                <w:szCs w:val="20"/>
                <w:lang w:val="en-US"/>
              </w:rPr>
              <w:t>2016-2017</w:t>
            </w:r>
          </w:p>
        </w:tc>
        <w:tc>
          <w:tcPr>
            <w:tcW w:w="1134" w:type="dxa"/>
            <w:vAlign w:val="center"/>
          </w:tcPr>
          <w:p w14:paraId="3D2E7072" w14:textId="1B65B8C3" w:rsidR="002238E2" w:rsidRPr="002238E2" w:rsidRDefault="002238E2" w:rsidP="002238E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2238E2">
              <w:rPr>
                <w:sz w:val="20"/>
                <w:szCs w:val="20"/>
                <w:lang w:val="en-US"/>
              </w:rPr>
              <w:t>2</w:t>
            </w:r>
            <w:r w:rsidR="0027365A">
              <w:rPr>
                <w:sz w:val="20"/>
                <w:szCs w:val="20"/>
                <w:lang w:val="en-US"/>
              </w:rPr>
              <w:t xml:space="preserve"> </w:t>
            </w:r>
            <w:r w:rsidRPr="002238E2">
              <w:rPr>
                <w:sz w:val="20"/>
                <w:szCs w:val="20"/>
                <w:lang w:val="en-US"/>
              </w:rPr>
              <w:t>168,8</w:t>
            </w:r>
          </w:p>
        </w:tc>
        <w:tc>
          <w:tcPr>
            <w:tcW w:w="1856" w:type="dxa"/>
            <w:vAlign w:val="center"/>
          </w:tcPr>
          <w:p w14:paraId="399CAC97" w14:textId="77777777" w:rsidR="002238E2" w:rsidRPr="002238E2" w:rsidRDefault="002238E2" w:rsidP="002238E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2238E2">
              <w:rPr>
                <w:sz w:val="20"/>
                <w:szCs w:val="20"/>
                <w:lang w:val="en-US"/>
              </w:rPr>
              <w:t>DFID: 100%</w:t>
            </w:r>
          </w:p>
        </w:tc>
      </w:tr>
      <w:tr w:rsidR="002238E2" w:rsidRPr="002238E2" w14:paraId="29A3EED6" w14:textId="77777777" w:rsidTr="0027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76" w:type="dxa"/>
            <w:vAlign w:val="center"/>
          </w:tcPr>
          <w:p w14:paraId="7BCA2EA7" w14:textId="5D09E507" w:rsidR="002238E2" w:rsidRPr="002238E2" w:rsidRDefault="002238E2" w:rsidP="0027365A">
            <w:pPr>
              <w:jc w:val="left"/>
              <w:rPr>
                <w:sz w:val="20"/>
                <w:szCs w:val="20"/>
              </w:rPr>
            </w:pPr>
            <w:r w:rsidRPr="002238E2">
              <w:rPr>
                <w:sz w:val="20"/>
                <w:szCs w:val="20"/>
              </w:rPr>
              <w:t xml:space="preserve">Amélioration de l’implication des petites et moyennes entreprises/industries à capitaux congolais dans la mise en œuvre de l’APV à travers un renforcement de capacités </w:t>
            </w:r>
          </w:p>
        </w:tc>
        <w:tc>
          <w:tcPr>
            <w:tcW w:w="1134" w:type="dxa"/>
            <w:vAlign w:val="center"/>
          </w:tcPr>
          <w:p w14:paraId="166CBF7F" w14:textId="77777777"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2238E2">
              <w:rPr>
                <w:sz w:val="20"/>
                <w:szCs w:val="20"/>
              </w:rPr>
              <w:t>2014-2015</w:t>
            </w:r>
          </w:p>
        </w:tc>
        <w:tc>
          <w:tcPr>
            <w:tcW w:w="1134" w:type="dxa"/>
            <w:vAlign w:val="center"/>
          </w:tcPr>
          <w:p w14:paraId="64FB244E" w14:textId="77777777"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2238E2">
              <w:rPr>
                <w:sz w:val="20"/>
                <w:szCs w:val="20"/>
              </w:rPr>
              <w:t>75,5</w:t>
            </w:r>
          </w:p>
        </w:tc>
        <w:tc>
          <w:tcPr>
            <w:tcW w:w="1856" w:type="dxa"/>
            <w:vAlign w:val="center"/>
          </w:tcPr>
          <w:p w14:paraId="11ACB4E2" w14:textId="13906C0D"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2238E2">
              <w:rPr>
                <w:sz w:val="20"/>
                <w:szCs w:val="20"/>
              </w:rPr>
              <w:t>DFID</w:t>
            </w:r>
            <w:r>
              <w:rPr>
                <w:sz w:val="20"/>
                <w:szCs w:val="20"/>
              </w:rPr>
              <w:t> : 100%</w:t>
            </w:r>
          </w:p>
        </w:tc>
      </w:tr>
      <w:tr w:rsidR="002238E2" w:rsidRPr="002238E2" w14:paraId="6C883DC3" w14:textId="77777777" w:rsidTr="0027365A">
        <w:trPr>
          <w:jc w:val="center"/>
        </w:trPr>
        <w:tc>
          <w:tcPr>
            <w:cnfStyle w:val="001000000000" w:firstRow="0" w:lastRow="0" w:firstColumn="1" w:lastColumn="0" w:oddVBand="0" w:evenVBand="0" w:oddHBand="0" w:evenHBand="0" w:firstRowFirstColumn="0" w:firstRowLastColumn="0" w:lastRowFirstColumn="0" w:lastRowLastColumn="0"/>
            <w:tcW w:w="4976" w:type="dxa"/>
            <w:vAlign w:val="center"/>
          </w:tcPr>
          <w:p w14:paraId="6E64753D" w14:textId="1B2818D2" w:rsidR="002238E2" w:rsidRPr="002238E2" w:rsidRDefault="002238E2" w:rsidP="0027365A">
            <w:pPr>
              <w:jc w:val="left"/>
              <w:rPr>
                <w:sz w:val="20"/>
                <w:szCs w:val="20"/>
              </w:rPr>
            </w:pPr>
            <w:r w:rsidRPr="002238E2">
              <w:rPr>
                <w:sz w:val="20"/>
                <w:szCs w:val="20"/>
              </w:rPr>
              <w:t>Consolidation de la plateforme de suivi en ligne des indicateurs de légalité APV-FLEGT au Congo</w:t>
            </w:r>
          </w:p>
        </w:tc>
        <w:tc>
          <w:tcPr>
            <w:tcW w:w="1134" w:type="dxa"/>
            <w:vAlign w:val="center"/>
          </w:tcPr>
          <w:p w14:paraId="1EF2A178" w14:textId="77777777" w:rsidR="002238E2" w:rsidRPr="002238E2" w:rsidRDefault="002238E2" w:rsidP="002238E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2238E2">
              <w:rPr>
                <w:sz w:val="20"/>
                <w:szCs w:val="20"/>
              </w:rPr>
              <w:t>2014-2015</w:t>
            </w:r>
          </w:p>
        </w:tc>
        <w:tc>
          <w:tcPr>
            <w:tcW w:w="1134" w:type="dxa"/>
            <w:vAlign w:val="center"/>
          </w:tcPr>
          <w:p w14:paraId="5D293941" w14:textId="77777777" w:rsidR="002238E2" w:rsidRPr="002238E2" w:rsidRDefault="002238E2" w:rsidP="002238E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2238E2">
              <w:rPr>
                <w:sz w:val="20"/>
                <w:szCs w:val="20"/>
              </w:rPr>
              <w:t>102,1</w:t>
            </w:r>
          </w:p>
        </w:tc>
        <w:tc>
          <w:tcPr>
            <w:tcW w:w="1856" w:type="dxa"/>
            <w:vAlign w:val="center"/>
          </w:tcPr>
          <w:p w14:paraId="11866974" w14:textId="77777777" w:rsidR="002238E2" w:rsidRPr="002238E2" w:rsidRDefault="002238E2" w:rsidP="002238E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2238E2">
              <w:rPr>
                <w:sz w:val="20"/>
                <w:szCs w:val="20"/>
              </w:rPr>
              <w:t>DFID 100%</w:t>
            </w:r>
          </w:p>
        </w:tc>
      </w:tr>
      <w:tr w:rsidR="002238E2" w:rsidRPr="002238E2" w14:paraId="38C61D23" w14:textId="77777777" w:rsidTr="0027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76" w:type="dxa"/>
            <w:vAlign w:val="center"/>
          </w:tcPr>
          <w:p w14:paraId="2560F934" w14:textId="6C4CE569" w:rsidR="002238E2" w:rsidRPr="002238E2" w:rsidRDefault="002238E2" w:rsidP="0027365A">
            <w:pPr>
              <w:jc w:val="left"/>
              <w:rPr>
                <w:sz w:val="20"/>
                <w:szCs w:val="20"/>
                <w:lang w:val="en-US"/>
              </w:rPr>
            </w:pPr>
            <w:r w:rsidRPr="002238E2">
              <w:rPr>
                <w:sz w:val="20"/>
                <w:szCs w:val="20"/>
                <w:lang w:val="en-US"/>
              </w:rPr>
              <w:t>Progress with Improving Forest Governance and Tackling Illegal Logging</w:t>
            </w:r>
          </w:p>
        </w:tc>
        <w:tc>
          <w:tcPr>
            <w:tcW w:w="1134" w:type="dxa"/>
            <w:vAlign w:val="center"/>
          </w:tcPr>
          <w:p w14:paraId="14451131" w14:textId="77777777"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2238E2">
              <w:rPr>
                <w:sz w:val="20"/>
                <w:szCs w:val="20"/>
                <w:lang w:val="en-US"/>
              </w:rPr>
              <w:t>2011-2015</w:t>
            </w:r>
          </w:p>
        </w:tc>
        <w:tc>
          <w:tcPr>
            <w:tcW w:w="1134" w:type="dxa"/>
            <w:vAlign w:val="center"/>
          </w:tcPr>
          <w:p w14:paraId="38B13B59" w14:textId="50D1CB01"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2238E2">
              <w:rPr>
                <w:sz w:val="20"/>
                <w:szCs w:val="20"/>
                <w:lang w:val="en-US"/>
              </w:rPr>
              <w:t>2</w:t>
            </w:r>
            <w:r w:rsidR="0027365A">
              <w:rPr>
                <w:sz w:val="20"/>
                <w:szCs w:val="20"/>
                <w:lang w:val="en-US"/>
              </w:rPr>
              <w:t xml:space="preserve"> </w:t>
            </w:r>
            <w:r w:rsidRPr="002238E2">
              <w:rPr>
                <w:sz w:val="20"/>
                <w:szCs w:val="20"/>
                <w:lang w:val="en-US"/>
              </w:rPr>
              <w:t>550</w:t>
            </w:r>
          </w:p>
        </w:tc>
        <w:tc>
          <w:tcPr>
            <w:tcW w:w="1856" w:type="dxa"/>
            <w:vAlign w:val="center"/>
          </w:tcPr>
          <w:p w14:paraId="023EA82B" w14:textId="55A81C69" w:rsidR="002238E2" w:rsidRPr="002238E2" w:rsidRDefault="002238E2" w:rsidP="002238E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DFID</w:t>
            </w:r>
            <w:r w:rsidRPr="002238E2">
              <w:rPr>
                <w:sz w:val="20"/>
                <w:szCs w:val="20"/>
                <w:lang w:val="en-US"/>
              </w:rPr>
              <w:t xml:space="preserve"> 100%</w:t>
            </w:r>
          </w:p>
        </w:tc>
      </w:tr>
    </w:tbl>
    <w:p w14:paraId="0967CED2" w14:textId="661F4E09" w:rsidR="002238E2" w:rsidRDefault="0027365A" w:rsidP="0027365A">
      <w:pPr>
        <w:pStyle w:val="Caption"/>
      </w:pPr>
      <w:bookmarkStart w:id="39" w:name="_Toc454886804"/>
      <w:r>
        <w:t xml:space="preserve">Tableau </w:t>
      </w:r>
      <w:r>
        <w:fldChar w:fldCharType="begin"/>
      </w:r>
      <w:r>
        <w:instrText xml:space="preserve"> SEQ Tableau \* ARABIC </w:instrText>
      </w:r>
      <w:r>
        <w:fldChar w:fldCharType="separate"/>
      </w:r>
      <w:r w:rsidR="0080491D">
        <w:rPr>
          <w:noProof/>
        </w:rPr>
        <w:t>5</w:t>
      </w:r>
      <w:r>
        <w:fldChar w:fldCharType="end"/>
      </w:r>
      <w:r>
        <w:t>: Initiatives FL</w:t>
      </w:r>
      <w:r w:rsidR="0078425E">
        <w:t xml:space="preserve">EGT financées et </w:t>
      </w:r>
      <w:proofErr w:type="spellStart"/>
      <w:r w:rsidR="0078425E">
        <w:t>co-</w:t>
      </w:r>
      <w:r>
        <w:t>financées</w:t>
      </w:r>
      <w:proofErr w:type="spellEnd"/>
      <w:r>
        <w:t xml:space="preserve"> par le DFID en République du Congo et</w:t>
      </w:r>
      <w:r w:rsidR="0078425E">
        <w:t xml:space="preserve"> </w:t>
      </w:r>
      <w:r>
        <w:t>au niveau régional (source: facilité UE FLEGT)</w:t>
      </w:r>
      <w:bookmarkEnd w:id="39"/>
    </w:p>
    <w:p w14:paraId="40109045" w14:textId="56B4B752" w:rsidR="00861EA4" w:rsidRDefault="006E7E41" w:rsidP="00CE03CD">
      <w:r>
        <w:t>En</w:t>
      </w:r>
      <w:r w:rsidR="00377EAC">
        <w:t xml:space="preserve"> 2015</w:t>
      </w:r>
      <w:r>
        <w:t>,</w:t>
      </w:r>
      <w:r w:rsidR="00377EAC">
        <w:t xml:space="preserve"> </w:t>
      </w:r>
      <w:r>
        <w:t>un</w:t>
      </w:r>
      <w:r w:rsidR="009D0992">
        <w:t xml:space="preserve"> p</w:t>
      </w:r>
      <w:r>
        <w:t>rojet d’a</w:t>
      </w:r>
      <w:r w:rsidR="00861EA4">
        <w:t xml:space="preserve">ppui à la mise en œuvre de l’APV-FLEGT en République du Congo </w:t>
      </w:r>
      <w:r>
        <w:t xml:space="preserve">a démarré pour une durée de 3 ans. Il </w:t>
      </w:r>
      <w:r w:rsidR="00861EA4">
        <w:t>comporte  quatre composantes. La première composante vise à appuyer techniquement l’ensemble des sociétés d’exploitation forestière partenaires du projet à être en mesure de répondre durablement aux exigences des critères et indicateurs des grilles de la légalité forestière au Congo. La deuxième composante a pour objectif de finaliser le processus de révision de la législation forestière afin de rendre applicable l’APV-FLEGT UE-Congo par sa traduction en termes juridiques dans les lois, codes et décrets d’application concernés. La troisième composante est axée sur le renforcement des capacités techniques et matérielles de l’administration forestière afin de lui permettre de mettre en œuvre ses responsabilités définies dans l’APV suscité, notamment les contrôles de la légalité et traçabilité des bois et produits dérivés de bois issus de ses forêts. La quatrième composante soutient, quant à elle, le rôle et l’implication croissante de la société civile dans l’observation indépendante de l’exploitation forestière et de mise en œuvre de l’APV-FLEGT.   </w:t>
      </w:r>
    </w:p>
    <w:p w14:paraId="78F666DD" w14:textId="775FDDC5" w:rsidR="0069598E" w:rsidRDefault="00377EAC" w:rsidP="00CE03CD">
      <w:r>
        <w:t xml:space="preserve">Il est financé </w:t>
      </w:r>
      <w:r w:rsidR="008474AF">
        <w:t xml:space="preserve">par le DFID </w:t>
      </w:r>
      <w:r>
        <w:t xml:space="preserve">à hauteur de 4 millions 275 mille livres (environ 5,5 millions d’euros) délégués </w:t>
      </w:r>
      <w:r w:rsidR="008474AF">
        <w:t>à</w:t>
      </w:r>
      <w:r>
        <w:t xml:space="preserve"> la gestion de l’AFD</w:t>
      </w:r>
      <w:r>
        <w:rPr>
          <w:rStyle w:val="FootnoteReference"/>
        </w:rPr>
        <w:footnoteReference w:id="51"/>
      </w:r>
      <w:r>
        <w:t>.</w:t>
      </w:r>
    </w:p>
    <w:p w14:paraId="5E43666F" w14:textId="3FAAFFB4" w:rsidR="0069598E" w:rsidRPr="0069598E" w:rsidRDefault="0069598E" w:rsidP="0069598E">
      <w:pPr>
        <w:rPr>
          <w:i/>
          <w:color w:val="DD8047" w:themeColor="accent2"/>
          <w:lang w:val="en-US" w:eastAsia="en-US"/>
        </w:rPr>
      </w:pPr>
      <w:r w:rsidRPr="0069598E">
        <w:rPr>
          <w:i/>
          <w:color w:val="DD8047" w:themeColor="accent2"/>
          <w:lang w:val="en-US"/>
        </w:rPr>
        <w:t xml:space="preserve">La </w:t>
      </w:r>
      <w:r w:rsidRPr="0069598E">
        <w:rPr>
          <w:rStyle w:val="Emphasis"/>
          <w:color w:val="DD8047" w:themeColor="accent2"/>
          <w:lang w:val="en-US"/>
        </w:rPr>
        <w:t>Commonwealth Development Corporation</w:t>
      </w:r>
      <w:r w:rsidRPr="0069598E">
        <w:rPr>
          <w:i/>
          <w:color w:val="DD8047" w:themeColor="accent2"/>
          <w:lang w:val="en-US"/>
        </w:rPr>
        <w:t xml:space="preserve"> (CDC)</w:t>
      </w:r>
      <w:r w:rsidR="008474AF" w:rsidRPr="008474AF">
        <w:rPr>
          <w:rStyle w:val="FootnoteReference"/>
          <w:lang w:val="en-US"/>
        </w:rPr>
        <w:t xml:space="preserve"> </w:t>
      </w:r>
      <w:r w:rsidR="008474AF" w:rsidRPr="008474AF">
        <w:rPr>
          <w:rStyle w:val="FootnoteReference"/>
          <w:color w:val="DD8047" w:themeColor="accent2"/>
        </w:rPr>
        <w:footnoteReference w:id="52"/>
      </w:r>
    </w:p>
    <w:p w14:paraId="6E4B6A8C" w14:textId="78E627DB" w:rsidR="0069598E" w:rsidRDefault="0069598E" w:rsidP="00CE03CD">
      <w:r w:rsidRPr="0069598E">
        <w:t xml:space="preserve">Détenue en intégralité par le gouvernement du </w:t>
      </w:r>
      <w:r>
        <w:t>Royaume-Uni</w:t>
      </w:r>
      <w:r w:rsidRPr="0069598E">
        <w:t>, la CDC est une institution financière de d</w:t>
      </w:r>
      <w:r>
        <w:t>éveloppement qui appui les entreprises en Afrique et en Asie du Sud exclusivement. Son portefeuille d’investissement est évalué à 3,4 milliards de livres sterling fin 2014</w:t>
      </w:r>
      <w:r w:rsidR="00222FA1">
        <w:t xml:space="preserve">, les investissements en Afrique en 2014 sont </w:t>
      </w:r>
      <w:r w:rsidR="00C90756">
        <w:t>évalués</w:t>
      </w:r>
      <w:r w:rsidR="00222FA1">
        <w:t xml:space="preserve"> à 102,8 millions </w:t>
      </w:r>
      <w:r w:rsidR="00B0444B">
        <w:t>d’USD</w:t>
      </w:r>
      <w:r>
        <w:t>.</w:t>
      </w:r>
      <w:r w:rsidR="00222FA1">
        <w:t xml:space="preserve"> </w:t>
      </w:r>
      <w:r>
        <w:t xml:space="preserve"> </w:t>
      </w:r>
    </w:p>
    <w:p w14:paraId="087C8DBD" w14:textId="77777777" w:rsidR="005B5FAB" w:rsidRDefault="005B5FAB" w:rsidP="00CE03CD"/>
    <w:p w14:paraId="5395F5FB" w14:textId="1AE4F8C7" w:rsidR="00DB7529" w:rsidRDefault="00DB7529" w:rsidP="00CE03CD">
      <w:pPr>
        <w:rPr>
          <w:i/>
          <w:color w:val="DD8047" w:themeColor="accent2"/>
        </w:rPr>
      </w:pPr>
      <w:r>
        <w:rPr>
          <w:i/>
          <w:color w:val="DD8047" w:themeColor="accent2"/>
        </w:rPr>
        <w:lastRenderedPageBreak/>
        <w:t xml:space="preserve">Les fonds et initiatives </w:t>
      </w:r>
    </w:p>
    <w:p w14:paraId="02BC3E99" w14:textId="16B599DC" w:rsidR="002D4765" w:rsidRPr="002D4765" w:rsidRDefault="002D4765" w:rsidP="00CE03CD">
      <w:r w:rsidRPr="002D4765">
        <w:t xml:space="preserve">Le Royaume-Uni a mis en place avec l’Allemagne, les Fonds REM et NAMA </w:t>
      </w:r>
      <w:proofErr w:type="spellStart"/>
      <w:r w:rsidRPr="002D4765">
        <w:t>facili</w:t>
      </w:r>
      <w:r>
        <w:t>ty</w:t>
      </w:r>
      <w:proofErr w:type="spellEnd"/>
      <w:r>
        <w:t xml:space="preserve"> (cf.</w:t>
      </w:r>
      <w:r w:rsidR="00A0117D">
        <w:t xml:space="preserve"> partie</w:t>
      </w:r>
      <w:r>
        <w:t xml:space="preserve"> </w:t>
      </w:r>
      <w:r w:rsidR="007503DC">
        <w:t>1.2.2</w:t>
      </w:r>
      <w:r w:rsidR="00A0117D">
        <w:t>). A ces fonds s’ajoute :</w:t>
      </w:r>
    </w:p>
    <w:p w14:paraId="57244E0D" w14:textId="17BA3A5E" w:rsidR="00222FA1" w:rsidRPr="00D11996" w:rsidRDefault="00222FA1" w:rsidP="008B0EB3">
      <w:pPr>
        <w:pStyle w:val="ListParagraph"/>
        <w:numPr>
          <w:ilvl w:val="0"/>
          <w:numId w:val="31"/>
        </w:numPr>
        <w:rPr>
          <w:color w:val="548AB7" w:themeColor="accent1" w:themeShade="BF"/>
        </w:rPr>
      </w:pPr>
      <w:r w:rsidRPr="00D11996">
        <w:rPr>
          <w:rStyle w:val="Emphasis"/>
          <w:i w:val="0"/>
          <w:color w:val="548AB7" w:themeColor="accent1" w:themeShade="BF"/>
        </w:rPr>
        <w:t>Fonds international</w:t>
      </w:r>
      <w:r w:rsidRPr="00D11996">
        <w:rPr>
          <w:rStyle w:val="st"/>
          <w:rFonts w:eastAsiaTheme="majorEastAsia"/>
          <w:i/>
          <w:color w:val="548AB7" w:themeColor="accent1" w:themeShade="BF"/>
        </w:rPr>
        <w:t xml:space="preserve"> </w:t>
      </w:r>
      <w:r w:rsidRPr="00D11996">
        <w:rPr>
          <w:rStyle w:val="st"/>
          <w:rFonts w:eastAsiaTheme="majorEastAsia"/>
          <w:color w:val="548AB7" w:themeColor="accent1" w:themeShade="BF"/>
        </w:rPr>
        <w:t>pour</w:t>
      </w:r>
      <w:r w:rsidRPr="00D11996">
        <w:rPr>
          <w:rStyle w:val="st"/>
          <w:rFonts w:eastAsiaTheme="majorEastAsia"/>
          <w:i/>
          <w:color w:val="548AB7" w:themeColor="accent1" w:themeShade="BF"/>
        </w:rPr>
        <w:t xml:space="preserve"> </w:t>
      </w:r>
      <w:r w:rsidRPr="00D11996">
        <w:rPr>
          <w:rStyle w:val="st"/>
          <w:rFonts w:eastAsiaTheme="majorEastAsia"/>
          <w:color w:val="548AB7" w:themeColor="accent1" w:themeShade="BF"/>
        </w:rPr>
        <w:t>le</w:t>
      </w:r>
      <w:r w:rsidRPr="00D11996">
        <w:rPr>
          <w:rStyle w:val="st"/>
          <w:rFonts w:eastAsiaTheme="majorEastAsia"/>
          <w:i/>
          <w:color w:val="548AB7" w:themeColor="accent1" w:themeShade="BF"/>
        </w:rPr>
        <w:t xml:space="preserve"> </w:t>
      </w:r>
      <w:r w:rsidRPr="00D11996">
        <w:rPr>
          <w:rStyle w:val="Emphasis"/>
          <w:i w:val="0"/>
          <w:color w:val="548AB7" w:themeColor="accent1" w:themeShade="BF"/>
        </w:rPr>
        <w:t>climat</w:t>
      </w:r>
      <w:r w:rsidRPr="00D11996">
        <w:rPr>
          <w:rStyle w:val="st"/>
          <w:rFonts w:eastAsiaTheme="majorEastAsia"/>
          <w:i/>
          <w:color w:val="548AB7" w:themeColor="accent1" w:themeShade="BF"/>
        </w:rPr>
        <w:t xml:space="preserve"> (</w:t>
      </w:r>
      <w:r w:rsidRPr="00D11996">
        <w:rPr>
          <w:rStyle w:val="Emphasis"/>
          <w:i w:val="0"/>
          <w:color w:val="548AB7" w:themeColor="accent1" w:themeShade="BF"/>
        </w:rPr>
        <w:t xml:space="preserve">International </w:t>
      </w:r>
      <w:proofErr w:type="spellStart"/>
      <w:r w:rsidRPr="00D11996">
        <w:rPr>
          <w:rStyle w:val="Emphasis"/>
          <w:i w:val="0"/>
          <w:color w:val="548AB7" w:themeColor="accent1" w:themeShade="BF"/>
        </w:rPr>
        <w:t>Climate</w:t>
      </w:r>
      <w:proofErr w:type="spellEnd"/>
      <w:r w:rsidRPr="00D11996">
        <w:rPr>
          <w:rStyle w:val="st"/>
          <w:rFonts w:eastAsiaTheme="majorEastAsia"/>
          <w:color w:val="548AB7" w:themeColor="accent1" w:themeShade="BF"/>
        </w:rPr>
        <w:t xml:space="preserve"> </w:t>
      </w:r>
      <w:proofErr w:type="spellStart"/>
      <w:r w:rsidRPr="00D11996">
        <w:rPr>
          <w:rStyle w:val="st"/>
          <w:rFonts w:eastAsiaTheme="majorEastAsia"/>
          <w:color w:val="548AB7" w:themeColor="accent1" w:themeShade="BF"/>
        </w:rPr>
        <w:t>Fund</w:t>
      </w:r>
      <w:proofErr w:type="spellEnd"/>
      <w:r w:rsidRPr="00D11996">
        <w:rPr>
          <w:rStyle w:val="st"/>
          <w:rFonts w:eastAsiaTheme="majorEastAsia"/>
          <w:color w:val="548AB7" w:themeColor="accent1" w:themeShade="BF"/>
        </w:rPr>
        <w:t xml:space="preserve"> </w:t>
      </w:r>
      <w:r w:rsidRPr="00D11996">
        <w:rPr>
          <w:rStyle w:val="st"/>
          <w:rFonts w:eastAsiaTheme="majorEastAsia"/>
          <w:i/>
          <w:color w:val="548AB7" w:themeColor="accent1" w:themeShade="BF"/>
        </w:rPr>
        <w:t>-</w:t>
      </w:r>
      <w:r w:rsidRPr="00D11996">
        <w:rPr>
          <w:rStyle w:val="st"/>
          <w:rFonts w:eastAsiaTheme="majorEastAsia"/>
          <w:color w:val="548AB7" w:themeColor="accent1" w:themeShade="BF"/>
        </w:rPr>
        <w:t xml:space="preserve"> ICF</w:t>
      </w:r>
      <w:r w:rsidRPr="00D11996">
        <w:rPr>
          <w:rStyle w:val="st"/>
          <w:rFonts w:eastAsiaTheme="majorEastAsia"/>
          <w:i/>
          <w:color w:val="548AB7" w:themeColor="accent1" w:themeShade="BF"/>
        </w:rPr>
        <w:t>)</w:t>
      </w:r>
    </w:p>
    <w:p w14:paraId="0FFF7B27" w14:textId="60BEF40E" w:rsidR="00222FA1" w:rsidRDefault="00DB7529" w:rsidP="00C90756">
      <w:pPr>
        <w:spacing w:after="0"/>
        <w:rPr>
          <w:rFonts w:cs="Arial"/>
          <w:szCs w:val="22"/>
        </w:rPr>
      </w:pPr>
      <w:r w:rsidRPr="00C90756">
        <w:rPr>
          <w:rFonts w:cs="Arial"/>
          <w:szCs w:val="22"/>
        </w:rPr>
        <w:t>Devenu opérationnel en 2011, l’</w:t>
      </w:r>
      <w:r w:rsidR="00222FA1" w:rsidRPr="00222FA1">
        <w:rPr>
          <w:rFonts w:cs="Arial"/>
          <w:szCs w:val="22"/>
        </w:rPr>
        <w:t>ICF</w:t>
      </w:r>
      <w:r w:rsidRPr="00C90756">
        <w:rPr>
          <w:rFonts w:cs="Arial"/>
          <w:szCs w:val="22"/>
        </w:rPr>
        <w:t xml:space="preserve"> vise </w:t>
      </w:r>
      <w:r w:rsidR="00C90756" w:rsidRPr="00C90756">
        <w:rPr>
          <w:rFonts w:cs="Arial"/>
          <w:szCs w:val="22"/>
        </w:rPr>
        <w:t>à</w:t>
      </w:r>
      <w:r w:rsidRPr="00C90756">
        <w:rPr>
          <w:rFonts w:cs="Arial"/>
          <w:szCs w:val="22"/>
        </w:rPr>
        <w:t xml:space="preserve"> fina</w:t>
      </w:r>
      <w:r w:rsidR="00C90756" w:rsidRPr="00C90756">
        <w:rPr>
          <w:rFonts w:cs="Arial"/>
          <w:szCs w:val="22"/>
        </w:rPr>
        <w:t>n</w:t>
      </w:r>
      <w:r w:rsidRPr="00C90756">
        <w:rPr>
          <w:rFonts w:cs="Arial"/>
          <w:szCs w:val="22"/>
        </w:rPr>
        <w:t>cer les activités d’</w:t>
      </w:r>
      <w:r w:rsidR="00C90756" w:rsidRPr="00C90756">
        <w:rPr>
          <w:rFonts w:cs="Arial"/>
          <w:szCs w:val="22"/>
        </w:rPr>
        <w:t>adaptation</w:t>
      </w:r>
      <w:r w:rsidRPr="00C90756">
        <w:rPr>
          <w:rFonts w:cs="Arial"/>
          <w:szCs w:val="22"/>
        </w:rPr>
        <w:t xml:space="preserve"> (50%), </w:t>
      </w:r>
      <w:r w:rsidR="00C90756" w:rsidRPr="00C90756">
        <w:rPr>
          <w:rFonts w:cs="Arial"/>
          <w:szCs w:val="22"/>
        </w:rPr>
        <w:t xml:space="preserve">de </w:t>
      </w:r>
      <w:r w:rsidRPr="00C90756">
        <w:rPr>
          <w:rFonts w:cs="Arial"/>
          <w:szCs w:val="22"/>
        </w:rPr>
        <w:t>développeme</w:t>
      </w:r>
      <w:r w:rsidR="00C90756" w:rsidRPr="00C90756">
        <w:rPr>
          <w:rFonts w:cs="Arial"/>
          <w:szCs w:val="22"/>
        </w:rPr>
        <w:t>nt bas carbone (30%) et forestiè</w:t>
      </w:r>
      <w:r w:rsidRPr="00C90756">
        <w:rPr>
          <w:rFonts w:cs="Arial"/>
          <w:szCs w:val="22"/>
        </w:rPr>
        <w:t>r</w:t>
      </w:r>
      <w:r w:rsidR="00C90756" w:rsidRPr="00C90756">
        <w:rPr>
          <w:rFonts w:cs="Arial"/>
          <w:szCs w:val="22"/>
        </w:rPr>
        <w:t>e</w:t>
      </w:r>
      <w:r w:rsidRPr="00C90756">
        <w:rPr>
          <w:rFonts w:cs="Arial"/>
          <w:szCs w:val="22"/>
        </w:rPr>
        <w:t>s (20%)</w:t>
      </w:r>
      <w:r w:rsidR="00C90756">
        <w:rPr>
          <w:rFonts w:cs="Arial"/>
          <w:szCs w:val="22"/>
        </w:rPr>
        <w:t xml:space="preserve"> dans les pays en développement</w:t>
      </w:r>
      <w:r w:rsidR="00222FA1" w:rsidRPr="00222FA1">
        <w:rPr>
          <w:rFonts w:cs="Arial"/>
          <w:szCs w:val="22"/>
        </w:rPr>
        <w:t xml:space="preserve"> </w:t>
      </w:r>
      <w:r w:rsidR="00C90756" w:rsidRPr="00C90756">
        <w:rPr>
          <w:rFonts w:cs="Arial"/>
          <w:szCs w:val="22"/>
        </w:rPr>
        <w:t>à partir de dons et de financements concessionnels. Les montants engagés dans le fonds issus de l’APD du Royaume Unis totalisent 3,68 milliards de livres sterling auxquels s’ajouteront 5,8 milliards en</w:t>
      </w:r>
      <w:r w:rsidR="008474AF">
        <w:rPr>
          <w:rFonts w:cs="Arial"/>
          <w:szCs w:val="22"/>
        </w:rPr>
        <w:t>tre</w:t>
      </w:r>
      <w:r w:rsidR="00C90756" w:rsidRPr="00C90756">
        <w:rPr>
          <w:rFonts w:cs="Arial"/>
          <w:szCs w:val="22"/>
        </w:rPr>
        <w:t xml:space="preserve"> 2016 et 2021 selon l’annonce officiel du premier ministre</w:t>
      </w:r>
      <w:r w:rsidR="00C90756" w:rsidRPr="00C90756">
        <w:rPr>
          <w:rStyle w:val="FootnoteReference"/>
          <w:rFonts w:cs="Arial"/>
          <w:szCs w:val="22"/>
        </w:rPr>
        <w:footnoteReference w:id="53"/>
      </w:r>
      <w:r w:rsidR="00C90756">
        <w:rPr>
          <w:rFonts w:cs="Arial"/>
          <w:szCs w:val="22"/>
        </w:rPr>
        <w:t>.</w:t>
      </w:r>
    </w:p>
    <w:p w14:paraId="7A8FFC64" w14:textId="48D6653C" w:rsidR="00C90756" w:rsidRDefault="00C90756" w:rsidP="00C90756">
      <w:pPr>
        <w:spacing w:after="0"/>
        <w:rPr>
          <w:rFonts w:cs="Arial"/>
          <w:szCs w:val="22"/>
        </w:rPr>
      </w:pPr>
      <w:r>
        <w:rPr>
          <w:rFonts w:cs="Arial"/>
          <w:szCs w:val="22"/>
        </w:rPr>
        <w:t>Les fonds ICF transitent généralement au travers des programmes administrés par des organisations multilatérales et</w:t>
      </w:r>
      <w:r w:rsidR="008474AF">
        <w:rPr>
          <w:rFonts w:cs="Arial"/>
          <w:szCs w:val="22"/>
        </w:rPr>
        <w:t>,</w:t>
      </w:r>
      <w:r>
        <w:rPr>
          <w:rFonts w:cs="Arial"/>
          <w:szCs w:val="22"/>
        </w:rPr>
        <w:t xml:space="preserve"> dans une moindre mesure</w:t>
      </w:r>
      <w:r w:rsidR="008474AF">
        <w:rPr>
          <w:rFonts w:cs="Arial"/>
          <w:szCs w:val="22"/>
        </w:rPr>
        <w:t>, au travers d’</w:t>
      </w:r>
      <w:r>
        <w:rPr>
          <w:rFonts w:cs="Arial"/>
          <w:szCs w:val="22"/>
        </w:rPr>
        <w:t xml:space="preserve">initiatives spécifiques </w:t>
      </w:r>
      <w:r w:rsidR="008474AF">
        <w:rPr>
          <w:rFonts w:cs="Arial"/>
          <w:szCs w:val="22"/>
        </w:rPr>
        <w:t>aux</w:t>
      </w:r>
      <w:r>
        <w:rPr>
          <w:rFonts w:cs="Arial"/>
          <w:szCs w:val="22"/>
        </w:rPr>
        <w:t xml:space="preserve"> pays.</w:t>
      </w:r>
    </w:p>
    <w:p w14:paraId="1F988DC3" w14:textId="3061E05E" w:rsidR="00D11996" w:rsidRDefault="000B0CCC" w:rsidP="00C90756">
      <w:pPr>
        <w:spacing w:after="0"/>
        <w:rPr>
          <w:rFonts w:cs="Arial"/>
          <w:szCs w:val="22"/>
        </w:rPr>
      </w:pPr>
      <w:r>
        <w:rPr>
          <w:rFonts w:cs="Arial"/>
          <w:szCs w:val="22"/>
        </w:rPr>
        <w:t xml:space="preserve">Il n’existe aujourd’hui pas de projet spécifique financé par l’ICF en République du Congo mais plus d’une dizaine de programme régionaux ont </w:t>
      </w:r>
      <w:r w:rsidR="008474AF">
        <w:rPr>
          <w:rFonts w:cs="Arial"/>
          <w:szCs w:val="22"/>
        </w:rPr>
        <w:t>été mis en place en Afrique Sub-</w:t>
      </w:r>
      <w:r>
        <w:rPr>
          <w:rFonts w:cs="Arial"/>
          <w:szCs w:val="22"/>
        </w:rPr>
        <w:t xml:space="preserve">saharienne. Les plus importants étant le programme énergie verte en Afrique (39,6 millions </w:t>
      </w:r>
      <w:r w:rsidR="00B0444B">
        <w:rPr>
          <w:rFonts w:cs="Arial"/>
          <w:szCs w:val="22"/>
        </w:rPr>
        <w:t>d’USD</w:t>
      </w:r>
      <w:r>
        <w:rPr>
          <w:rFonts w:cs="Arial"/>
          <w:szCs w:val="22"/>
        </w:rPr>
        <w:t xml:space="preserve">), de résilience climatique de l’Agriculture en Afrique (16,9 millions </w:t>
      </w:r>
      <w:r w:rsidR="00B0444B">
        <w:rPr>
          <w:rFonts w:cs="Arial"/>
          <w:szCs w:val="22"/>
        </w:rPr>
        <w:t>d’USD</w:t>
      </w:r>
      <w:r>
        <w:rPr>
          <w:rFonts w:cs="Arial"/>
          <w:szCs w:val="22"/>
        </w:rPr>
        <w:t xml:space="preserve">) et le programme de partenariat énergie et environnement avec les pays d’Afrique du l’est et du sud (15,3 millions </w:t>
      </w:r>
      <w:r w:rsidR="00B0444B">
        <w:rPr>
          <w:rFonts w:cs="Arial"/>
          <w:szCs w:val="22"/>
        </w:rPr>
        <w:t>d’USD</w:t>
      </w:r>
      <w:r>
        <w:rPr>
          <w:rFonts w:cs="Arial"/>
          <w:szCs w:val="22"/>
        </w:rPr>
        <w:t>)</w:t>
      </w:r>
      <w:r>
        <w:rPr>
          <w:rStyle w:val="FootnoteReference"/>
          <w:rFonts w:cs="Arial"/>
          <w:szCs w:val="22"/>
        </w:rPr>
        <w:footnoteReference w:id="54"/>
      </w:r>
      <w:r w:rsidR="00BA65C9">
        <w:rPr>
          <w:rFonts w:cs="Arial"/>
          <w:szCs w:val="22"/>
        </w:rPr>
        <w:t>.</w:t>
      </w:r>
    </w:p>
    <w:p w14:paraId="1FD0D0CC" w14:textId="77777777" w:rsidR="00813617" w:rsidRDefault="00813617" w:rsidP="008B0EB3">
      <w:pPr>
        <w:pStyle w:val="Heading4"/>
        <w:numPr>
          <w:ilvl w:val="2"/>
          <w:numId w:val="13"/>
        </w:numPr>
        <w:rPr>
          <w:lang w:val="fr-FR"/>
        </w:rPr>
      </w:pPr>
      <w:r w:rsidRPr="00D11996">
        <w:rPr>
          <w:lang w:val="fr-FR"/>
        </w:rPr>
        <w:t>La Norvège</w:t>
      </w:r>
    </w:p>
    <w:p w14:paraId="462CDB81" w14:textId="45C54DA6" w:rsidR="008474AF" w:rsidRPr="008474AF" w:rsidRDefault="008474AF" w:rsidP="008474AF">
      <w:pPr>
        <w:rPr>
          <w:i/>
          <w:color w:val="DD8047" w:themeColor="accent2"/>
          <w:lang w:eastAsia="en-US"/>
        </w:rPr>
      </w:pPr>
      <w:r w:rsidRPr="008474AF">
        <w:rPr>
          <w:rStyle w:val="st"/>
          <w:rFonts w:eastAsiaTheme="majorEastAsia"/>
          <w:i/>
          <w:color w:val="DD8047" w:themeColor="accent2"/>
        </w:rPr>
        <w:t>Agence norvégienne pour le développement international (NORAD)</w:t>
      </w:r>
      <w:r w:rsidRPr="008474AF">
        <w:rPr>
          <w:rStyle w:val="FootnoteReference"/>
        </w:rPr>
        <w:t xml:space="preserve"> </w:t>
      </w:r>
      <w:r>
        <w:rPr>
          <w:rStyle w:val="FootnoteReference"/>
        </w:rPr>
        <w:footnoteReference w:id="55"/>
      </w:r>
    </w:p>
    <w:p w14:paraId="006AC2B8" w14:textId="017C8445" w:rsidR="002F077A" w:rsidRDefault="00813BE9" w:rsidP="00813BE9">
      <w:r>
        <w:t>Le NORAD est une direction du ministère norvégien des Affaires étrangères (MAE) en charge de la gestion de l’APD. La République du Congo ne fait pas partie des pays prioritaire</w:t>
      </w:r>
      <w:r w:rsidR="008474AF">
        <w:t>s</w:t>
      </w:r>
      <w:r>
        <w:t xml:space="preserve"> du NORAD bénéficiant d’appuis bilatéraux. </w:t>
      </w:r>
      <w:r w:rsidR="002F077A">
        <w:t>En 2015, selon les statistiques du NORAD, l’</w:t>
      </w:r>
      <w:r w:rsidR="008474AF">
        <w:t>APD bilatérale reçue</w:t>
      </w:r>
      <w:r w:rsidR="002F077A">
        <w:t xml:space="preserve"> par la République du Congo est de 240 000 dollars, pour la majorité versé à une ONG dans le secteur de la santé.</w:t>
      </w:r>
    </w:p>
    <w:p w14:paraId="35E936BD" w14:textId="2D5651B8" w:rsidR="00BA65C9" w:rsidRDefault="000C1492" w:rsidP="00813BE9">
      <w:r>
        <w:t>La Norvège est néanmoins importante de par la place importante qu’elle tient au niveau international dans les financements public</w:t>
      </w:r>
      <w:r w:rsidR="008474AF">
        <w:t>s</w:t>
      </w:r>
      <w:r>
        <w:t xml:space="preserve"> dédiés aux chang</w:t>
      </w:r>
      <w:r w:rsidR="00C7636A">
        <w:t xml:space="preserve">ements climatiques dans les </w:t>
      </w:r>
      <w:r w:rsidR="008474AF">
        <w:t>PED</w:t>
      </w:r>
      <w:r>
        <w:t xml:space="preserve">. Selon </w:t>
      </w:r>
      <w:proofErr w:type="spellStart"/>
      <w:r w:rsidR="00C7636A">
        <w:t>Torvanger</w:t>
      </w:r>
      <w:proofErr w:type="spellEnd"/>
      <w:r w:rsidR="00C7636A">
        <w:t xml:space="preserve"> </w:t>
      </w:r>
      <w:r w:rsidR="00C7636A" w:rsidRPr="00C7636A">
        <w:rPr>
          <w:i/>
        </w:rPr>
        <w:t xml:space="preserve">et al. </w:t>
      </w:r>
      <w:r w:rsidR="00C7636A">
        <w:t xml:space="preserve">(2015), </w:t>
      </w:r>
      <w:r>
        <w:t>en 2014</w:t>
      </w:r>
      <w:r w:rsidR="00C7636A">
        <w:t>,</w:t>
      </w:r>
      <w:r>
        <w:t xml:space="preserve"> le montant annuel des financements climat publics de la Norvège dédiés aux PED a été estimé à 1 142 millions </w:t>
      </w:r>
      <w:r w:rsidR="00B0444B">
        <w:t>d’USD</w:t>
      </w:r>
      <w:r>
        <w:t>. Ces financements inclus toutes les sources de financements publics dont les contributions aux institutions multilatérales, aux fonds climatiques et les financements non concessionnels.</w:t>
      </w:r>
    </w:p>
    <w:p w14:paraId="0E395556" w14:textId="2BAA466E" w:rsidR="00CA298C" w:rsidRPr="00CA298C" w:rsidRDefault="00CA298C" w:rsidP="00813BE9">
      <w:pPr>
        <w:rPr>
          <w:i/>
          <w:color w:val="DD8047" w:themeColor="accent2"/>
        </w:rPr>
      </w:pPr>
      <w:r>
        <w:rPr>
          <w:i/>
          <w:color w:val="DD8047" w:themeColor="accent2"/>
        </w:rPr>
        <w:t xml:space="preserve">Les fonds et initiatives </w:t>
      </w:r>
    </w:p>
    <w:p w14:paraId="3BE73E4B" w14:textId="2C32F4FF" w:rsidR="00813617" w:rsidRDefault="00C7636A" w:rsidP="008B0EB3">
      <w:pPr>
        <w:pStyle w:val="ListParagraph"/>
        <w:numPr>
          <w:ilvl w:val="0"/>
          <w:numId w:val="31"/>
        </w:numPr>
        <w:rPr>
          <w:color w:val="548AB7" w:themeColor="accent1" w:themeShade="BF"/>
          <w:lang w:val="en-US"/>
        </w:rPr>
      </w:pPr>
      <w:r>
        <w:rPr>
          <w:color w:val="548AB7" w:themeColor="accent1" w:themeShade="BF"/>
        </w:rPr>
        <w:t>L’initiative Forêt Climat Internationale</w:t>
      </w:r>
      <w:r w:rsidR="002F077A" w:rsidRPr="000C1492">
        <w:rPr>
          <w:color w:val="548AB7" w:themeColor="accent1" w:themeShade="BF"/>
        </w:rPr>
        <w:t xml:space="preserve"> </w:t>
      </w:r>
      <w:r w:rsidR="00586032" w:rsidRPr="00865E2A">
        <w:rPr>
          <w:color w:val="548AB7" w:themeColor="accent1" w:themeShade="BF"/>
          <w:lang w:val="en-US"/>
        </w:rPr>
        <w:t>(</w:t>
      </w:r>
      <w:r w:rsidR="00813617" w:rsidRPr="00865E2A">
        <w:rPr>
          <w:color w:val="548AB7" w:themeColor="accent1" w:themeShade="BF"/>
          <w:lang w:val="en-US"/>
        </w:rPr>
        <w:t>International Climate Forest Initiative</w:t>
      </w:r>
      <w:r w:rsidR="00586032" w:rsidRPr="00865E2A">
        <w:rPr>
          <w:color w:val="548AB7" w:themeColor="accent1" w:themeShade="BF"/>
          <w:lang w:val="en-US"/>
        </w:rPr>
        <w:t xml:space="preserve"> – </w:t>
      </w:r>
      <w:r w:rsidR="00AC7088">
        <w:rPr>
          <w:color w:val="548AB7" w:themeColor="accent1" w:themeShade="BF"/>
          <w:lang w:val="en-US"/>
        </w:rPr>
        <w:t>N</w:t>
      </w:r>
      <w:r w:rsidR="00586032" w:rsidRPr="00865E2A">
        <w:rPr>
          <w:color w:val="548AB7" w:themeColor="accent1" w:themeShade="BF"/>
          <w:lang w:val="en-US"/>
        </w:rPr>
        <w:t>ICFI</w:t>
      </w:r>
      <w:r w:rsidR="00813617" w:rsidRPr="00865E2A">
        <w:rPr>
          <w:color w:val="548AB7" w:themeColor="accent1" w:themeShade="BF"/>
          <w:lang w:val="en-US"/>
        </w:rPr>
        <w:t>)</w:t>
      </w:r>
      <w:r w:rsidR="009E0719">
        <w:rPr>
          <w:rStyle w:val="FootnoteReference"/>
          <w:color w:val="548AB7" w:themeColor="accent1" w:themeShade="BF"/>
          <w:lang w:val="en-US"/>
        </w:rPr>
        <w:footnoteReference w:id="56"/>
      </w:r>
    </w:p>
    <w:p w14:paraId="149A11A8" w14:textId="33C79D0A" w:rsidR="009708B1" w:rsidRDefault="008474AF" w:rsidP="00C7636A">
      <w:r>
        <w:t>Créé en a</w:t>
      </w:r>
      <w:r w:rsidR="00AC7088" w:rsidRPr="009708B1">
        <w:t xml:space="preserve">vril 2008, le NICFI vise à appuyer les </w:t>
      </w:r>
      <w:r>
        <w:t xml:space="preserve">PED </w:t>
      </w:r>
      <w:r w:rsidR="00AC7088" w:rsidRPr="009708B1">
        <w:t>dans le cadre de la REDD+. A cet effet, la Norvège s’est engagé</w:t>
      </w:r>
      <w:r>
        <w:t>e</w:t>
      </w:r>
      <w:r w:rsidR="00AC7088" w:rsidRPr="009708B1">
        <w:t xml:space="preserve"> à contribuer à hauteur de 3 milliard de NOK</w:t>
      </w:r>
      <w:r w:rsidR="009708B1" w:rsidRPr="009708B1">
        <w:t xml:space="preserve"> par an</w:t>
      </w:r>
      <w:r w:rsidR="00AC7088" w:rsidRPr="009708B1">
        <w:t xml:space="preserve"> (soit </w:t>
      </w:r>
      <w:r w:rsidR="009708B1" w:rsidRPr="009708B1">
        <w:t xml:space="preserve">environ 370 millions </w:t>
      </w:r>
      <w:r w:rsidR="00B0444B">
        <w:t>d’USD</w:t>
      </w:r>
      <w:r>
        <w:t>) pour les acti</w:t>
      </w:r>
      <w:r w:rsidR="009708B1" w:rsidRPr="009708B1">
        <w:t>ons en faveur de la</w:t>
      </w:r>
      <w:r>
        <w:t xml:space="preserve"> préservation de la</w:t>
      </w:r>
      <w:r w:rsidR="009708B1" w:rsidRPr="009708B1">
        <w:t xml:space="preserve"> forêt tropicale</w:t>
      </w:r>
      <w:r w:rsidR="009708B1">
        <w:t>.</w:t>
      </w:r>
    </w:p>
    <w:p w14:paraId="0B991A9B" w14:textId="0BE06194" w:rsidR="009E0719" w:rsidRDefault="009708B1" w:rsidP="008474AF">
      <w:pPr>
        <w:spacing w:after="0"/>
      </w:pPr>
      <w:r>
        <w:t>Les fonds NICFI sont attribués</w:t>
      </w:r>
      <w:r w:rsidR="009E0719">
        <w:t> via différents circuits</w:t>
      </w:r>
      <w:r w:rsidR="009C2413">
        <w:t xml:space="preserve"> bilatéraux et multilatéraux. P</w:t>
      </w:r>
      <w:r w:rsidR="009E0719">
        <w:t>armi les principaux, on peut citer </w:t>
      </w:r>
      <w:r w:rsidR="008474AF">
        <w:t>les financements attribués</w:t>
      </w:r>
      <w:r w:rsidR="009E0719">
        <w:t>:</w:t>
      </w:r>
    </w:p>
    <w:p w14:paraId="5C267828" w14:textId="29577E22" w:rsidR="009708B1" w:rsidRDefault="009708B1" w:rsidP="008B0EB3">
      <w:pPr>
        <w:pStyle w:val="ListParagraph"/>
        <w:numPr>
          <w:ilvl w:val="0"/>
          <w:numId w:val="39"/>
        </w:numPr>
      </w:pPr>
      <w:r>
        <w:t xml:space="preserve">directement aux pays </w:t>
      </w:r>
      <w:r w:rsidR="009E0719">
        <w:t>au titre de la préparation, la mise en œuvre du REDD+ et de paiements aux résultats p</w:t>
      </w:r>
      <w:r w:rsidR="002854AA">
        <w:t>lus</w:t>
      </w:r>
      <w:r w:rsidR="009E0719">
        <w:t xml:space="preserve"> de 920 millions </w:t>
      </w:r>
      <w:r w:rsidR="00B0444B">
        <w:t>d’USD</w:t>
      </w:r>
      <w:r w:rsidR="009E0719">
        <w:t xml:space="preserve"> ont été attribués au Brésil, Indonésie, Guyana, Tanzani</w:t>
      </w:r>
      <w:r w:rsidR="002854AA">
        <w:t>e, Vietnam, Mexique et Ethiopie. D’autres pays seront bénéficiaires de ces financements bilatéraux notamment la Colombie, le Pérou, le Libéria et les pays du Bassin du Congo dont la République du Congo à travers le CAFI qui mobilisera environ 50 millions d’USD/an</w:t>
      </w:r>
      <w:r w:rsidR="009E0719">
        <w:t>;</w:t>
      </w:r>
    </w:p>
    <w:p w14:paraId="6762258F" w14:textId="6D0186C3" w:rsidR="009E0719" w:rsidRDefault="009E0719" w:rsidP="008B0EB3">
      <w:pPr>
        <w:pStyle w:val="ListParagraph"/>
        <w:numPr>
          <w:ilvl w:val="0"/>
          <w:numId w:val="39"/>
        </w:numPr>
      </w:pPr>
      <w:r>
        <w:t xml:space="preserve">aux fonds et programmes climatiques (ONU REDD, FCPF, FIP, CBFF, etc.) avec une contribution estimée à 610 millions </w:t>
      </w:r>
      <w:r w:rsidR="00B0444B">
        <w:t>d’USD</w:t>
      </w:r>
      <w:r>
        <w:t> ;</w:t>
      </w:r>
    </w:p>
    <w:p w14:paraId="65E0284F" w14:textId="6B4F4185" w:rsidR="009E0719" w:rsidRDefault="009E0719" w:rsidP="008B0EB3">
      <w:pPr>
        <w:pStyle w:val="ListParagraph"/>
        <w:numPr>
          <w:ilvl w:val="0"/>
          <w:numId w:val="39"/>
        </w:numPr>
      </w:pPr>
      <w:r>
        <w:t xml:space="preserve">aux organisations de la société civile (155 millions </w:t>
      </w:r>
      <w:r w:rsidR="00B0444B">
        <w:t>d’USD</w:t>
      </w:r>
      <w:r>
        <w:t>).</w:t>
      </w:r>
    </w:p>
    <w:p w14:paraId="1C5C04E9" w14:textId="4AF43110" w:rsidR="009E0719" w:rsidRPr="009708B1" w:rsidRDefault="0026452C" w:rsidP="009E0719">
      <w:r>
        <w:t>Au-delà</w:t>
      </w:r>
      <w:r w:rsidR="009E0719">
        <w:t xml:space="preserve"> des financements NICFI à travers les programmes et fonds internationaux tels que </w:t>
      </w:r>
      <w:r w:rsidR="008474AF">
        <w:t xml:space="preserve">le programme ONU </w:t>
      </w:r>
      <w:r>
        <w:t xml:space="preserve">REDD, le FCPF et le FIP, la Norvège appui spécifiquement les pays du Bassin du Congo au travers de sa participation au CBFF administré par la BAD à hauteur de 62 millions d’USD. </w:t>
      </w:r>
    </w:p>
    <w:p w14:paraId="5E4A0A32" w14:textId="30AF8FFA" w:rsidR="001E7D72" w:rsidRDefault="001E7D72" w:rsidP="008B0EB3">
      <w:pPr>
        <w:pStyle w:val="Heading4"/>
        <w:numPr>
          <w:ilvl w:val="2"/>
          <w:numId w:val="13"/>
        </w:numPr>
      </w:pPr>
      <w:bookmarkStart w:id="42" w:name="_Ref448939883"/>
      <w:r>
        <w:lastRenderedPageBreak/>
        <w:t>La Chine</w:t>
      </w:r>
      <w:bookmarkEnd w:id="42"/>
    </w:p>
    <w:p w14:paraId="3E4C8B33" w14:textId="4A8A1F3F" w:rsidR="006C0164" w:rsidRPr="00D257FE" w:rsidRDefault="000923E0" w:rsidP="00D257FE">
      <w:pPr>
        <w:autoSpaceDE w:val="0"/>
        <w:autoSpaceDN w:val="0"/>
        <w:adjustRightInd w:val="0"/>
        <w:rPr>
          <w:rFonts w:eastAsiaTheme="minorHAnsi" w:cs="HelveticaNeue-Light"/>
          <w:szCs w:val="22"/>
          <w:lang w:eastAsia="en-US"/>
        </w:rPr>
      </w:pPr>
      <w:r w:rsidRPr="00D257FE">
        <w:rPr>
          <w:szCs w:val="22"/>
        </w:rPr>
        <w:t xml:space="preserve">Le programme d’aide de la Chine </w:t>
      </w:r>
      <w:r w:rsidRPr="00D257FE">
        <w:rPr>
          <w:rFonts w:eastAsiaTheme="minorHAnsi" w:cs="HelveticaNeue-Light"/>
          <w:szCs w:val="22"/>
          <w:lang w:eastAsia="en-US"/>
        </w:rPr>
        <w:t xml:space="preserve">est organisé par le département de l’aide étrangère au sein du ministère du Commerce, qui coopère avec le ministère </w:t>
      </w:r>
      <w:r w:rsidR="00814FF6" w:rsidRPr="00D257FE">
        <w:rPr>
          <w:rFonts w:eastAsiaTheme="minorHAnsi" w:cs="HelveticaNeue-Light"/>
          <w:szCs w:val="22"/>
          <w:lang w:eastAsia="en-US"/>
        </w:rPr>
        <w:t xml:space="preserve">des Affaires étrangères. Ce </w:t>
      </w:r>
      <w:r w:rsidRPr="00D257FE">
        <w:rPr>
          <w:rFonts w:eastAsiaTheme="minorHAnsi" w:cs="HelveticaNeue-Light"/>
          <w:szCs w:val="22"/>
          <w:lang w:eastAsia="en-US"/>
        </w:rPr>
        <w:t xml:space="preserve">département </w:t>
      </w:r>
      <w:r w:rsidR="00814FF6" w:rsidRPr="00D257FE">
        <w:rPr>
          <w:rFonts w:eastAsiaTheme="minorHAnsi" w:cs="HelveticaNeue-Light"/>
          <w:szCs w:val="22"/>
          <w:lang w:eastAsia="en-US"/>
        </w:rPr>
        <w:t xml:space="preserve">gère le programme </w:t>
      </w:r>
      <w:r w:rsidRPr="00D257FE">
        <w:rPr>
          <w:rFonts w:eastAsiaTheme="minorHAnsi" w:cs="HelveticaNeue-Light"/>
          <w:szCs w:val="22"/>
          <w:lang w:eastAsia="en-US"/>
        </w:rPr>
        <w:t xml:space="preserve">de dons de la Chine, </w:t>
      </w:r>
      <w:r w:rsidR="000333BF">
        <w:rPr>
          <w:rFonts w:eastAsiaTheme="minorHAnsi" w:cs="HelveticaNeue-Light"/>
          <w:szCs w:val="22"/>
          <w:lang w:eastAsia="en-US"/>
        </w:rPr>
        <w:t>les</w:t>
      </w:r>
      <w:r w:rsidRPr="00D257FE">
        <w:rPr>
          <w:rFonts w:eastAsiaTheme="minorHAnsi" w:cs="HelveticaNeue-Light"/>
          <w:szCs w:val="22"/>
          <w:lang w:eastAsia="en-US"/>
        </w:rPr>
        <w:t xml:space="preserve"> prêts d’aide à taux zéro ainsi que</w:t>
      </w:r>
      <w:r w:rsidR="00814FF6" w:rsidRPr="00D257FE">
        <w:rPr>
          <w:rFonts w:eastAsiaTheme="minorHAnsi" w:cs="HelveticaNeue-Light"/>
          <w:szCs w:val="22"/>
          <w:lang w:eastAsia="en-US"/>
        </w:rPr>
        <w:t xml:space="preserve"> </w:t>
      </w:r>
      <w:r w:rsidRPr="00D257FE">
        <w:rPr>
          <w:rFonts w:eastAsiaTheme="minorHAnsi" w:cs="HelveticaNeue-Light"/>
          <w:szCs w:val="22"/>
          <w:lang w:eastAsia="en-US"/>
        </w:rPr>
        <w:t>l’assistance technique.</w:t>
      </w:r>
      <w:r w:rsidR="00814FF6" w:rsidRPr="00D257FE">
        <w:rPr>
          <w:rFonts w:eastAsiaTheme="minorHAnsi" w:cs="HelveticaNeue-Light"/>
          <w:szCs w:val="22"/>
          <w:lang w:eastAsia="en-US"/>
        </w:rPr>
        <w:t xml:space="preserve"> Sous la direction du ministère </w:t>
      </w:r>
      <w:r w:rsidRPr="00D257FE">
        <w:rPr>
          <w:rFonts w:eastAsiaTheme="minorHAnsi" w:cs="HelveticaNeue-Light"/>
          <w:szCs w:val="22"/>
          <w:lang w:eastAsia="en-US"/>
        </w:rPr>
        <w:t>du Commerce, la</w:t>
      </w:r>
      <w:r w:rsidR="00814FF6" w:rsidRPr="00D257FE">
        <w:rPr>
          <w:rFonts w:eastAsiaTheme="minorHAnsi" w:cs="HelveticaNeue-Light"/>
          <w:szCs w:val="22"/>
          <w:lang w:eastAsia="en-US"/>
        </w:rPr>
        <w:t xml:space="preserve"> China </w:t>
      </w:r>
      <w:proofErr w:type="spellStart"/>
      <w:r w:rsidR="00814FF6" w:rsidRPr="00D257FE">
        <w:rPr>
          <w:rFonts w:eastAsiaTheme="minorHAnsi" w:cs="HelveticaNeue-Light"/>
          <w:szCs w:val="22"/>
          <w:lang w:eastAsia="en-US"/>
        </w:rPr>
        <w:t>Exim</w:t>
      </w:r>
      <w:proofErr w:type="spellEnd"/>
      <w:r w:rsidR="00814FF6" w:rsidRPr="00D257FE">
        <w:rPr>
          <w:rFonts w:eastAsiaTheme="minorHAnsi" w:cs="HelveticaNeue-Light"/>
          <w:szCs w:val="22"/>
          <w:lang w:eastAsia="en-US"/>
        </w:rPr>
        <w:t xml:space="preserve"> Bank</w:t>
      </w:r>
      <w:r w:rsidR="006C0164" w:rsidRPr="00D257FE">
        <w:rPr>
          <w:rFonts w:eastAsiaTheme="minorHAnsi" w:cs="HelveticaNeue-Light"/>
          <w:szCs w:val="22"/>
          <w:lang w:eastAsia="en-US"/>
        </w:rPr>
        <w:t>,</w:t>
      </w:r>
      <w:r w:rsidR="00814FF6" w:rsidRPr="00D257FE">
        <w:rPr>
          <w:rFonts w:eastAsiaTheme="minorHAnsi" w:cs="HelveticaNeue-Light"/>
          <w:szCs w:val="22"/>
          <w:lang w:eastAsia="en-US"/>
        </w:rPr>
        <w:t xml:space="preserve"> </w:t>
      </w:r>
      <w:r w:rsidR="00814FF6" w:rsidRPr="00D257FE">
        <w:rPr>
          <w:rFonts w:eastAsiaTheme="minorHAnsi" w:cs="HelveticaNeue-Light"/>
          <w:color w:val="000000"/>
          <w:szCs w:val="22"/>
          <w:lang w:eastAsia="en-US"/>
        </w:rPr>
        <w:t>créée en 1994</w:t>
      </w:r>
      <w:r w:rsidR="006C0164" w:rsidRPr="00D257FE">
        <w:rPr>
          <w:rFonts w:eastAsiaTheme="minorHAnsi" w:cs="HelveticaNeue-Light"/>
          <w:color w:val="000000"/>
          <w:szCs w:val="22"/>
          <w:lang w:eastAsia="en-US"/>
        </w:rPr>
        <w:t>,</w:t>
      </w:r>
      <w:r w:rsidR="00814FF6" w:rsidRPr="00D257FE">
        <w:rPr>
          <w:rFonts w:eastAsiaTheme="minorHAnsi" w:cs="HelveticaNeue-Light"/>
          <w:color w:val="000000"/>
          <w:szCs w:val="22"/>
          <w:lang w:eastAsia="en-US"/>
        </w:rPr>
        <w:t xml:space="preserve"> </w:t>
      </w:r>
      <w:r w:rsidR="00814FF6" w:rsidRPr="00D257FE">
        <w:rPr>
          <w:rFonts w:eastAsiaTheme="minorHAnsi" w:cs="HelveticaNeue-Light"/>
          <w:szCs w:val="22"/>
          <w:lang w:eastAsia="en-US"/>
        </w:rPr>
        <w:t xml:space="preserve">administre les </w:t>
      </w:r>
      <w:r w:rsidRPr="00D257FE">
        <w:rPr>
          <w:rFonts w:eastAsiaTheme="minorHAnsi" w:cs="HelveticaNeue-Light"/>
          <w:szCs w:val="22"/>
          <w:lang w:eastAsia="en-US"/>
        </w:rPr>
        <w:t>programmes chinois de</w:t>
      </w:r>
      <w:r w:rsidR="00814FF6" w:rsidRPr="00D257FE">
        <w:rPr>
          <w:rFonts w:eastAsiaTheme="minorHAnsi" w:cs="HelveticaNeue-Light"/>
          <w:szCs w:val="22"/>
          <w:lang w:eastAsia="en-US"/>
        </w:rPr>
        <w:t xml:space="preserve"> prêts concessionnels au </w:t>
      </w:r>
      <w:r w:rsidRPr="00D257FE">
        <w:rPr>
          <w:rFonts w:eastAsiaTheme="minorHAnsi" w:cs="HelveticaNeue-Light"/>
          <w:szCs w:val="22"/>
          <w:lang w:eastAsia="en-US"/>
        </w:rPr>
        <w:t xml:space="preserve">titre de l’aide </w:t>
      </w:r>
      <w:r w:rsidR="00814FF6" w:rsidRPr="00D257FE">
        <w:rPr>
          <w:rFonts w:eastAsiaTheme="minorHAnsi" w:cs="HelveticaNeue-Light"/>
          <w:szCs w:val="22"/>
          <w:lang w:eastAsia="en-US"/>
        </w:rPr>
        <w:t xml:space="preserve">au moyen de subventions émanant </w:t>
      </w:r>
      <w:r w:rsidRPr="00D257FE">
        <w:rPr>
          <w:rFonts w:eastAsiaTheme="minorHAnsi" w:cs="HelveticaNeue-Light"/>
          <w:szCs w:val="22"/>
          <w:lang w:eastAsia="en-US"/>
        </w:rPr>
        <w:t>du budget d’ai</w:t>
      </w:r>
      <w:r w:rsidR="00814FF6" w:rsidRPr="00D257FE">
        <w:rPr>
          <w:rFonts w:eastAsiaTheme="minorHAnsi" w:cs="HelveticaNeue-Light"/>
          <w:szCs w:val="22"/>
          <w:lang w:eastAsia="en-US"/>
        </w:rPr>
        <w:t xml:space="preserve">de étrangère pour assouplir les </w:t>
      </w:r>
      <w:r w:rsidRPr="00D257FE">
        <w:rPr>
          <w:rFonts w:eastAsiaTheme="minorHAnsi" w:cs="HelveticaNeue-Light"/>
          <w:szCs w:val="22"/>
          <w:lang w:eastAsia="en-US"/>
        </w:rPr>
        <w:t>conditions de ses prêts concessionnels</w:t>
      </w:r>
      <w:r w:rsidR="00305879">
        <w:rPr>
          <w:rFonts w:eastAsiaTheme="minorHAnsi" w:cs="HelveticaNeue-Light"/>
          <w:szCs w:val="22"/>
          <w:lang w:eastAsia="en-US"/>
        </w:rPr>
        <w:t xml:space="preserve"> (BAD, 2011)</w:t>
      </w:r>
      <w:r w:rsidRPr="00D257FE">
        <w:rPr>
          <w:rFonts w:eastAsiaTheme="minorHAnsi" w:cs="HelveticaNeue-Light"/>
          <w:szCs w:val="22"/>
          <w:lang w:eastAsia="en-US"/>
        </w:rPr>
        <w:t>.</w:t>
      </w:r>
      <w:r w:rsidR="00814FF6" w:rsidRPr="00D257FE">
        <w:rPr>
          <w:rFonts w:eastAsiaTheme="minorHAnsi" w:cs="HelveticaNeue-Light"/>
          <w:szCs w:val="22"/>
          <w:lang w:eastAsia="en-US"/>
        </w:rPr>
        <w:t xml:space="preserve"> La China </w:t>
      </w:r>
      <w:proofErr w:type="spellStart"/>
      <w:r w:rsidR="00814FF6" w:rsidRPr="00D257FE">
        <w:rPr>
          <w:rFonts w:eastAsiaTheme="minorHAnsi" w:cs="HelveticaNeue-Light"/>
          <w:szCs w:val="22"/>
          <w:lang w:eastAsia="en-US"/>
        </w:rPr>
        <w:t>Exim</w:t>
      </w:r>
      <w:proofErr w:type="spellEnd"/>
      <w:r w:rsidR="00814FF6" w:rsidRPr="00D257FE">
        <w:rPr>
          <w:rFonts w:eastAsiaTheme="minorHAnsi" w:cs="HelveticaNeue-Light"/>
          <w:szCs w:val="22"/>
          <w:lang w:eastAsia="en-US"/>
        </w:rPr>
        <w:t xml:space="preserve"> Bank est l’une des trois « </w:t>
      </w:r>
      <w:proofErr w:type="spellStart"/>
      <w:r w:rsidR="00814FF6" w:rsidRPr="00D257FE">
        <w:rPr>
          <w:rFonts w:eastAsiaTheme="minorHAnsi" w:cs="HelveticaNeue-Light"/>
          <w:szCs w:val="22"/>
          <w:lang w:eastAsia="en-US"/>
        </w:rPr>
        <w:t>policy</w:t>
      </w:r>
      <w:proofErr w:type="spellEnd"/>
      <w:r w:rsidR="00814FF6" w:rsidRPr="00D257FE">
        <w:rPr>
          <w:rFonts w:eastAsiaTheme="minorHAnsi" w:cs="HelveticaNeue-Light"/>
          <w:szCs w:val="22"/>
          <w:lang w:eastAsia="en-US"/>
        </w:rPr>
        <w:t xml:space="preserve"> </w:t>
      </w:r>
      <w:proofErr w:type="spellStart"/>
      <w:r w:rsidR="00814FF6" w:rsidRPr="00D257FE">
        <w:rPr>
          <w:rFonts w:eastAsiaTheme="minorHAnsi" w:cs="HelveticaNeue-Light"/>
          <w:szCs w:val="22"/>
          <w:lang w:eastAsia="en-US"/>
        </w:rPr>
        <w:t>banks</w:t>
      </w:r>
      <w:proofErr w:type="spellEnd"/>
      <w:r w:rsidR="00814FF6" w:rsidRPr="00D257FE">
        <w:rPr>
          <w:rFonts w:eastAsiaTheme="minorHAnsi" w:cs="HelveticaNeue-Light"/>
          <w:szCs w:val="22"/>
          <w:lang w:eastAsia="en-US"/>
        </w:rPr>
        <w:t xml:space="preserve"> »</w:t>
      </w:r>
      <w:r w:rsidR="00044C50" w:rsidRPr="00D257FE">
        <w:rPr>
          <w:rFonts w:eastAsiaTheme="minorHAnsi" w:cs="HelveticaNeue-Light"/>
          <w:szCs w:val="22"/>
          <w:lang w:eastAsia="en-US"/>
        </w:rPr>
        <w:t xml:space="preserve"> (Banque détenues par l’Etat en charge d</w:t>
      </w:r>
      <w:r w:rsidR="006C0164" w:rsidRPr="00D257FE">
        <w:rPr>
          <w:rFonts w:eastAsiaTheme="minorHAnsi" w:cs="HelveticaNeue-Light"/>
          <w:szCs w:val="22"/>
          <w:lang w:eastAsia="en-US"/>
        </w:rPr>
        <w:t>u financement du développement économique et du commerce et des projets investis par l’Etat</w:t>
      </w:r>
      <w:r w:rsidR="00044C50" w:rsidRPr="00D257FE">
        <w:rPr>
          <w:rFonts w:eastAsiaTheme="minorHAnsi" w:cs="HelveticaNeue-Light"/>
          <w:szCs w:val="22"/>
          <w:lang w:eastAsia="en-US"/>
        </w:rPr>
        <w:t>)</w:t>
      </w:r>
      <w:r w:rsidR="00814FF6" w:rsidRPr="00D257FE">
        <w:rPr>
          <w:rFonts w:eastAsiaTheme="minorHAnsi" w:cs="HelveticaNeue-Light"/>
          <w:szCs w:val="22"/>
          <w:lang w:eastAsia="en-US"/>
        </w:rPr>
        <w:t>, avec la Ba</w:t>
      </w:r>
      <w:r w:rsidR="00CA298C">
        <w:rPr>
          <w:rFonts w:eastAsiaTheme="minorHAnsi" w:cs="HelveticaNeue-Light"/>
          <w:szCs w:val="22"/>
          <w:lang w:eastAsia="en-US"/>
        </w:rPr>
        <w:t xml:space="preserve">nque chinoise de développement </w:t>
      </w:r>
      <w:r w:rsidR="00814FF6" w:rsidRPr="00D257FE">
        <w:rPr>
          <w:rFonts w:eastAsiaTheme="minorHAnsi" w:cs="HelveticaNeue-Light"/>
          <w:szCs w:val="22"/>
          <w:lang w:eastAsia="en-US"/>
        </w:rPr>
        <w:t>et la Banque de développement agricole</w:t>
      </w:r>
      <w:r w:rsidR="00044C50" w:rsidRPr="00D257FE">
        <w:rPr>
          <w:rFonts w:eastAsiaTheme="minorHAnsi" w:cs="HelveticaNeue-Light"/>
          <w:szCs w:val="22"/>
          <w:lang w:eastAsia="en-US"/>
        </w:rPr>
        <w:t>.</w:t>
      </w:r>
    </w:p>
    <w:p w14:paraId="283D22AB" w14:textId="61461018" w:rsidR="00044C50" w:rsidRPr="00D257FE" w:rsidRDefault="006C0164" w:rsidP="00D257FE">
      <w:pPr>
        <w:autoSpaceDE w:val="0"/>
        <w:autoSpaceDN w:val="0"/>
        <w:adjustRightInd w:val="0"/>
        <w:rPr>
          <w:rFonts w:eastAsiaTheme="minorHAnsi" w:cs="HelveticaNeue-Light"/>
          <w:color w:val="000000"/>
          <w:szCs w:val="22"/>
          <w:lang w:eastAsia="en-US"/>
        </w:rPr>
      </w:pPr>
      <w:r w:rsidRPr="00D257FE">
        <w:rPr>
          <w:rFonts w:eastAsiaTheme="minorHAnsi" w:cs="HelveticaNeue-Light"/>
          <w:color w:val="000000"/>
          <w:szCs w:val="22"/>
          <w:lang w:eastAsia="en-US"/>
        </w:rPr>
        <w:t xml:space="preserve">La China </w:t>
      </w:r>
      <w:proofErr w:type="spellStart"/>
      <w:r w:rsidRPr="00D257FE">
        <w:rPr>
          <w:rFonts w:eastAsiaTheme="minorHAnsi" w:cs="HelveticaNeue-Light"/>
          <w:color w:val="000000"/>
          <w:szCs w:val="22"/>
          <w:lang w:eastAsia="en-US"/>
        </w:rPr>
        <w:t>Exim</w:t>
      </w:r>
      <w:proofErr w:type="spellEnd"/>
      <w:r w:rsidRPr="00D257FE">
        <w:rPr>
          <w:rFonts w:eastAsiaTheme="minorHAnsi" w:cs="HelveticaNeue-Light"/>
          <w:color w:val="000000"/>
          <w:szCs w:val="22"/>
          <w:lang w:eastAsia="en-US"/>
        </w:rPr>
        <w:t xml:space="preserve"> Bank (China Export-Import Bank) a été </w:t>
      </w:r>
      <w:r w:rsidR="00FD34BC" w:rsidRPr="00D257FE">
        <w:rPr>
          <w:rFonts w:eastAsiaTheme="minorHAnsi" w:cs="HelveticaNeue-Light"/>
          <w:color w:val="000000"/>
          <w:szCs w:val="22"/>
          <w:lang w:eastAsia="en-US"/>
        </w:rPr>
        <w:t xml:space="preserve">créé </w:t>
      </w:r>
      <w:r w:rsidRPr="00D257FE">
        <w:rPr>
          <w:rFonts w:eastAsiaTheme="minorHAnsi" w:cs="HelveticaNeue-Light"/>
          <w:color w:val="000000"/>
          <w:szCs w:val="22"/>
          <w:lang w:eastAsia="en-US"/>
        </w:rPr>
        <w:t xml:space="preserve">afin de promouvoir les exportations et </w:t>
      </w:r>
      <w:r w:rsidR="00BA65C9">
        <w:rPr>
          <w:rFonts w:eastAsiaTheme="minorHAnsi" w:cs="HelveticaNeue-Light"/>
          <w:color w:val="000000"/>
          <w:szCs w:val="22"/>
          <w:lang w:eastAsia="en-US"/>
        </w:rPr>
        <w:t>l’IED</w:t>
      </w:r>
      <w:r w:rsidRPr="00D257FE">
        <w:rPr>
          <w:rFonts w:eastAsiaTheme="minorHAnsi" w:cs="HelveticaNeue-Light"/>
          <w:color w:val="000000"/>
          <w:szCs w:val="22"/>
          <w:lang w:eastAsia="en-US"/>
        </w:rPr>
        <w:t xml:space="preserve"> spécifiquement dans l’infrastructure (routes, centrales électriques, pipelines, télécommunications, etc.). Outre les dons et les prêts concessionnels, </w:t>
      </w:r>
      <w:r w:rsidR="00F11DAA" w:rsidRPr="00D257FE">
        <w:rPr>
          <w:rFonts w:eastAsiaTheme="minorHAnsi" w:cs="HelveticaNeue-Light"/>
          <w:color w:val="000000"/>
          <w:szCs w:val="22"/>
          <w:lang w:eastAsia="en-US"/>
        </w:rPr>
        <w:t xml:space="preserve">la China </w:t>
      </w:r>
      <w:proofErr w:type="spellStart"/>
      <w:r w:rsidR="00F11DAA" w:rsidRPr="00D257FE">
        <w:rPr>
          <w:rFonts w:eastAsiaTheme="minorHAnsi" w:cs="HelveticaNeue-Light"/>
          <w:color w:val="000000"/>
          <w:szCs w:val="22"/>
          <w:lang w:eastAsia="en-US"/>
        </w:rPr>
        <w:t>Exim</w:t>
      </w:r>
      <w:proofErr w:type="spellEnd"/>
      <w:r w:rsidR="00F11DAA" w:rsidRPr="00D257FE">
        <w:rPr>
          <w:rFonts w:eastAsiaTheme="minorHAnsi" w:cs="HelveticaNeue-Light"/>
          <w:color w:val="000000"/>
          <w:szCs w:val="22"/>
          <w:lang w:eastAsia="en-US"/>
        </w:rPr>
        <w:t xml:space="preserve"> Bank a développé des crédits acheteurs à l’exportation préférentiels, des crédits mixtes </w:t>
      </w:r>
      <w:r w:rsidR="00FD34BC" w:rsidRPr="00D257FE">
        <w:rPr>
          <w:rFonts w:eastAsiaTheme="minorHAnsi" w:cs="HelveticaNeue-Light"/>
          <w:color w:val="000000"/>
          <w:szCs w:val="22"/>
          <w:lang w:eastAsia="en-US"/>
        </w:rPr>
        <w:t>(</w:t>
      </w:r>
      <w:r w:rsidR="00F11DAA" w:rsidRPr="00D257FE">
        <w:rPr>
          <w:rFonts w:eastAsiaTheme="minorHAnsi" w:cs="HelveticaNeue-Light"/>
          <w:color w:val="000000"/>
          <w:szCs w:val="22"/>
          <w:lang w:eastAsia="en-US"/>
        </w:rPr>
        <w:t>combinant crédit ac</w:t>
      </w:r>
      <w:r w:rsidR="00482737">
        <w:rPr>
          <w:rFonts w:eastAsiaTheme="minorHAnsi" w:cs="HelveticaNeue-Light"/>
          <w:color w:val="000000"/>
          <w:szCs w:val="22"/>
          <w:lang w:eastAsia="en-US"/>
        </w:rPr>
        <w:t>he</w:t>
      </w:r>
      <w:r w:rsidR="00F11DAA" w:rsidRPr="00D257FE">
        <w:rPr>
          <w:rFonts w:eastAsiaTheme="minorHAnsi" w:cs="HelveticaNeue-Light"/>
          <w:color w:val="000000"/>
          <w:szCs w:val="22"/>
          <w:lang w:eastAsia="en-US"/>
        </w:rPr>
        <w:t>teur à l’exportation</w:t>
      </w:r>
      <w:r w:rsidR="00FD34BC" w:rsidRPr="00D257FE">
        <w:rPr>
          <w:rFonts w:eastAsiaTheme="minorHAnsi" w:cs="HelveticaNeue-Light"/>
          <w:color w:val="000000"/>
          <w:szCs w:val="22"/>
          <w:lang w:eastAsia="en-US"/>
        </w:rPr>
        <w:t>, crédits vendeurs à l’exportation et prêts préférentielles) et des lignes de crédits adossé</w:t>
      </w:r>
      <w:r w:rsidR="00CA298C">
        <w:rPr>
          <w:rFonts w:eastAsiaTheme="minorHAnsi" w:cs="HelveticaNeue-Light"/>
          <w:color w:val="000000"/>
          <w:szCs w:val="22"/>
          <w:lang w:eastAsia="en-US"/>
        </w:rPr>
        <w:t>e</w:t>
      </w:r>
      <w:r w:rsidR="00FD34BC" w:rsidRPr="00D257FE">
        <w:rPr>
          <w:rFonts w:eastAsiaTheme="minorHAnsi" w:cs="HelveticaNeue-Light"/>
          <w:color w:val="000000"/>
          <w:szCs w:val="22"/>
          <w:lang w:eastAsia="en-US"/>
        </w:rPr>
        <w:t xml:space="preserve">s </w:t>
      </w:r>
      <w:r w:rsidR="00CA298C">
        <w:rPr>
          <w:rFonts w:eastAsiaTheme="minorHAnsi" w:cs="HelveticaNeue-Light"/>
          <w:color w:val="000000"/>
          <w:szCs w:val="22"/>
          <w:lang w:eastAsia="en-US"/>
        </w:rPr>
        <w:t xml:space="preserve">aux </w:t>
      </w:r>
      <w:r w:rsidR="00FD34BC" w:rsidRPr="00D257FE">
        <w:rPr>
          <w:rFonts w:eastAsiaTheme="minorHAnsi" w:cs="HelveticaNeue-Light"/>
          <w:color w:val="000000"/>
          <w:szCs w:val="22"/>
          <w:lang w:eastAsia="en-US"/>
        </w:rPr>
        <w:t>matières premières (cas de la construction du barrage d’</w:t>
      </w:r>
      <w:proofErr w:type="spellStart"/>
      <w:r w:rsidR="00305879">
        <w:rPr>
          <w:rFonts w:eastAsiaTheme="minorHAnsi" w:cs="HelveticaNeue-Light"/>
          <w:color w:val="000000"/>
          <w:szCs w:val="22"/>
          <w:lang w:eastAsia="en-US"/>
        </w:rPr>
        <w:t>Imboulou</w:t>
      </w:r>
      <w:proofErr w:type="spellEnd"/>
      <w:r w:rsidR="00305879">
        <w:rPr>
          <w:rFonts w:eastAsiaTheme="minorHAnsi" w:cs="HelveticaNeue-Light"/>
          <w:color w:val="000000"/>
          <w:szCs w:val="22"/>
          <w:lang w:eastAsia="en-US"/>
        </w:rPr>
        <w:t>) (BAD, 2011).</w:t>
      </w:r>
      <w:r w:rsidR="00F11DAA" w:rsidRPr="00D257FE">
        <w:rPr>
          <w:rFonts w:eastAsiaTheme="minorHAnsi" w:cs="HelveticaNeue-Light"/>
          <w:color w:val="000000"/>
          <w:szCs w:val="22"/>
          <w:lang w:eastAsia="en-US"/>
        </w:rPr>
        <w:t xml:space="preserve"> </w:t>
      </w:r>
    </w:p>
    <w:p w14:paraId="7B31DCC7" w14:textId="5F5C072C" w:rsidR="006C0164" w:rsidRPr="00D257FE" w:rsidRDefault="006C0164" w:rsidP="00D257FE">
      <w:pPr>
        <w:autoSpaceDE w:val="0"/>
        <w:autoSpaceDN w:val="0"/>
        <w:adjustRightInd w:val="0"/>
        <w:rPr>
          <w:rFonts w:eastAsiaTheme="minorHAnsi" w:cs="HelveticaNeue-Light"/>
          <w:color w:val="000000"/>
          <w:szCs w:val="22"/>
          <w:lang w:eastAsia="en-US"/>
        </w:rPr>
      </w:pPr>
      <w:r w:rsidRPr="00D257FE">
        <w:rPr>
          <w:rFonts w:eastAsiaTheme="minorHAnsi" w:cs="HelveticaNeue-Light"/>
          <w:color w:val="000000"/>
          <w:szCs w:val="22"/>
          <w:lang w:eastAsia="en-US"/>
        </w:rPr>
        <w:t>La B</w:t>
      </w:r>
      <w:r w:rsidR="00CA298C">
        <w:rPr>
          <w:rFonts w:eastAsiaTheme="minorHAnsi" w:cs="HelveticaNeue-Light"/>
          <w:color w:val="000000"/>
          <w:szCs w:val="22"/>
          <w:lang w:eastAsia="en-US"/>
        </w:rPr>
        <w:t>anque chinoise de développement</w:t>
      </w:r>
      <w:r w:rsidRPr="00D257FE">
        <w:rPr>
          <w:rFonts w:eastAsiaTheme="minorHAnsi" w:cs="HelveticaNeue-Light"/>
          <w:color w:val="000000"/>
          <w:szCs w:val="22"/>
          <w:lang w:eastAsia="en-US"/>
        </w:rPr>
        <w:t xml:space="preserve"> accorde des prêts non concessionnels et a créé le fonds de développement Chine-Afrique (CADF) afin de faciliter l’</w:t>
      </w:r>
      <w:r w:rsidR="00BA65C9">
        <w:rPr>
          <w:rFonts w:eastAsiaTheme="minorHAnsi" w:cs="HelveticaNeue-Light"/>
          <w:color w:val="000000"/>
          <w:szCs w:val="22"/>
          <w:lang w:eastAsia="en-US"/>
        </w:rPr>
        <w:t>IED</w:t>
      </w:r>
      <w:r w:rsidRPr="00D257FE">
        <w:rPr>
          <w:rFonts w:eastAsiaTheme="minorHAnsi" w:cs="HelveticaNeue-Light"/>
          <w:color w:val="000000"/>
          <w:szCs w:val="22"/>
          <w:lang w:eastAsia="en-US"/>
        </w:rPr>
        <w:t xml:space="preserve"> chinois sur le continent</w:t>
      </w:r>
      <w:r w:rsidR="00305879">
        <w:rPr>
          <w:rFonts w:eastAsiaTheme="minorHAnsi" w:cs="HelveticaNeue-Light"/>
          <w:color w:val="000000"/>
          <w:szCs w:val="22"/>
          <w:lang w:eastAsia="en-US"/>
        </w:rPr>
        <w:t xml:space="preserve"> (BAD, 2011).</w:t>
      </w:r>
    </w:p>
    <w:p w14:paraId="384E4CB3" w14:textId="255448EF" w:rsidR="006C0164" w:rsidRPr="00D257FE" w:rsidRDefault="006C0164" w:rsidP="00D257FE">
      <w:pPr>
        <w:autoSpaceDE w:val="0"/>
        <w:autoSpaceDN w:val="0"/>
        <w:adjustRightInd w:val="0"/>
        <w:rPr>
          <w:rFonts w:eastAsiaTheme="minorHAnsi" w:cs="HelveticaNeue-Light"/>
          <w:color w:val="000000"/>
          <w:szCs w:val="22"/>
          <w:lang w:eastAsia="en-US"/>
        </w:rPr>
      </w:pPr>
      <w:r w:rsidRPr="00D257FE">
        <w:rPr>
          <w:rFonts w:eastAsiaTheme="minorHAnsi" w:cs="HelveticaNeue-Light"/>
          <w:color w:val="000000"/>
          <w:szCs w:val="22"/>
          <w:lang w:eastAsia="en-US"/>
        </w:rPr>
        <w:t xml:space="preserve">La Chine utilise également des lignes de crédits concessionnelles afin de promouvoir les exportations </w:t>
      </w:r>
      <w:r w:rsidR="00F11DAA" w:rsidRPr="00D257FE">
        <w:rPr>
          <w:rFonts w:eastAsiaTheme="minorHAnsi" w:cs="HelveticaNeue-Light"/>
          <w:color w:val="000000"/>
          <w:szCs w:val="22"/>
          <w:lang w:eastAsia="en-US"/>
        </w:rPr>
        <w:t xml:space="preserve">dans les pays solvables ou des projets rentables. </w:t>
      </w:r>
    </w:p>
    <w:p w14:paraId="473C431C" w14:textId="6ADF4CF5" w:rsidR="006C0164" w:rsidRPr="00D257FE" w:rsidRDefault="00F11DAA" w:rsidP="00617360">
      <w:pPr>
        <w:autoSpaceDE w:val="0"/>
        <w:autoSpaceDN w:val="0"/>
        <w:adjustRightInd w:val="0"/>
        <w:rPr>
          <w:rFonts w:eastAsiaTheme="minorHAnsi" w:cs="HelveticaNeue-Light"/>
          <w:color w:val="000000"/>
          <w:szCs w:val="22"/>
          <w:lang w:eastAsia="en-US"/>
        </w:rPr>
      </w:pPr>
      <w:r w:rsidRPr="00D257FE">
        <w:rPr>
          <w:rFonts w:eastAsiaTheme="minorHAnsi" w:cs="HelveticaNeue-Light"/>
          <w:color w:val="000000"/>
          <w:szCs w:val="22"/>
          <w:lang w:eastAsia="en-US"/>
        </w:rPr>
        <w:t xml:space="preserve">On soulignera que l’aide </w:t>
      </w:r>
      <w:r w:rsidR="000333BF">
        <w:rPr>
          <w:rFonts w:eastAsiaTheme="minorHAnsi" w:cs="HelveticaNeue-Light"/>
          <w:color w:val="000000"/>
          <w:szCs w:val="22"/>
          <w:lang w:eastAsia="en-US"/>
        </w:rPr>
        <w:t>étrangère</w:t>
      </w:r>
      <w:r w:rsidRPr="00D257FE">
        <w:rPr>
          <w:rFonts w:eastAsiaTheme="minorHAnsi" w:cs="HelveticaNeue-Light"/>
          <w:color w:val="000000"/>
          <w:szCs w:val="22"/>
          <w:lang w:eastAsia="en-US"/>
        </w:rPr>
        <w:t xml:space="preserve"> telle que pratiquée par la Chine ne répond pas à la même définition que l’APD définies par le </w:t>
      </w:r>
      <w:r w:rsidR="00CA298C">
        <w:rPr>
          <w:rFonts w:eastAsiaTheme="minorHAnsi" w:cs="HelveticaNeue-Light"/>
          <w:color w:val="000000"/>
          <w:szCs w:val="22"/>
          <w:lang w:eastAsia="en-US"/>
        </w:rPr>
        <w:t>CAD</w:t>
      </w:r>
      <w:r w:rsidRPr="00D257FE">
        <w:rPr>
          <w:rFonts w:eastAsiaTheme="minorHAnsi" w:cs="HelveticaNeue-Light"/>
          <w:color w:val="000000"/>
          <w:szCs w:val="22"/>
          <w:lang w:eastAsia="en-US"/>
        </w:rPr>
        <w:t xml:space="preserve"> de l’OCDE qui inclut également les prêts des investissements dans des co-entreprises. L’APD exclut également les crédits à l’exportation accordés par des organismes de crédits publics ou soutenus par le Etats dans le but </w:t>
      </w:r>
      <w:r w:rsidR="00617360">
        <w:rPr>
          <w:rFonts w:eastAsiaTheme="minorHAnsi" w:cs="HelveticaNeue-Light"/>
          <w:color w:val="000000"/>
          <w:szCs w:val="22"/>
          <w:lang w:eastAsia="en-US"/>
        </w:rPr>
        <w:t>de promouvoir les exportations.</w:t>
      </w:r>
    </w:p>
    <w:p w14:paraId="72504724" w14:textId="2911D129" w:rsidR="00044C50" w:rsidRDefault="00044C50" w:rsidP="00D257FE">
      <w:pPr>
        <w:autoSpaceDE w:val="0"/>
        <w:autoSpaceDN w:val="0"/>
        <w:adjustRightInd w:val="0"/>
        <w:spacing w:after="0"/>
        <w:rPr>
          <w:rFonts w:eastAsiaTheme="minorHAnsi" w:cs="HelveticaNeue-Light"/>
          <w:color w:val="000000"/>
          <w:szCs w:val="22"/>
          <w:lang w:eastAsia="en-US"/>
        </w:rPr>
      </w:pPr>
      <w:r w:rsidRPr="00D257FE">
        <w:rPr>
          <w:rFonts w:eastAsiaTheme="minorHAnsi" w:cs="HelveticaNeue-Light"/>
          <w:color w:val="000000"/>
          <w:szCs w:val="22"/>
          <w:lang w:eastAsia="en-US"/>
        </w:rPr>
        <w:t>Depuis 2001,</w:t>
      </w:r>
      <w:r w:rsidR="00D257FE">
        <w:rPr>
          <w:rFonts w:eastAsiaTheme="minorHAnsi" w:cs="HelveticaNeue-Light"/>
          <w:color w:val="000000"/>
          <w:szCs w:val="22"/>
          <w:lang w:eastAsia="en-US"/>
        </w:rPr>
        <w:t xml:space="preserve"> une </w:t>
      </w:r>
      <w:r w:rsidR="00D257FE" w:rsidRPr="00D257FE">
        <w:rPr>
          <w:rFonts w:eastAsiaTheme="minorHAnsi" w:cs="HelveticaNeue-Light"/>
          <w:color w:val="000000"/>
          <w:szCs w:val="22"/>
          <w:lang w:eastAsia="en-US"/>
        </w:rPr>
        <w:t>compagnie d’assurance chinoise spécialisée dans l’assurance-crédit</w:t>
      </w:r>
      <w:r w:rsidR="00D257FE">
        <w:rPr>
          <w:rFonts w:eastAsiaTheme="minorHAnsi" w:cs="HelveticaNeue-Light"/>
          <w:color w:val="000000"/>
          <w:szCs w:val="22"/>
          <w:lang w:eastAsia="en-US"/>
        </w:rPr>
        <w:t xml:space="preserve"> </w:t>
      </w:r>
      <w:r w:rsidR="00D257FE" w:rsidRPr="00D257FE">
        <w:rPr>
          <w:rFonts w:eastAsiaTheme="minorHAnsi" w:cs="HelveticaNeue-Light"/>
          <w:color w:val="000000"/>
          <w:szCs w:val="22"/>
          <w:lang w:eastAsia="en-US"/>
        </w:rPr>
        <w:t xml:space="preserve">à l’exportation </w:t>
      </w:r>
      <w:r w:rsidR="00736518">
        <w:rPr>
          <w:rFonts w:eastAsiaTheme="minorHAnsi" w:cs="HelveticaNeue-Light"/>
          <w:color w:val="000000"/>
          <w:szCs w:val="22"/>
          <w:lang w:eastAsia="en-US"/>
        </w:rPr>
        <w:t>SINOSURE</w:t>
      </w:r>
      <w:r w:rsidRPr="00D257FE">
        <w:rPr>
          <w:rFonts w:eastAsiaTheme="minorHAnsi" w:cs="HelveticaNeue-Light"/>
          <w:color w:val="000000"/>
          <w:szCs w:val="22"/>
          <w:lang w:eastAsia="en-US"/>
        </w:rPr>
        <w:t xml:space="preserve"> assure les entreprises contre</w:t>
      </w:r>
      <w:r w:rsidR="00FD34BC" w:rsidRPr="00D257FE">
        <w:rPr>
          <w:rFonts w:eastAsiaTheme="minorHAnsi" w:cs="HelveticaNeue-Light"/>
          <w:color w:val="000000"/>
          <w:szCs w:val="22"/>
          <w:lang w:eastAsia="en-US"/>
        </w:rPr>
        <w:t xml:space="preserve"> </w:t>
      </w:r>
      <w:r w:rsidRPr="00D257FE">
        <w:rPr>
          <w:rFonts w:eastAsiaTheme="minorHAnsi" w:cs="HelveticaNeue-Light"/>
          <w:color w:val="000000"/>
          <w:szCs w:val="22"/>
          <w:lang w:eastAsia="en-US"/>
        </w:rPr>
        <w:t>les risques résultant des exportations et</w:t>
      </w:r>
      <w:r w:rsidR="00FD34BC" w:rsidRPr="00D257FE">
        <w:rPr>
          <w:rFonts w:eastAsiaTheme="minorHAnsi" w:cs="HelveticaNeue-Light"/>
          <w:color w:val="000000"/>
          <w:szCs w:val="22"/>
          <w:lang w:eastAsia="en-US"/>
        </w:rPr>
        <w:t xml:space="preserve"> </w:t>
      </w:r>
      <w:r w:rsidRPr="00D257FE">
        <w:rPr>
          <w:rFonts w:eastAsiaTheme="minorHAnsi" w:cs="HelveticaNeue-Light"/>
          <w:color w:val="000000"/>
          <w:szCs w:val="22"/>
          <w:lang w:eastAsia="en-US"/>
        </w:rPr>
        <w:t>des investissements étrangers de la Chine</w:t>
      </w:r>
      <w:r w:rsidR="00305879">
        <w:rPr>
          <w:rFonts w:eastAsiaTheme="minorHAnsi" w:cs="HelveticaNeue-Light"/>
          <w:color w:val="000000"/>
          <w:szCs w:val="22"/>
          <w:lang w:eastAsia="en-US"/>
        </w:rPr>
        <w:t xml:space="preserve"> (BAD, 2011)</w:t>
      </w:r>
      <w:r w:rsidRPr="00D257FE">
        <w:rPr>
          <w:rFonts w:eastAsiaTheme="minorHAnsi" w:cs="HelveticaNeue-Light"/>
          <w:color w:val="000000"/>
          <w:szCs w:val="22"/>
          <w:lang w:eastAsia="en-US"/>
        </w:rPr>
        <w:t>.</w:t>
      </w:r>
    </w:p>
    <w:p w14:paraId="5D01D94F" w14:textId="77777777" w:rsidR="00B10D38" w:rsidRDefault="00B10D38" w:rsidP="00D257FE">
      <w:pPr>
        <w:autoSpaceDE w:val="0"/>
        <w:autoSpaceDN w:val="0"/>
        <w:adjustRightInd w:val="0"/>
        <w:spacing w:after="0"/>
        <w:rPr>
          <w:rFonts w:eastAsiaTheme="minorHAnsi" w:cs="HelveticaNeue-Light"/>
          <w:color w:val="000000"/>
          <w:szCs w:val="22"/>
          <w:lang w:eastAsia="en-US"/>
        </w:rPr>
      </w:pPr>
    </w:p>
    <w:p w14:paraId="2AFA9EA4" w14:textId="330413FF" w:rsidR="00B10D38" w:rsidRDefault="00B10D38" w:rsidP="00D257FE">
      <w:pPr>
        <w:autoSpaceDE w:val="0"/>
        <w:autoSpaceDN w:val="0"/>
        <w:adjustRightInd w:val="0"/>
        <w:spacing w:after="0"/>
        <w:rPr>
          <w:rStyle w:val="texto1"/>
          <w:rFonts w:eastAsiaTheme="majorEastAsia"/>
        </w:rPr>
      </w:pPr>
      <w:r>
        <w:rPr>
          <w:rFonts w:eastAsiaTheme="minorHAnsi" w:cs="HelveticaNeue-Light"/>
          <w:color w:val="000000"/>
          <w:szCs w:val="22"/>
          <w:lang w:eastAsia="en-US"/>
        </w:rPr>
        <w:t xml:space="preserve">Les projets financés par la Chine au Congo sont principalement des projets d’infrastructures. Parmi les grandes réalisations, on peut citer : </w:t>
      </w:r>
      <w:r w:rsidR="00217B99">
        <w:rPr>
          <w:rStyle w:val="texto1"/>
          <w:rFonts w:eastAsiaTheme="majorEastAsia"/>
        </w:rPr>
        <w:t>le</w:t>
      </w:r>
      <w:r>
        <w:rPr>
          <w:rStyle w:val="texto1"/>
          <w:rFonts w:eastAsiaTheme="majorEastAsia"/>
        </w:rPr>
        <w:t xml:space="preserve"> barrage hydroélectrique de 19 </w:t>
      </w:r>
      <w:r w:rsidR="00217B99">
        <w:rPr>
          <w:rStyle w:val="texto1"/>
          <w:rFonts w:eastAsiaTheme="majorEastAsia"/>
        </w:rPr>
        <w:t>MW</w:t>
      </w:r>
      <w:r>
        <w:rPr>
          <w:rStyle w:val="texto1"/>
          <w:rFonts w:eastAsiaTheme="majorEastAsia"/>
        </w:rPr>
        <w:t xml:space="preserve"> à </w:t>
      </w:r>
      <w:proofErr w:type="spellStart"/>
      <w:r>
        <w:rPr>
          <w:rStyle w:val="texto1"/>
          <w:rFonts w:eastAsiaTheme="majorEastAsia"/>
        </w:rPr>
        <w:t>Liouesso</w:t>
      </w:r>
      <w:proofErr w:type="spellEnd"/>
      <w:r w:rsidR="00217B99">
        <w:rPr>
          <w:rStyle w:val="texto1"/>
          <w:rFonts w:eastAsiaTheme="majorEastAsia"/>
        </w:rPr>
        <w:t xml:space="preserve">, le projet de port fluvial à Oyo (62 millions </w:t>
      </w:r>
      <w:r w:rsidR="00B0444B">
        <w:rPr>
          <w:rStyle w:val="texto1"/>
          <w:rFonts w:eastAsiaTheme="majorEastAsia"/>
        </w:rPr>
        <w:t>d’USD</w:t>
      </w:r>
      <w:r w:rsidR="00217B99">
        <w:rPr>
          <w:rStyle w:val="texto1"/>
          <w:rFonts w:eastAsiaTheme="majorEastAsia"/>
        </w:rPr>
        <w:t>), la route bitumée Pointe-Noire-</w:t>
      </w:r>
      <w:proofErr w:type="spellStart"/>
      <w:r w:rsidR="00217B99">
        <w:rPr>
          <w:rStyle w:val="texto1"/>
          <w:rFonts w:eastAsiaTheme="majorEastAsia"/>
        </w:rPr>
        <w:t>Dolisie</w:t>
      </w:r>
      <w:proofErr w:type="spellEnd"/>
      <w:r w:rsidR="00217B99">
        <w:rPr>
          <w:rStyle w:val="texto1"/>
          <w:rFonts w:eastAsiaTheme="majorEastAsia"/>
        </w:rPr>
        <w:t xml:space="preserve"> (750 millions </w:t>
      </w:r>
      <w:r w:rsidR="00B0444B">
        <w:rPr>
          <w:rStyle w:val="texto1"/>
          <w:rFonts w:eastAsiaTheme="majorEastAsia"/>
        </w:rPr>
        <w:t>d’USD</w:t>
      </w:r>
      <w:r w:rsidR="00217B99">
        <w:rPr>
          <w:rStyle w:val="texto1"/>
          <w:rFonts w:eastAsiaTheme="majorEastAsia"/>
        </w:rPr>
        <w:t>), le barrage hydroélectrique de 120 MW d’</w:t>
      </w:r>
      <w:proofErr w:type="spellStart"/>
      <w:r w:rsidR="00217B99">
        <w:rPr>
          <w:rStyle w:val="texto1"/>
          <w:rFonts w:eastAsiaTheme="majorEastAsia"/>
        </w:rPr>
        <w:t>Imboulou</w:t>
      </w:r>
      <w:proofErr w:type="spellEnd"/>
      <w:r w:rsidR="00217B99">
        <w:rPr>
          <w:rStyle w:val="texto1"/>
          <w:rFonts w:eastAsiaTheme="majorEastAsia"/>
        </w:rPr>
        <w:t xml:space="preserve"> (85% du financement estimé à 280 millions </w:t>
      </w:r>
      <w:r w:rsidR="00B0444B">
        <w:rPr>
          <w:rStyle w:val="texto1"/>
          <w:rFonts w:eastAsiaTheme="majorEastAsia"/>
        </w:rPr>
        <w:t>d’USD</w:t>
      </w:r>
      <w:r w:rsidR="00217B99">
        <w:rPr>
          <w:rStyle w:val="texto1"/>
          <w:rFonts w:eastAsiaTheme="majorEastAsia"/>
        </w:rPr>
        <w:t xml:space="preserve">), une usine à eau à Brazzaville (290 millions </w:t>
      </w:r>
      <w:r w:rsidR="00B0444B">
        <w:rPr>
          <w:rStyle w:val="texto1"/>
          <w:rFonts w:eastAsiaTheme="majorEastAsia"/>
        </w:rPr>
        <w:t>d’USD</w:t>
      </w:r>
      <w:r w:rsidR="00217B99">
        <w:rPr>
          <w:rStyle w:val="texto1"/>
          <w:rFonts w:eastAsiaTheme="majorEastAsia"/>
        </w:rPr>
        <w:t xml:space="preserve">), la </w:t>
      </w:r>
      <w:r w:rsidR="00E3276F">
        <w:rPr>
          <w:rStyle w:val="texto1"/>
          <w:rFonts w:eastAsiaTheme="majorEastAsia"/>
        </w:rPr>
        <w:t>modernisation</w:t>
      </w:r>
      <w:r w:rsidR="00217B99">
        <w:rPr>
          <w:rStyle w:val="texto1"/>
          <w:rFonts w:eastAsiaTheme="majorEastAsia"/>
        </w:rPr>
        <w:t xml:space="preserve"> de l’aéroport de Maya-Maya (115 millions </w:t>
      </w:r>
      <w:r w:rsidR="00B0444B">
        <w:rPr>
          <w:rStyle w:val="texto1"/>
          <w:rFonts w:eastAsiaTheme="majorEastAsia"/>
        </w:rPr>
        <w:t>d’USD</w:t>
      </w:r>
      <w:r w:rsidR="00217B99">
        <w:rPr>
          <w:rStyle w:val="texto1"/>
          <w:rFonts w:eastAsiaTheme="majorEastAsia"/>
        </w:rPr>
        <w:t>)</w:t>
      </w:r>
      <w:r w:rsidR="00217B99">
        <w:rPr>
          <w:rStyle w:val="FootnoteReference"/>
          <w:rFonts w:eastAsiaTheme="majorEastAsia"/>
        </w:rPr>
        <w:footnoteReference w:id="57"/>
      </w:r>
      <w:r w:rsidR="00217B99">
        <w:rPr>
          <w:rStyle w:val="texto1"/>
          <w:rFonts w:eastAsiaTheme="majorEastAsia"/>
        </w:rPr>
        <w:t>.</w:t>
      </w:r>
    </w:p>
    <w:p w14:paraId="66F39E33" w14:textId="77777777" w:rsidR="00CA298C" w:rsidRDefault="00CA298C" w:rsidP="00D257FE">
      <w:pPr>
        <w:autoSpaceDE w:val="0"/>
        <w:autoSpaceDN w:val="0"/>
        <w:adjustRightInd w:val="0"/>
        <w:spacing w:after="0"/>
        <w:rPr>
          <w:rStyle w:val="texto1"/>
          <w:rFonts w:eastAsiaTheme="majorEastAsia"/>
        </w:rPr>
      </w:pPr>
    </w:p>
    <w:p w14:paraId="6D144594" w14:textId="2B08EE2F" w:rsidR="000923E0" w:rsidRPr="00CA298C" w:rsidRDefault="00CA298C" w:rsidP="00CA298C">
      <w:pPr>
        <w:rPr>
          <w:i/>
          <w:color w:val="DD8047" w:themeColor="accent2"/>
        </w:rPr>
      </w:pPr>
      <w:r>
        <w:rPr>
          <w:i/>
          <w:color w:val="DD8047" w:themeColor="accent2"/>
        </w:rPr>
        <w:t xml:space="preserve">Les fonds et initiatives </w:t>
      </w:r>
    </w:p>
    <w:p w14:paraId="541AD38F" w14:textId="4B33D894" w:rsidR="000923E0" w:rsidRPr="00617360" w:rsidRDefault="000923E0" w:rsidP="008B0EB3">
      <w:pPr>
        <w:pStyle w:val="ListParagraph"/>
        <w:numPr>
          <w:ilvl w:val="0"/>
          <w:numId w:val="14"/>
        </w:numPr>
        <w:rPr>
          <w:color w:val="355D7E" w:themeColor="accent1" w:themeShade="80"/>
        </w:rPr>
      </w:pPr>
      <w:r w:rsidRPr="00617360">
        <w:rPr>
          <w:color w:val="355D7E" w:themeColor="accent1" w:themeShade="80"/>
        </w:rPr>
        <w:t>Le Fonds de Développement Chine-Afrique (CADF)</w:t>
      </w:r>
      <w:r w:rsidR="00CA298C" w:rsidRPr="00CA298C">
        <w:rPr>
          <w:rStyle w:val="FootnoteReference"/>
          <w:rFonts w:ascii="Tw Cen MT" w:hAnsi="Tw Cen MT"/>
        </w:rPr>
        <w:t xml:space="preserve"> </w:t>
      </w:r>
      <w:r w:rsidR="00CA298C">
        <w:rPr>
          <w:rStyle w:val="FootnoteReference"/>
          <w:rFonts w:ascii="Tw Cen MT" w:hAnsi="Tw Cen MT"/>
        </w:rPr>
        <w:footnoteReference w:id="58"/>
      </w:r>
    </w:p>
    <w:p w14:paraId="1232B3F9" w14:textId="0C41EB12" w:rsidR="00E3276F" w:rsidRDefault="00CA298C" w:rsidP="00CA298C">
      <w:pPr>
        <w:spacing w:after="0"/>
        <w:rPr>
          <w:rFonts w:ascii="Tw Cen MT" w:hAnsi="Tw Cen MT"/>
        </w:rPr>
      </w:pPr>
      <w:r>
        <w:rPr>
          <w:rFonts w:ascii="Tw Cen MT" w:hAnsi="Tw Cen MT"/>
        </w:rPr>
        <w:t>Le CADF</w:t>
      </w:r>
      <w:r w:rsidR="00E3276F" w:rsidRPr="00E3276F">
        <w:rPr>
          <w:rFonts w:ascii="Tw Cen MT" w:hAnsi="Tw Cen MT"/>
        </w:rPr>
        <w:t>, o</w:t>
      </w:r>
      <w:r w:rsidR="00684A6B" w:rsidRPr="00E3276F">
        <w:rPr>
          <w:rFonts w:ascii="Tw Cen MT" w:hAnsi="Tw Cen MT"/>
        </w:rPr>
        <w:t>uvert officiellement le 26 juin 2007</w:t>
      </w:r>
      <w:r w:rsidR="00E3276F" w:rsidRPr="00E3276F">
        <w:rPr>
          <w:rFonts w:ascii="Tw Cen MT" w:hAnsi="Tw Cen MT"/>
        </w:rPr>
        <w:t xml:space="preserve"> avec</w:t>
      </w:r>
      <w:r w:rsidR="00E3276F">
        <w:rPr>
          <w:rFonts w:ascii="Tw Cen MT" w:hAnsi="Tw Cen MT"/>
        </w:rPr>
        <w:t xml:space="preserve"> </w:t>
      </w:r>
      <w:r w:rsidR="00E3276F" w:rsidRPr="00E3276F">
        <w:rPr>
          <w:rFonts w:ascii="Tw Cen MT" w:hAnsi="Tw Cen MT"/>
        </w:rPr>
        <w:t>un capital de 1</w:t>
      </w:r>
      <w:r>
        <w:rPr>
          <w:rFonts w:ascii="Tw Cen MT" w:hAnsi="Tw Cen MT"/>
        </w:rPr>
        <w:t xml:space="preserve"> </w:t>
      </w:r>
      <w:r w:rsidRPr="00E3276F">
        <w:rPr>
          <w:rFonts w:ascii="Tw Cen MT" w:hAnsi="Tw Cen MT"/>
        </w:rPr>
        <w:t>milliar</w:t>
      </w:r>
      <w:r>
        <w:rPr>
          <w:rFonts w:ascii="Tw Cen MT" w:hAnsi="Tw Cen MT"/>
        </w:rPr>
        <w:t>d</w:t>
      </w:r>
      <w:r w:rsidR="00E3276F" w:rsidRPr="00E3276F">
        <w:rPr>
          <w:rFonts w:ascii="Tw Cen MT" w:hAnsi="Tw Cen MT"/>
        </w:rPr>
        <w:t xml:space="preserve"> </w:t>
      </w:r>
      <w:r>
        <w:rPr>
          <w:rFonts w:ascii="Tw Cen MT" w:hAnsi="Tw Cen MT"/>
        </w:rPr>
        <w:t>d’</w:t>
      </w:r>
      <w:r w:rsidR="00E3276F" w:rsidRPr="00E3276F">
        <w:rPr>
          <w:rFonts w:ascii="Tw Cen MT" w:hAnsi="Tw Cen MT"/>
        </w:rPr>
        <w:t>USD</w:t>
      </w:r>
      <w:r w:rsidR="00E3276F">
        <w:rPr>
          <w:rFonts w:ascii="Tw Cen MT" w:hAnsi="Tw Cen MT"/>
        </w:rPr>
        <w:t xml:space="preserve"> et</w:t>
      </w:r>
      <w:r w:rsidR="00E3276F" w:rsidRPr="00E3276F">
        <w:rPr>
          <w:rFonts w:ascii="Tw Cen MT" w:hAnsi="Tw Cen MT"/>
        </w:rPr>
        <w:t xml:space="preserve"> visant à atteindre graduellement à 5 milliards USD</w:t>
      </w:r>
      <w:r w:rsidR="00684A6B" w:rsidRPr="00E3276F">
        <w:rPr>
          <w:rFonts w:ascii="Tw Cen MT" w:hAnsi="Tw Cen MT"/>
        </w:rPr>
        <w:t xml:space="preserve">, </w:t>
      </w:r>
      <w:r w:rsidR="00E3276F" w:rsidRPr="00E3276F">
        <w:rPr>
          <w:rFonts w:ascii="Tw Cen MT" w:hAnsi="Tw Cen MT"/>
        </w:rPr>
        <w:t>est un</w:t>
      </w:r>
      <w:r w:rsidR="00684A6B" w:rsidRPr="00E3276F">
        <w:rPr>
          <w:rFonts w:ascii="Tw Cen MT" w:hAnsi="Tw Cen MT"/>
        </w:rPr>
        <w:t xml:space="preserve"> fond de capital-investissement </w:t>
      </w:r>
      <w:r w:rsidR="00E3276F" w:rsidRPr="00E3276F">
        <w:rPr>
          <w:rFonts w:ascii="Tw Cen MT" w:hAnsi="Tw Cen MT"/>
        </w:rPr>
        <w:t xml:space="preserve">destiné à investir </w:t>
      </w:r>
      <w:r w:rsidR="00684A6B" w:rsidRPr="00E3276F">
        <w:rPr>
          <w:rFonts w:ascii="Tw Cen MT" w:hAnsi="Tw Cen MT"/>
        </w:rPr>
        <w:t>dans les secteurs suivants</w:t>
      </w:r>
      <w:r w:rsidR="00E3276F">
        <w:rPr>
          <w:rFonts w:ascii="Tw Cen MT" w:hAnsi="Tw Cen MT"/>
        </w:rPr>
        <w:t> :</w:t>
      </w:r>
    </w:p>
    <w:p w14:paraId="6434F9B0" w14:textId="3FE9738B" w:rsidR="00E3276F" w:rsidRDefault="00684A6B" w:rsidP="008B0EB3">
      <w:pPr>
        <w:pStyle w:val="ListParagraph"/>
        <w:numPr>
          <w:ilvl w:val="0"/>
          <w:numId w:val="39"/>
        </w:numPr>
        <w:rPr>
          <w:rFonts w:ascii="Tw Cen MT" w:hAnsi="Tw Cen MT"/>
        </w:rPr>
      </w:pPr>
      <w:r w:rsidRPr="00E3276F">
        <w:rPr>
          <w:rFonts w:ascii="Tw Cen MT" w:hAnsi="Tw Cen MT"/>
        </w:rPr>
        <w:t>Agriculture et industries de fabrication</w:t>
      </w:r>
      <w:r w:rsidR="00E3276F">
        <w:rPr>
          <w:rFonts w:ascii="Tw Cen MT" w:hAnsi="Tw Cen MT"/>
        </w:rPr>
        <w:t> ;</w:t>
      </w:r>
    </w:p>
    <w:p w14:paraId="0D3A7D71" w14:textId="44D4A1C7" w:rsidR="00E3276F" w:rsidRDefault="00684A6B" w:rsidP="008B0EB3">
      <w:pPr>
        <w:pStyle w:val="ListParagraph"/>
        <w:numPr>
          <w:ilvl w:val="0"/>
          <w:numId w:val="39"/>
        </w:numPr>
        <w:rPr>
          <w:rFonts w:ascii="Tw Cen MT" w:hAnsi="Tw Cen MT"/>
        </w:rPr>
      </w:pPr>
      <w:r w:rsidRPr="00E3276F">
        <w:rPr>
          <w:rFonts w:ascii="Tw Cen MT" w:hAnsi="Tw Cen MT"/>
        </w:rPr>
        <w:t>Secteurs d'infrastructure et industries de base telles que les centrales</w:t>
      </w:r>
      <w:r w:rsidR="00E3276F">
        <w:rPr>
          <w:rFonts w:ascii="Tw Cen MT" w:hAnsi="Tw Cen MT"/>
        </w:rPr>
        <w:t xml:space="preserve"> </w:t>
      </w:r>
      <w:r w:rsidRPr="00E3276F">
        <w:rPr>
          <w:rFonts w:ascii="Tw Cen MT" w:hAnsi="Tw Cen MT"/>
        </w:rPr>
        <w:t>électriques et d'autres installations d'énergies, télécommunications et les systèmes urbains d'alime</w:t>
      </w:r>
      <w:r w:rsidR="00E3276F">
        <w:rPr>
          <w:rFonts w:ascii="Tw Cen MT" w:hAnsi="Tw Cen MT"/>
        </w:rPr>
        <w:t>ntation d'eau et de drainage ;</w:t>
      </w:r>
    </w:p>
    <w:p w14:paraId="10F53DE7" w14:textId="6E8D5152" w:rsidR="00E3276F" w:rsidRDefault="00684A6B" w:rsidP="008B0EB3">
      <w:pPr>
        <w:pStyle w:val="ListParagraph"/>
        <w:numPr>
          <w:ilvl w:val="0"/>
          <w:numId w:val="39"/>
        </w:numPr>
        <w:rPr>
          <w:rFonts w:ascii="Tw Cen MT" w:hAnsi="Tw Cen MT"/>
        </w:rPr>
      </w:pPr>
      <w:r w:rsidRPr="00E3276F">
        <w:rPr>
          <w:rFonts w:ascii="Tw Cen MT" w:hAnsi="Tw Cen MT"/>
        </w:rPr>
        <w:t>Coopération dans les productions des matières premières et d'énergies, telles que les productions de pétrole,</w:t>
      </w:r>
      <w:r w:rsidR="00E3276F">
        <w:rPr>
          <w:rFonts w:ascii="Tw Cen MT" w:hAnsi="Tw Cen MT"/>
        </w:rPr>
        <w:t xml:space="preserve"> gaz et des minéraux solides ;</w:t>
      </w:r>
    </w:p>
    <w:p w14:paraId="43287531" w14:textId="2B5483E9" w:rsidR="00684A6B" w:rsidRDefault="00684A6B" w:rsidP="008B0EB3">
      <w:pPr>
        <w:pStyle w:val="ListParagraph"/>
        <w:numPr>
          <w:ilvl w:val="0"/>
          <w:numId w:val="39"/>
        </w:numPr>
        <w:rPr>
          <w:rFonts w:ascii="Tw Cen MT" w:hAnsi="Tw Cen MT"/>
        </w:rPr>
      </w:pPr>
      <w:r w:rsidRPr="00E3276F">
        <w:rPr>
          <w:rFonts w:ascii="Tw Cen MT" w:hAnsi="Tw Cen MT"/>
        </w:rPr>
        <w:t>Zones industriels établis par les entreprises chinoises en Afrique.</w:t>
      </w:r>
    </w:p>
    <w:p w14:paraId="079FD38F" w14:textId="714A2BFF" w:rsidR="00E3276F" w:rsidRDefault="00CA298C" w:rsidP="00E3276F">
      <w:r>
        <w:t>En 2013, le f</w:t>
      </w:r>
      <w:r w:rsidR="00E3276F">
        <w:t>onds avait permis de financer 72 projets en Afrique répartis dans une trentaine de pays</w:t>
      </w:r>
      <w:r w:rsidR="00E3276F">
        <w:rPr>
          <w:rStyle w:val="FootnoteReference"/>
        </w:rPr>
        <w:footnoteReference w:id="59"/>
      </w:r>
      <w:r w:rsidR="00E3276F">
        <w:t>.</w:t>
      </w:r>
    </w:p>
    <w:p w14:paraId="176B2802" w14:textId="6F677E4B" w:rsidR="00684A6B" w:rsidRPr="00617360" w:rsidRDefault="00684A6B" w:rsidP="008B0EB3">
      <w:pPr>
        <w:pStyle w:val="ListParagraph"/>
        <w:numPr>
          <w:ilvl w:val="0"/>
          <w:numId w:val="14"/>
        </w:numPr>
        <w:rPr>
          <w:color w:val="355D7E" w:themeColor="accent1" w:themeShade="80"/>
        </w:rPr>
      </w:pPr>
      <w:r w:rsidRPr="00617360">
        <w:rPr>
          <w:color w:val="355D7E" w:themeColor="accent1" w:themeShade="80"/>
        </w:rPr>
        <w:lastRenderedPageBreak/>
        <w:t>Le fonds de coopération Chine-Afrique sur la capacité industrielle</w:t>
      </w:r>
    </w:p>
    <w:p w14:paraId="1B58676F" w14:textId="2AB93DF4" w:rsidR="00684A6B" w:rsidRDefault="00684A6B" w:rsidP="00684A6B">
      <w:r>
        <w:t>Entré en vigueur en janvier 2016, le fonds prévoit d’investir principalement dans les secteurs tels que l'industrie manufacturière, les nouvelles technologie</w:t>
      </w:r>
      <w:r w:rsidR="00CA298C">
        <w:t>s, l'agriculture, l'énergie, les i</w:t>
      </w:r>
      <w:r>
        <w:t xml:space="preserve">nfrastructures et la finance dans les pays africains. Le fonds comprend 5 milliards </w:t>
      </w:r>
      <w:r w:rsidR="00B0444B">
        <w:t>d’USD</w:t>
      </w:r>
      <w:r w:rsidR="00CA298C">
        <w:t xml:space="preserve"> d'aide sous forme de dons</w:t>
      </w:r>
      <w:r>
        <w:t xml:space="preserve"> et de prêts sans intérêt</w:t>
      </w:r>
      <w:r w:rsidR="00CA298C">
        <w:t>s</w:t>
      </w:r>
      <w:r>
        <w:t xml:space="preserve">, 35 milliards </w:t>
      </w:r>
      <w:r w:rsidR="00B0444B">
        <w:t>d’USD</w:t>
      </w:r>
      <w:r>
        <w:t xml:space="preserve"> de prêts préférentiels et de crédits à l'exportation avec des conditions plus favorables, et 5 milliards </w:t>
      </w:r>
      <w:r w:rsidR="00B0444B">
        <w:t>d’USD</w:t>
      </w:r>
      <w:r>
        <w:t xml:space="preserve"> de </w:t>
      </w:r>
      <w:r w:rsidR="00CA298C">
        <w:t>capital supplémentaire pour le f</w:t>
      </w:r>
      <w:r>
        <w:t>onds de dév</w:t>
      </w:r>
      <w:r w:rsidR="00CA298C">
        <w:t>eloppement Chine-Afrique et le p</w:t>
      </w:r>
      <w:r>
        <w:t>rêt spécial pour le développement des petites et moyennes entreprises d'Afrique</w:t>
      </w:r>
      <w:r>
        <w:rPr>
          <w:rStyle w:val="FootnoteReference"/>
        </w:rPr>
        <w:footnoteReference w:id="60"/>
      </w:r>
      <w:r>
        <w:t>.</w:t>
      </w:r>
    </w:p>
    <w:p w14:paraId="5A333D24" w14:textId="3E0E2A84" w:rsidR="001E7D72" w:rsidRDefault="001E7D72" w:rsidP="008B0EB3">
      <w:pPr>
        <w:pStyle w:val="Heading4"/>
        <w:numPr>
          <w:ilvl w:val="2"/>
          <w:numId w:val="13"/>
        </w:numPr>
      </w:pPr>
      <w:proofErr w:type="spellStart"/>
      <w:r>
        <w:t>Autre</w:t>
      </w:r>
      <w:r w:rsidR="00813617">
        <w:t>s</w:t>
      </w:r>
      <w:proofErr w:type="spellEnd"/>
    </w:p>
    <w:p w14:paraId="21D85057" w14:textId="6EC743F0" w:rsidR="00D12BCA" w:rsidRPr="00D47D0E" w:rsidRDefault="00D12BCA" w:rsidP="008B0EB3">
      <w:pPr>
        <w:pStyle w:val="ListParagraph"/>
        <w:numPr>
          <w:ilvl w:val="0"/>
          <w:numId w:val="35"/>
        </w:numPr>
        <w:rPr>
          <w:color w:val="DD8047" w:themeColor="accent2"/>
          <w:lang w:val="en-US" w:eastAsia="en-US"/>
        </w:rPr>
      </w:pPr>
      <w:r w:rsidRPr="00D47D0E">
        <w:rPr>
          <w:color w:val="DD8047" w:themeColor="accent2"/>
          <w:lang w:val="en-US" w:eastAsia="en-US"/>
        </w:rPr>
        <w:t xml:space="preserve">Le </w:t>
      </w:r>
      <w:proofErr w:type="spellStart"/>
      <w:r w:rsidRPr="00D47D0E">
        <w:rPr>
          <w:color w:val="DD8047" w:themeColor="accent2"/>
          <w:lang w:val="en-US" w:eastAsia="en-US"/>
        </w:rPr>
        <w:t>Japon</w:t>
      </w:r>
      <w:proofErr w:type="spellEnd"/>
    </w:p>
    <w:p w14:paraId="028EE271" w14:textId="4A60F8C5" w:rsidR="00D12BCA" w:rsidRDefault="00D12BCA" w:rsidP="00D12BCA">
      <w:r>
        <w:t xml:space="preserve">La coopération pour le développement et la gestion des financements APD relève au Japon de </w:t>
      </w:r>
      <w:r w:rsidRPr="00D12BCA">
        <w:t>l’Agence Japonaise de Coopération Internationale</w:t>
      </w:r>
      <w:r w:rsidRPr="00D12BCA">
        <w:rPr>
          <w:i/>
        </w:rPr>
        <w:t xml:space="preserve"> </w:t>
      </w:r>
      <w:r>
        <w:t>(JICA). Les financements sont accordés en f</w:t>
      </w:r>
      <w:r w:rsidR="00CA298C">
        <w:t>onction des priorités stratégiques</w:t>
      </w:r>
      <w:r>
        <w:t xml:space="preserve"> d’</w:t>
      </w:r>
      <w:r w:rsidR="00CA298C">
        <w:t>a</w:t>
      </w:r>
      <w:r>
        <w:t>ssistance régionale, nationale et thématique définies par le JICA</w:t>
      </w:r>
      <w:r w:rsidRPr="00D12BCA">
        <w:rPr>
          <w:rStyle w:val="FootnoteReference"/>
        </w:rPr>
        <w:footnoteReference w:id="61"/>
      </w:r>
      <w:r w:rsidRPr="00D12BCA">
        <w:t>.</w:t>
      </w:r>
    </w:p>
    <w:p w14:paraId="3E91AB71" w14:textId="48B8E3BF" w:rsidR="00D12BCA" w:rsidRDefault="00D12BCA" w:rsidP="00D12BCA">
      <w:r>
        <w:t>Les appuis du JICA à la République du Con</w:t>
      </w:r>
      <w:r w:rsidR="00CA298C">
        <w:t>go sont limités en comparaison</w:t>
      </w:r>
      <w:r>
        <w:t xml:space="preserve"> d’autres pays d’Afrique. Selon les statistiques de l’OCDE, le JICA attribue des financements sous forme de dons à la République du Congo d’environ 6 millions </w:t>
      </w:r>
      <w:r w:rsidR="00B0444B">
        <w:t>d’USD</w:t>
      </w:r>
      <w:r>
        <w:t xml:space="preserve"> par an (OCDE, 2016). Ceux-ci ont notamment permis le financement de projets dans le domaine de la santé et de l’éducation</w:t>
      </w:r>
      <w:r>
        <w:rPr>
          <w:rStyle w:val="FootnoteReference"/>
        </w:rPr>
        <w:footnoteReference w:id="62"/>
      </w:r>
      <w:r>
        <w:t>.</w:t>
      </w:r>
    </w:p>
    <w:p w14:paraId="756AF633" w14:textId="77777777" w:rsidR="00D12BCA" w:rsidRDefault="00D12BCA" w:rsidP="00D12BCA">
      <w:r>
        <w:t>En février 2015, le Japon a affirmé son intérêt pour renforcer sa coopération avec la République du Congo dans les domaines de la santé, de l’éducation et des infrastructures de transport (secteurs prioritaires d’investissements de la JICA)</w:t>
      </w:r>
      <w:r>
        <w:rPr>
          <w:rStyle w:val="FootnoteReference"/>
        </w:rPr>
        <w:footnoteReference w:id="63"/>
      </w:r>
      <w:r>
        <w:t xml:space="preserve">. </w:t>
      </w:r>
    </w:p>
    <w:p w14:paraId="4EE5C5AA" w14:textId="6389D350" w:rsidR="00BA65C9" w:rsidRPr="007215AF" w:rsidRDefault="00D12BCA" w:rsidP="00D12BCA">
      <w:r>
        <w:t xml:space="preserve">Sur la période 2009-2012, le Japon avait mis en place une initiative </w:t>
      </w:r>
      <w:r w:rsidRPr="00D12BCA">
        <w:t>« </w:t>
      </w:r>
      <w:proofErr w:type="spellStart"/>
      <w:r w:rsidRPr="00D12BCA">
        <w:t>Fast</w:t>
      </w:r>
      <w:proofErr w:type="spellEnd"/>
      <w:r w:rsidRPr="00D12BCA">
        <w:t xml:space="preserve">-Start Finance » (FSF) pour appuyer le financement de projets d’atténuation et d’adaptation dans les pays en voie de développement avec un montant total de 15 milliards </w:t>
      </w:r>
      <w:r w:rsidR="00B0444B">
        <w:t>d’USD</w:t>
      </w:r>
      <w:r w:rsidRPr="00D12BCA">
        <w:t xml:space="preserve"> (sous forme d’APD et d’AASP).  </w:t>
      </w:r>
      <w:r>
        <w:t>La République du Congo n’a pas béné</w:t>
      </w:r>
      <w:r w:rsidR="007215AF">
        <w:t xml:space="preserve">ficié directement de ce fonds. </w:t>
      </w:r>
    </w:p>
    <w:p w14:paraId="3A53C91F" w14:textId="3B57433F" w:rsidR="00FB72A7" w:rsidRPr="00D47D0E" w:rsidRDefault="00FB72A7" w:rsidP="008B0EB3">
      <w:pPr>
        <w:pStyle w:val="NormalWeb"/>
        <w:numPr>
          <w:ilvl w:val="0"/>
          <w:numId w:val="35"/>
        </w:numPr>
        <w:spacing w:before="120" w:beforeAutospacing="0" w:after="120" w:afterAutospacing="0"/>
        <w:jc w:val="both"/>
        <w:rPr>
          <w:rFonts w:asciiTheme="minorHAnsi" w:hAnsiTheme="minorHAnsi"/>
          <w:color w:val="DD8047" w:themeColor="accent2"/>
          <w:sz w:val="22"/>
        </w:rPr>
      </w:pPr>
      <w:r w:rsidRPr="00D47D0E">
        <w:rPr>
          <w:rFonts w:asciiTheme="minorHAnsi" w:hAnsiTheme="minorHAnsi"/>
          <w:color w:val="DD8047" w:themeColor="accent2"/>
          <w:sz w:val="22"/>
        </w:rPr>
        <w:t>Le Canada</w:t>
      </w:r>
    </w:p>
    <w:p w14:paraId="09306F0D" w14:textId="45BC83A3" w:rsidR="00FB72A7" w:rsidRPr="00617360" w:rsidRDefault="00FB72A7" w:rsidP="007C79F5">
      <w:pPr>
        <w:pStyle w:val="NormalWeb"/>
        <w:spacing w:before="0" w:beforeAutospacing="0"/>
        <w:jc w:val="both"/>
        <w:rPr>
          <w:rFonts w:asciiTheme="minorHAnsi" w:hAnsiTheme="minorHAnsi"/>
          <w:sz w:val="22"/>
        </w:rPr>
      </w:pPr>
      <w:r w:rsidRPr="00617360">
        <w:rPr>
          <w:rFonts w:asciiTheme="minorHAnsi" w:hAnsiTheme="minorHAnsi"/>
          <w:sz w:val="22"/>
        </w:rPr>
        <w:t xml:space="preserve">Le Ministère des Affaires étrangères, Commerce et Développement (MAECD)  n'a pas de programmation bilatérale en République du Congo. Le pays bénéficie d’un soutien du MAECD par le biais de programmes multilatéraux, notamment de la </w:t>
      </w:r>
      <w:r w:rsidR="00CA298C">
        <w:rPr>
          <w:rFonts w:asciiTheme="minorHAnsi" w:hAnsiTheme="minorHAnsi"/>
          <w:sz w:val="22"/>
        </w:rPr>
        <w:t>BAD</w:t>
      </w:r>
      <w:r w:rsidRPr="00617360">
        <w:rPr>
          <w:rFonts w:asciiTheme="minorHAnsi" w:hAnsiTheme="minorHAnsi"/>
          <w:sz w:val="22"/>
        </w:rPr>
        <w:t xml:space="preserve"> et de la Francophonie, et de programmes régionaux. En 2013-2014, l’aide canadienne au développement, d’un montant de 1,66 million </w:t>
      </w:r>
      <w:r w:rsidR="00B0444B">
        <w:rPr>
          <w:rFonts w:asciiTheme="minorHAnsi" w:hAnsiTheme="minorHAnsi"/>
          <w:sz w:val="22"/>
        </w:rPr>
        <w:t>d’USD</w:t>
      </w:r>
      <w:r w:rsidRPr="00617360">
        <w:rPr>
          <w:rFonts w:asciiTheme="minorHAnsi" w:hAnsiTheme="minorHAnsi"/>
          <w:sz w:val="22"/>
        </w:rPr>
        <w:t xml:space="preserve"> pour la République du Congo, concernait le secteur de l’assistance humanitaire</w:t>
      </w:r>
      <w:r w:rsidRPr="00617360">
        <w:rPr>
          <w:rStyle w:val="FootnoteReference"/>
          <w:rFonts w:asciiTheme="minorHAnsi" w:hAnsiTheme="minorHAnsi"/>
          <w:sz w:val="22"/>
        </w:rPr>
        <w:footnoteReference w:id="64"/>
      </w:r>
      <w:r w:rsidRPr="00617360">
        <w:rPr>
          <w:rFonts w:asciiTheme="minorHAnsi" w:hAnsiTheme="minorHAnsi"/>
          <w:sz w:val="22"/>
        </w:rPr>
        <w:t>.</w:t>
      </w:r>
    </w:p>
    <w:p w14:paraId="2FF34B84" w14:textId="5B075DC8" w:rsidR="00813617" w:rsidRPr="00D47D0E" w:rsidRDefault="00FB72A7" w:rsidP="008B0EB3">
      <w:pPr>
        <w:pStyle w:val="ListParagraph"/>
        <w:numPr>
          <w:ilvl w:val="0"/>
          <w:numId w:val="35"/>
        </w:numPr>
        <w:rPr>
          <w:color w:val="DD8047" w:themeColor="accent2"/>
        </w:rPr>
      </w:pPr>
      <w:r w:rsidRPr="00D47D0E">
        <w:rPr>
          <w:color w:val="DD8047" w:themeColor="accent2"/>
        </w:rPr>
        <w:t>La Su</w:t>
      </w:r>
      <w:r w:rsidR="00FF7205" w:rsidRPr="00D47D0E">
        <w:rPr>
          <w:color w:val="DD8047" w:themeColor="accent2"/>
        </w:rPr>
        <w:t>ède</w:t>
      </w:r>
    </w:p>
    <w:p w14:paraId="665BB747" w14:textId="1C6CED48" w:rsidR="007C79F5" w:rsidRDefault="00FB72A7" w:rsidP="00FB72A7">
      <w:r>
        <w:t>L’APD bilatérale de la Su</w:t>
      </w:r>
      <w:r w:rsidR="00020F1E">
        <w:t>ède</w:t>
      </w:r>
      <w:r>
        <w:t xml:space="preserve"> est administrée par l’agence suiss</w:t>
      </w:r>
      <w:r w:rsidR="00CA298C">
        <w:t>e de coopération internationale</w:t>
      </w:r>
      <w:r>
        <w:t xml:space="preserve"> pour le développement (</w:t>
      </w:r>
      <w:proofErr w:type="spellStart"/>
      <w:r w:rsidRPr="00FB72A7">
        <w:rPr>
          <w:i/>
        </w:rPr>
        <w:t>Swedish</w:t>
      </w:r>
      <w:proofErr w:type="spellEnd"/>
      <w:r w:rsidRPr="00FB72A7">
        <w:rPr>
          <w:i/>
        </w:rPr>
        <w:t xml:space="preserve"> International </w:t>
      </w:r>
      <w:proofErr w:type="spellStart"/>
      <w:r w:rsidRPr="00FB72A7">
        <w:rPr>
          <w:i/>
        </w:rPr>
        <w:t>Development</w:t>
      </w:r>
      <w:proofErr w:type="spellEnd"/>
      <w:r w:rsidRPr="00FB72A7">
        <w:rPr>
          <w:i/>
        </w:rPr>
        <w:t xml:space="preserve"> </w:t>
      </w:r>
      <w:proofErr w:type="spellStart"/>
      <w:r w:rsidRPr="00FB72A7">
        <w:rPr>
          <w:i/>
        </w:rPr>
        <w:t>Cooperation</w:t>
      </w:r>
      <w:proofErr w:type="spellEnd"/>
      <w:r>
        <w:t xml:space="preserve"> – SIDA). Le SIDA ne dispose pas de programme spécifique de coopération bilatérale avec la République du Congo mais a mis en place pour 2010-2015 une stratégie de </w:t>
      </w:r>
      <w:r w:rsidR="005D6275">
        <w:t>développement</w:t>
      </w:r>
      <w:r>
        <w:t xml:space="preserve"> régional de l’Afrique</w:t>
      </w:r>
      <w:r w:rsidR="005D6275">
        <w:t xml:space="preserve"> Subsaharienne qui a bénéficié </w:t>
      </w:r>
      <w:r>
        <w:t xml:space="preserve">de </w:t>
      </w:r>
      <w:r w:rsidR="005D6275">
        <w:t xml:space="preserve">360 millions </w:t>
      </w:r>
      <w:r w:rsidR="00B0444B">
        <w:t>d’USD</w:t>
      </w:r>
      <w:r w:rsidR="005D6275">
        <w:t xml:space="preserve"> sur 5 ans</w:t>
      </w:r>
      <w:r>
        <w:t>. Les secteur</w:t>
      </w:r>
      <w:r w:rsidR="005D6275">
        <w:t>s</w:t>
      </w:r>
      <w:r>
        <w:t xml:space="preserve"> concernés étaient le gestion durable des écosystèmes et des ressources naturelles (dont le REDD+ et le FLEGT), la gestion des</w:t>
      </w:r>
      <w:r w:rsidR="00CA298C">
        <w:t xml:space="preserve"> eaux transfrontalières, l</w:t>
      </w:r>
      <w:r>
        <w:t>a sécurité alimentaire et l’atténuation et adaptation aux changements climatiques (ce dernier secteur ayant bénéficié de 30% des financements)</w:t>
      </w:r>
      <w:r w:rsidR="005D6275">
        <w:rPr>
          <w:rStyle w:val="FootnoteReference"/>
        </w:rPr>
        <w:footnoteReference w:id="65"/>
      </w:r>
      <w:r>
        <w:t>.</w:t>
      </w:r>
      <w:r w:rsidR="007C79F5">
        <w:br w:type="page"/>
      </w:r>
    </w:p>
    <w:p w14:paraId="65F36568" w14:textId="49BA561A" w:rsidR="001E7D72" w:rsidRDefault="001E7D72" w:rsidP="00B67EFD">
      <w:pPr>
        <w:pStyle w:val="Heading3"/>
      </w:pPr>
      <w:bookmarkStart w:id="43" w:name="_Ref449978825"/>
      <w:bookmarkStart w:id="44" w:name="_Toc454886786"/>
      <w:r>
        <w:lastRenderedPageBreak/>
        <w:t>Autres sources de financement</w:t>
      </w:r>
      <w:bookmarkEnd w:id="43"/>
      <w:bookmarkEnd w:id="44"/>
    </w:p>
    <w:p w14:paraId="45863C0B" w14:textId="39DCADF0" w:rsidR="001E7D72" w:rsidRDefault="003B2BDE" w:rsidP="001E7D72">
      <w:r>
        <w:t>Parmi les autres sources de financements, on peut cit</w:t>
      </w:r>
      <w:r w:rsidR="00CA298C">
        <w:t>er les ONG</w:t>
      </w:r>
      <w:r>
        <w:t xml:space="preserve"> et les </w:t>
      </w:r>
      <w:r w:rsidR="00001A4A">
        <w:t>fondations</w:t>
      </w:r>
      <w:r>
        <w:t xml:space="preserve"> qui </w:t>
      </w:r>
      <w:r w:rsidR="00001A4A">
        <w:t>reçoivent</w:t>
      </w:r>
      <w:r>
        <w:t xml:space="preserve"> des fonds issus </w:t>
      </w:r>
      <w:r w:rsidR="00001A4A">
        <w:t xml:space="preserve">des institutions internationales </w:t>
      </w:r>
      <w:r w:rsidR="00CA298C">
        <w:t>et</w:t>
      </w:r>
      <w:r w:rsidR="00001A4A">
        <w:t xml:space="preserve"> de donateurs privés comme</w:t>
      </w:r>
      <w:r w:rsidR="00CA298C">
        <w:t xml:space="preserve"> le</w:t>
      </w:r>
      <w:r w:rsidR="00001A4A">
        <w:t xml:space="preserve"> </w:t>
      </w:r>
      <w:r w:rsidR="00001A4A" w:rsidRPr="00CA298C">
        <w:rPr>
          <w:i/>
        </w:rPr>
        <w:t>Forest peoples programme</w:t>
      </w:r>
      <w:r w:rsidR="00001A4A">
        <w:t xml:space="preserve"> qui a participé au cofinancement d’un projet FLEGT financé par l’Union Européenne, WRI qui appui le processus d’élaboration du </w:t>
      </w:r>
      <w:r w:rsidR="00CA298C">
        <w:t>Plan National d’Affectation des Terres (</w:t>
      </w:r>
      <w:r w:rsidR="00001A4A">
        <w:t>PNAT</w:t>
      </w:r>
      <w:r w:rsidR="00CA298C">
        <w:t>)</w:t>
      </w:r>
      <w:r w:rsidR="00001A4A">
        <w:t xml:space="preserve"> ou encore </w:t>
      </w:r>
      <w:proofErr w:type="spellStart"/>
      <w:r w:rsidR="000B5035">
        <w:t>Africa</w:t>
      </w:r>
      <w:proofErr w:type="spellEnd"/>
      <w:r w:rsidR="000B5035">
        <w:t xml:space="preserve"> Park Conservation, </w:t>
      </w:r>
      <w:r w:rsidR="00001A4A">
        <w:t xml:space="preserve">WWF et </w:t>
      </w:r>
      <w:proofErr w:type="spellStart"/>
      <w:r w:rsidR="00001A4A">
        <w:t>W</w:t>
      </w:r>
      <w:r w:rsidR="00CA298C">
        <w:t>ildlife</w:t>
      </w:r>
      <w:proofErr w:type="spellEnd"/>
      <w:r w:rsidR="00CA298C">
        <w:t xml:space="preserve"> Conservation Society (WC</w:t>
      </w:r>
      <w:r w:rsidR="00001A4A">
        <w:t>S</w:t>
      </w:r>
      <w:r w:rsidR="00CA298C">
        <w:t>)</w:t>
      </w:r>
      <w:r w:rsidR="00001A4A">
        <w:t xml:space="preserve"> </w:t>
      </w:r>
      <w:r w:rsidR="000B5035">
        <w:t>qui cofinance et participe à la gestion durable en association avec le MEFDD</w:t>
      </w:r>
      <w:r w:rsidR="00A11D47">
        <w:t>E</w:t>
      </w:r>
      <w:r w:rsidR="000B5035">
        <w:t xml:space="preserve"> des Aires Protégées au Congo (notamment </w:t>
      </w:r>
      <w:proofErr w:type="spellStart"/>
      <w:r w:rsidR="000B5035" w:rsidRPr="000B5035">
        <w:rPr>
          <w:rFonts w:cs="Arial"/>
          <w:szCs w:val="18"/>
        </w:rPr>
        <w:t>Nouabalé</w:t>
      </w:r>
      <w:proofErr w:type="spellEnd"/>
      <w:r w:rsidR="000B5035" w:rsidRPr="000B5035">
        <w:rPr>
          <w:rFonts w:cs="Arial"/>
          <w:szCs w:val="18"/>
        </w:rPr>
        <w:t xml:space="preserve"> </w:t>
      </w:r>
      <w:proofErr w:type="spellStart"/>
      <w:r w:rsidR="000B5035" w:rsidRPr="000B5035">
        <w:rPr>
          <w:rFonts w:cs="Arial"/>
          <w:szCs w:val="18"/>
        </w:rPr>
        <w:t>Ndoki</w:t>
      </w:r>
      <w:proofErr w:type="spellEnd"/>
      <w:r w:rsidR="000B5035" w:rsidRPr="000B5035">
        <w:rPr>
          <w:rFonts w:cs="Arial"/>
          <w:szCs w:val="18"/>
        </w:rPr>
        <w:t xml:space="preserve">, </w:t>
      </w:r>
      <w:proofErr w:type="spellStart"/>
      <w:r w:rsidR="000B5035" w:rsidRPr="000B5035">
        <w:rPr>
          <w:rFonts w:cs="Arial"/>
          <w:szCs w:val="18"/>
        </w:rPr>
        <w:t>Odzala</w:t>
      </w:r>
      <w:proofErr w:type="spellEnd"/>
      <w:r w:rsidR="000B5035" w:rsidRPr="000B5035">
        <w:rPr>
          <w:rFonts w:cs="Arial"/>
          <w:szCs w:val="18"/>
        </w:rPr>
        <w:t xml:space="preserve">- </w:t>
      </w:r>
      <w:proofErr w:type="spellStart"/>
      <w:r w:rsidR="000B5035" w:rsidRPr="000B5035">
        <w:rPr>
          <w:rFonts w:cs="Arial"/>
          <w:szCs w:val="18"/>
        </w:rPr>
        <w:t>Kokoua</w:t>
      </w:r>
      <w:proofErr w:type="spellEnd"/>
      <w:r w:rsidR="000B5035" w:rsidRPr="000B5035">
        <w:rPr>
          <w:rFonts w:cs="Arial"/>
          <w:szCs w:val="18"/>
        </w:rPr>
        <w:t xml:space="preserve">, </w:t>
      </w:r>
      <w:proofErr w:type="spellStart"/>
      <w:r w:rsidR="000B5035" w:rsidRPr="000B5035">
        <w:rPr>
          <w:rFonts w:cs="Arial"/>
          <w:szCs w:val="18"/>
        </w:rPr>
        <w:t>Conkouati</w:t>
      </w:r>
      <w:proofErr w:type="spellEnd"/>
      <w:r w:rsidR="000B5035" w:rsidRPr="000B5035">
        <w:rPr>
          <w:rFonts w:cs="Arial"/>
          <w:szCs w:val="18"/>
        </w:rPr>
        <w:t xml:space="preserve"> </w:t>
      </w:r>
      <w:proofErr w:type="spellStart"/>
      <w:r w:rsidR="000B5035" w:rsidRPr="000B5035">
        <w:rPr>
          <w:rFonts w:cs="Arial"/>
          <w:szCs w:val="18"/>
        </w:rPr>
        <w:t>Douli</w:t>
      </w:r>
      <w:proofErr w:type="spellEnd"/>
      <w:r w:rsidR="000B5035" w:rsidRPr="000B5035">
        <w:rPr>
          <w:rFonts w:cs="Arial"/>
          <w:szCs w:val="18"/>
        </w:rPr>
        <w:t xml:space="preserve"> et Lac Télé</w:t>
      </w:r>
      <w:r w:rsidR="000B5035">
        <w:rPr>
          <w:rFonts w:cs="Arial"/>
          <w:sz w:val="18"/>
          <w:szCs w:val="18"/>
        </w:rPr>
        <w:t>)</w:t>
      </w:r>
      <w:r w:rsidR="00CA298C">
        <w:rPr>
          <w:rFonts w:cs="Arial"/>
          <w:sz w:val="18"/>
          <w:szCs w:val="18"/>
        </w:rPr>
        <w:t>.</w:t>
      </w:r>
    </w:p>
    <w:p w14:paraId="69F28C9F" w14:textId="77777777" w:rsidR="00001A4A" w:rsidRPr="00D11996" w:rsidRDefault="00001A4A" w:rsidP="008B0EB3">
      <w:pPr>
        <w:pStyle w:val="ListParagraph"/>
        <w:numPr>
          <w:ilvl w:val="0"/>
          <w:numId w:val="31"/>
        </w:numPr>
        <w:rPr>
          <w:rFonts w:cs="Arial"/>
          <w:color w:val="548AB7" w:themeColor="accent1" w:themeShade="BF"/>
          <w:szCs w:val="22"/>
        </w:rPr>
      </w:pPr>
      <w:r w:rsidRPr="00D11996">
        <w:rPr>
          <w:rFonts w:cs="Arial"/>
          <w:color w:val="548AB7" w:themeColor="accent1" w:themeShade="BF"/>
          <w:szCs w:val="22"/>
        </w:rPr>
        <w:t>Fondation pour le tri national de la Sangha (FTNS)</w:t>
      </w:r>
      <w:r w:rsidRPr="00D11996">
        <w:rPr>
          <w:rStyle w:val="FootnoteReference"/>
          <w:rFonts w:cs="Arial"/>
          <w:color w:val="548AB7" w:themeColor="accent1" w:themeShade="BF"/>
          <w:szCs w:val="22"/>
        </w:rPr>
        <w:footnoteReference w:id="66"/>
      </w:r>
    </w:p>
    <w:p w14:paraId="1909AD1F" w14:textId="5A97654C" w:rsidR="00001A4A" w:rsidRDefault="00001A4A" w:rsidP="00001A4A">
      <w:pPr>
        <w:spacing w:after="0"/>
        <w:rPr>
          <w:rFonts w:cs="Arial"/>
          <w:szCs w:val="22"/>
        </w:rPr>
      </w:pPr>
      <w:r>
        <w:rPr>
          <w:rFonts w:cs="Arial"/>
          <w:szCs w:val="22"/>
        </w:rPr>
        <w:t xml:space="preserve">Créé en 2007 avec un capital de 35 millions d’euros, la FTNS (entité </w:t>
      </w:r>
      <w:r w:rsidR="009C6E6C">
        <w:rPr>
          <w:rFonts w:cs="Arial"/>
          <w:szCs w:val="22"/>
        </w:rPr>
        <w:t>caritative</w:t>
      </w:r>
      <w:r>
        <w:rPr>
          <w:rFonts w:cs="Arial"/>
          <w:szCs w:val="22"/>
        </w:rPr>
        <w:t xml:space="preserve"> de droit anglais) est un </w:t>
      </w:r>
      <w:r>
        <w:t>fonds fiduciaire pour l’environnement pio</w:t>
      </w:r>
      <w:r w:rsidR="000E65FC">
        <w:t>nnier dans la région d’Afrique C</w:t>
      </w:r>
      <w:r>
        <w:t>entrale avec pour objectif</w:t>
      </w:r>
      <w:r w:rsidR="000E65FC">
        <w:t>s</w:t>
      </w:r>
      <w:r>
        <w:t xml:space="preserve"> de contribuer au financement à long terme des activités de conservation, d’écodéveloppement et de coopération transfrontalière au sein du complexe forestier appelé le Tri-national de la Sangha. </w:t>
      </w:r>
      <w:r>
        <w:rPr>
          <w:rFonts w:cs="Arial"/>
          <w:szCs w:val="22"/>
        </w:rPr>
        <w:t xml:space="preserve"> En 2014, la FTNS a mobilisé 27,5 millions supplémentaires de la part d’autres donneurs (notamment de l’AFD et la </w:t>
      </w:r>
      <w:proofErr w:type="spellStart"/>
      <w:r>
        <w:rPr>
          <w:rFonts w:cs="Arial"/>
          <w:szCs w:val="22"/>
        </w:rPr>
        <w:t>kfW</w:t>
      </w:r>
      <w:proofErr w:type="spellEnd"/>
      <w:r>
        <w:rPr>
          <w:rFonts w:cs="Arial"/>
          <w:szCs w:val="22"/>
        </w:rPr>
        <w:t xml:space="preserve">) ainsi que de 9,6 millions via des projets. </w:t>
      </w:r>
    </w:p>
    <w:p w14:paraId="5B7671A4" w14:textId="150F16C3" w:rsidR="00BA65C9" w:rsidRDefault="002813E6" w:rsidP="00E746D3">
      <w:pPr>
        <w:spacing w:after="0"/>
        <w:rPr>
          <w:rFonts w:cs="Arial"/>
          <w:szCs w:val="22"/>
        </w:rPr>
      </w:pPr>
      <w:r>
        <w:rPr>
          <w:rFonts w:cs="Arial"/>
          <w:szCs w:val="22"/>
        </w:rPr>
        <w:t>En</w:t>
      </w:r>
      <w:r w:rsidR="00001A4A">
        <w:rPr>
          <w:rFonts w:cs="Arial"/>
          <w:szCs w:val="22"/>
        </w:rPr>
        <w:t xml:space="preserve"> République du Congo, </w:t>
      </w:r>
      <w:r>
        <w:rPr>
          <w:rFonts w:cs="Arial"/>
          <w:szCs w:val="22"/>
        </w:rPr>
        <w:t xml:space="preserve">l’ONG WCS </w:t>
      </w:r>
      <w:r w:rsidR="00001A4A">
        <w:rPr>
          <w:rFonts w:cs="Arial"/>
          <w:szCs w:val="22"/>
        </w:rPr>
        <w:t xml:space="preserve">appui </w:t>
      </w:r>
      <w:r>
        <w:rPr>
          <w:rFonts w:cs="Arial"/>
          <w:szCs w:val="22"/>
        </w:rPr>
        <w:t xml:space="preserve">la gestion de l’aire protégée </w:t>
      </w:r>
      <w:proofErr w:type="spellStart"/>
      <w:r>
        <w:rPr>
          <w:rFonts w:cs="Arial"/>
          <w:szCs w:val="22"/>
        </w:rPr>
        <w:t>Nouabale</w:t>
      </w:r>
      <w:proofErr w:type="spellEnd"/>
      <w:r>
        <w:rPr>
          <w:rFonts w:cs="Arial"/>
          <w:szCs w:val="22"/>
        </w:rPr>
        <w:t xml:space="preserve"> </w:t>
      </w:r>
      <w:proofErr w:type="spellStart"/>
      <w:r>
        <w:rPr>
          <w:rFonts w:cs="Arial"/>
          <w:szCs w:val="22"/>
        </w:rPr>
        <w:t>Ndoki</w:t>
      </w:r>
      <w:proofErr w:type="spellEnd"/>
      <w:r>
        <w:rPr>
          <w:rFonts w:cs="Arial"/>
          <w:szCs w:val="22"/>
        </w:rPr>
        <w:t xml:space="preserve"> appartenant à l’espace</w:t>
      </w:r>
      <w:r w:rsidR="00001A4A">
        <w:rPr>
          <w:rFonts w:cs="Arial"/>
          <w:szCs w:val="22"/>
        </w:rPr>
        <w:t xml:space="preserve"> TNS</w:t>
      </w:r>
      <w:r>
        <w:rPr>
          <w:rFonts w:cs="Arial"/>
          <w:szCs w:val="22"/>
        </w:rPr>
        <w:t xml:space="preserve">. </w:t>
      </w:r>
      <w:r w:rsidR="00BA65C9">
        <w:rPr>
          <w:rFonts w:cs="Arial"/>
          <w:szCs w:val="22"/>
        </w:rPr>
        <w:br w:type="page"/>
      </w:r>
    </w:p>
    <w:p w14:paraId="29184484" w14:textId="56F4C601" w:rsidR="00171576" w:rsidRDefault="00D3496F" w:rsidP="008B0EB3">
      <w:pPr>
        <w:pStyle w:val="Heading2"/>
        <w:numPr>
          <w:ilvl w:val="0"/>
          <w:numId w:val="13"/>
        </w:numPr>
      </w:pPr>
      <w:bookmarkStart w:id="45" w:name="_Toc454886787"/>
      <w:r>
        <w:lastRenderedPageBreak/>
        <w:t>Les f</w:t>
      </w:r>
      <w:r w:rsidR="00961328">
        <w:t>inancements internationaux privés</w:t>
      </w:r>
      <w:bookmarkEnd w:id="45"/>
      <w:r w:rsidR="00961328">
        <w:t xml:space="preserve"> </w:t>
      </w:r>
    </w:p>
    <w:p w14:paraId="046F7A54" w14:textId="04F35861" w:rsidR="00667A7C" w:rsidRPr="00667A7C" w:rsidRDefault="00667A7C" w:rsidP="00667A7C">
      <w:pPr>
        <w:pStyle w:val="Heading3"/>
      </w:pPr>
      <w:bookmarkStart w:id="46" w:name="_Toc454886788"/>
      <w:r>
        <w:t>Les Investissements Etrangers Directs (IED)</w:t>
      </w:r>
      <w:bookmarkEnd w:id="46"/>
    </w:p>
    <w:p w14:paraId="4C302DE3" w14:textId="63C22D0B" w:rsidR="00A623EF" w:rsidRDefault="00A623EF" w:rsidP="00961328">
      <w:r>
        <w:t>Les in</w:t>
      </w:r>
      <w:r w:rsidR="00652BFC">
        <w:t>vestissements étrangers directs (IED) sont définis par la Banque Mondiale par</w:t>
      </w:r>
      <w:r>
        <w:t xml:space="preserve"> les </w:t>
      </w:r>
      <w:r w:rsidR="002813E6">
        <w:t>« </w:t>
      </w:r>
      <w:r>
        <w:t>rentrées nettes d'investissement pour acquérir une participation durable (10 % ou plus des actions avec droit de vote) dans une entreprise opérant au sein d'une économie autre que celle de l'investisseur. C'est la somme des fonds propres, des bénéfices réinvestis, des autres capitaux à long terme et des capitaux à court terme comptabilisés dans la balance des paiements</w:t>
      </w:r>
      <w:r w:rsidR="002813E6">
        <w:t> »</w:t>
      </w:r>
      <w:r w:rsidR="00712B82">
        <w:rPr>
          <w:rStyle w:val="FootnoteReference"/>
        </w:rPr>
        <w:footnoteReference w:id="67"/>
      </w:r>
      <w:r>
        <w:t>.</w:t>
      </w:r>
    </w:p>
    <w:p w14:paraId="3D0DEB81" w14:textId="29D9F335" w:rsidR="00652BFC" w:rsidRDefault="00652BFC" w:rsidP="00961328">
      <w:r>
        <w:t>La République du Congo figure parmi les pays les plus performants de la région en matière d’attraction des IED</w:t>
      </w:r>
      <w:r w:rsidR="00D73FF5">
        <w:t xml:space="preserve"> (8</w:t>
      </w:r>
      <w:r w:rsidR="00D73FF5" w:rsidRPr="00D73FF5">
        <w:rPr>
          <w:vertAlign w:val="superscript"/>
        </w:rPr>
        <w:t>ème</w:t>
      </w:r>
      <w:r w:rsidR="00D73FF5">
        <w:t xml:space="preserve"> pays en termes de stock sur l’ensemble du continent africain selon </w:t>
      </w:r>
      <w:proofErr w:type="spellStart"/>
      <w:r w:rsidR="00D73FF5">
        <w:t>Chauvelot</w:t>
      </w:r>
      <w:proofErr w:type="spellEnd"/>
      <w:r w:rsidR="00D73FF5">
        <w:t>, 2014)</w:t>
      </w:r>
      <w:r>
        <w:t xml:space="preserve">. </w:t>
      </w:r>
      <w:r w:rsidR="00887237">
        <w:t>L</w:t>
      </w:r>
      <w:r>
        <w:t>es chiff</w:t>
      </w:r>
      <w:r w:rsidR="008374E5">
        <w:t xml:space="preserve">res de la </w:t>
      </w:r>
      <w:r w:rsidR="00C64F62" w:rsidRPr="00C64F62">
        <w:rPr>
          <w:rStyle w:val="Emphasis"/>
          <w:i w:val="0"/>
        </w:rPr>
        <w:t>Conférence</w:t>
      </w:r>
      <w:r w:rsidR="00C64F62">
        <w:rPr>
          <w:rStyle w:val="st"/>
          <w:rFonts w:eastAsiaTheme="majorEastAsia"/>
        </w:rPr>
        <w:t xml:space="preserve"> des Nations unies sur le Commerce et le Développemen</w:t>
      </w:r>
      <w:r w:rsidR="00C64F62">
        <w:t>t (</w:t>
      </w:r>
      <w:r w:rsidR="00887237">
        <w:t>CNUCED</w:t>
      </w:r>
      <w:r w:rsidR="00C64F62">
        <w:t>)</w:t>
      </w:r>
      <w:r w:rsidR="008374E5">
        <w:t xml:space="preserve"> indique</w:t>
      </w:r>
      <w:r w:rsidR="00D73FF5">
        <w:t>nt</w:t>
      </w:r>
      <w:r w:rsidR="008374E5">
        <w:t xml:space="preserve"> un flux annuel</w:t>
      </w:r>
      <w:r w:rsidR="00887237">
        <w:t xml:space="preserve"> net</w:t>
      </w:r>
      <w:r w:rsidR="008374E5">
        <w:t xml:space="preserve"> de </w:t>
      </w:r>
      <w:r w:rsidR="00887237">
        <w:t>2,04</w:t>
      </w:r>
      <w:r w:rsidR="008374E5">
        <w:t xml:space="preserve"> milliard </w:t>
      </w:r>
      <w:r w:rsidR="00B0444B">
        <w:t>d’USD</w:t>
      </w:r>
      <w:r w:rsidR="00BA65C9">
        <w:t xml:space="preserve"> en 2013 avec un stock d’IED </w:t>
      </w:r>
      <w:r w:rsidR="00887237">
        <w:t xml:space="preserve">de 23 050 milliard </w:t>
      </w:r>
      <w:r w:rsidR="00B0444B">
        <w:t>d’USD</w:t>
      </w:r>
      <w:r w:rsidR="00887237">
        <w:rPr>
          <w:rStyle w:val="FootnoteReference"/>
        </w:rPr>
        <w:footnoteReference w:id="68"/>
      </w:r>
      <w:r w:rsidR="00887237">
        <w:t xml:space="preserve">. </w:t>
      </w:r>
      <w:r w:rsidR="00B271F9">
        <w:t>L</w:t>
      </w:r>
      <w:r w:rsidR="00887237">
        <w:t>a Banque Mondiale</w:t>
      </w:r>
      <w:r w:rsidR="00C64F62">
        <w:t>, pour 2015,</w:t>
      </w:r>
      <w:r w:rsidR="00B271F9">
        <w:t xml:space="preserve"> a estimé</w:t>
      </w:r>
      <w:r w:rsidR="00887237">
        <w:t xml:space="preserve"> le</w:t>
      </w:r>
      <w:r w:rsidR="00B271F9">
        <w:t>s</w:t>
      </w:r>
      <w:r w:rsidR="00887237">
        <w:t xml:space="preserve"> flux net d’IED à 5,5 milliards </w:t>
      </w:r>
      <w:r w:rsidR="00B0444B">
        <w:t>d’USD</w:t>
      </w:r>
      <w:r w:rsidR="00887237">
        <w:rPr>
          <w:rStyle w:val="FootnoteReference"/>
        </w:rPr>
        <w:footnoteReference w:id="69"/>
      </w:r>
      <w:r w:rsidR="00887237">
        <w:t xml:space="preserve">. </w:t>
      </w:r>
    </w:p>
    <w:p w14:paraId="4EBB6486" w14:textId="44FECE98" w:rsidR="00AB1121" w:rsidRDefault="00C64F62" w:rsidP="00961328">
      <w:r>
        <w:t>En 2013, l</w:t>
      </w:r>
      <w:r w:rsidR="00D73FF5">
        <w:t xml:space="preserve">a Commission Nationale des Investissement </w:t>
      </w:r>
      <w:r w:rsidR="009F400D">
        <w:t xml:space="preserve">(CNI) </w:t>
      </w:r>
      <w:r w:rsidR="00D73FF5">
        <w:t xml:space="preserve">rapporte que ces capitaux sont d’origines variées : 31,7% d’Afrique, 16% de la France, 9,6% de la Chine et 1,7% du Liban. Les 41% restants proviennent </w:t>
      </w:r>
      <w:r w:rsidR="009F400D">
        <w:t xml:space="preserve">d’autres pays dont les </w:t>
      </w:r>
      <w:r w:rsidR="00D73FF5">
        <w:t>Etats-Unis, la Malaisie, Brésil et Singapour</w:t>
      </w:r>
      <w:r w:rsidR="007F1584">
        <w:t xml:space="preserve"> (CNUCED, 2015</w:t>
      </w:r>
      <w:r w:rsidR="009F400D">
        <w:t>)</w:t>
      </w:r>
      <w:r w:rsidR="00D73FF5">
        <w:t xml:space="preserve">. </w:t>
      </w:r>
      <w:r w:rsidR="009F400D">
        <w:t>Malgré l’importance des IED, les flux d’investissement sont concentrés à plus d</w:t>
      </w:r>
      <w:r w:rsidR="00020ECD">
        <w:t>e 90% sur le secteur pétrolier et le manque de statistiques officielles ne permet pas de disposer d’une image détaillée des</w:t>
      </w:r>
      <w:r>
        <w:t xml:space="preserve"> autres</w:t>
      </w:r>
      <w:r w:rsidR="00020ECD">
        <w:t xml:space="preserve"> secteurs concernés par les IED ainsi que les localisat</w:t>
      </w:r>
      <w:r w:rsidR="007F1584">
        <w:t>ions géographiques (CNUCED, 2015</w:t>
      </w:r>
      <w:r w:rsidR="00020ECD">
        <w:t xml:space="preserve">). </w:t>
      </w:r>
    </w:p>
    <w:p w14:paraId="2F1F2A2B" w14:textId="37D39DF7" w:rsidR="00D73FF5" w:rsidRDefault="00AB1121" w:rsidP="00961328">
      <w:r>
        <w:t>On souligne également qu’il est difficile d’estimer les montants d’</w:t>
      </w:r>
      <w:r w:rsidR="00BA65C9">
        <w:t>IED</w:t>
      </w:r>
      <w:r>
        <w:t xml:space="preserve"> issus de la Chine, en effet, </w:t>
      </w:r>
      <w:r w:rsidR="00FD34BC">
        <w:t>ils sont étroitement liés à l’aide au développement fournie par la Chine</w:t>
      </w:r>
      <w:r>
        <w:t xml:space="preserve"> (cf. </w:t>
      </w:r>
      <w:r w:rsidR="007503DC">
        <w:t>1.2.6</w:t>
      </w:r>
      <w:r>
        <w:t>) et</w:t>
      </w:r>
      <w:r w:rsidR="00FD34BC">
        <w:t xml:space="preserve"> </w:t>
      </w:r>
      <w:r>
        <w:t>les investissements passent souvent des entités extraterritoriales selon la BAD (2011).</w:t>
      </w:r>
    </w:p>
    <w:p w14:paraId="7A0EFA0B" w14:textId="77777777" w:rsidR="00AB1121" w:rsidRDefault="00020ECD" w:rsidP="00961328">
      <w:r>
        <w:t>Outre le secteur pétrolier et parapétrolier, la France a investi principalement au Congo dans les secteurs du transport, de l’agroalimentaire (</w:t>
      </w:r>
      <w:proofErr w:type="spellStart"/>
      <w:r>
        <w:t>Vilgrain</w:t>
      </w:r>
      <w:proofErr w:type="spellEnd"/>
      <w:r>
        <w:t xml:space="preserve"> dans le sucre), le BTP et génie civil, les banques et assurances, la distribution et plus récemment la gestion déléguées des services publiques (</w:t>
      </w:r>
      <w:proofErr w:type="spellStart"/>
      <w:r>
        <w:t>Chauvelot</w:t>
      </w:r>
      <w:proofErr w:type="spellEnd"/>
      <w:r>
        <w:t xml:space="preserve">, 2014). </w:t>
      </w:r>
      <w:r w:rsidRPr="00AB1121">
        <w:t xml:space="preserve">La Chine intervient également dans des secteurs variés tel que le pétrole, le bois, les industries de transformation, l’agro-industrie (huile de palme), les matériaux de construction et les infrastructures. </w:t>
      </w:r>
    </w:p>
    <w:p w14:paraId="2063136D" w14:textId="0CC56F5D" w:rsidR="00615549" w:rsidRPr="00615549" w:rsidRDefault="00615549" w:rsidP="007C79F5">
      <w:pPr>
        <w:autoSpaceDE w:val="0"/>
        <w:autoSpaceDN w:val="0"/>
        <w:adjustRightInd w:val="0"/>
        <w:rPr>
          <w:rFonts w:ascii="Tw Cen MT" w:eastAsiaTheme="minorHAnsi" w:hAnsi="Tw Cen MT" w:cs="Arial"/>
          <w:szCs w:val="20"/>
          <w:lang w:eastAsia="en-US"/>
        </w:rPr>
      </w:pPr>
      <w:r w:rsidRPr="00C561F3">
        <w:rPr>
          <w:rFonts w:ascii="Tw Cen MT" w:eastAsiaTheme="minorHAnsi" w:hAnsi="Tw Cen MT" w:cs="HelveticaNeueLTCom-BdCn"/>
          <w:szCs w:val="20"/>
          <w:lang w:eastAsia="en-US"/>
        </w:rPr>
        <w:t>La République du Congo s’est dotée, dispose de</w:t>
      </w:r>
      <w:r w:rsidRPr="00C561F3">
        <w:rPr>
          <w:rFonts w:ascii="Tw Cen MT" w:eastAsiaTheme="minorHAnsi" w:hAnsi="Tw Cen MT" w:cs="Arial"/>
          <w:szCs w:val="20"/>
          <w:lang w:eastAsia="en-US"/>
        </w:rPr>
        <w:t xml:space="preserve"> plusieurs institutions ayant un</w:t>
      </w:r>
      <w:r w:rsidRPr="00C561F3">
        <w:rPr>
          <w:rFonts w:ascii="Tw Cen MT" w:eastAsiaTheme="minorHAnsi" w:hAnsi="Tw Cen MT" w:cs="HelveticaNeueLTCom-BdCn"/>
          <w:szCs w:val="20"/>
          <w:lang w:eastAsia="en-US"/>
        </w:rPr>
        <w:t xml:space="preserve"> mandat lié aux investissements et au développement du secteur privé. </w:t>
      </w:r>
      <w:r w:rsidRPr="00C561F3">
        <w:rPr>
          <w:rFonts w:ascii="Tw Cen MT" w:eastAsiaTheme="minorHAnsi" w:hAnsi="Tw Cen MT" w:cs="HelveticaNeueLTCom-Cn"/>
          <w:szCs w:val="20"/>
          <w:lang w:eastAsia="en-US"/>
        </w:rPr>
        <w:t>En effet, depuis l’adoption de la Charte</w:t>
      </w:r>
      <w:r w:rsidRPr="00C561F3">
        <w:rPr>
          <w:rFonts w:ascii="Tw Cen MT" w:eastAsiaTheme="minorHAnsi" w:hAnsi="Tw Cen MT" w:cs="HelveticaNeueLTCom-BdCn"/>
          <w:szCs w:val="20"/>
          <w:lang w:eastAsia="en-US"/>
        </w:rPr>
        <w:t xml:space="preserve"> </w:t>
      </w:r>
      <w:r w:rsidRPr="00C561F3">
        <w:rPr>
          <w:rFonts w:ascii="Tw Cen MT" w:eastAsiaTheme="minorHAnsi" w:hAnsi="Tw Cen MT" w:cs="HelveticaNeueLTCom-Cn"/>
          <w:szCs w:val="20"/>
          <w:lang w:eastAsia="en-US"/>
        </w:rPr>
        <w:t>des investissements en 2003, le Gouvernement a créé</w:t>
      </w:r>
      <w:r w:rsidRPr="00C561F3">
        <w:rPr>
          <w:rFonts w:ascii="Tw Cen MT" w:eastAsiaTheme="minorHAnsi" w:hAnsi="Tw Cen MT" w:cs="HelveticaNeueLTCom-BdCn"/>
          <w:szCs w:val="20"/>
          <w:lang w:eastAsia="en-US"/>
        </w:rPr>
        <w:t xml:space="preserve"> </w:t>
      </w:r>
      <w:r w:rsidRPr="00C561F3">
        <w:rPr>
          <w:rFonts w:ascii="Tw Cen MT" w:eastAsiaTheme="minorHAnsi" w:hAnsi="Tw Cen MT" w:cs="HelveticaNeueLTCom-Cn"/>
          <w:szCs w:val="20"/>
          <w:lang w:eastAsia="en-US"/>
        </w:rPr>
        <w:t>un Haut c</w:t>
      </w:r>
      <w:r w:rsidR="00C64F62">
        <w:rPr>
          <w:rFonts w:ascii="Tw Cen MT" w:eastAsiaTheme="minorHAnsi" w:hAnsi="Tw Cen MT" w:cs="HelveticaNeueLTCom-Cn"/>
          <w:szCs w:val="20"/>
          <w:lang w:eastAsia="en-US"/>
        </w:rPr>
        <w:t xml:space="preserve">onseil au dialogue public-privé, </w:t>
      </w:r>
      <w:r w:rsidRPr="00C561F3">
        <w:rPr>
          <w:rFonts w:ascii="Tw Cen MT" w:eastAsiaTheme="minorHAnsi" w:hAnsi="Tw Cen MT" w:cs="HelveticaNeueLTCom-Cn"/>
          <w:szCs w:val="20"/>
          <w:lang w:eastAsia="en-US"/>
        </w:rPr>
        <w:t>une</w:t>
      </w:r>
      <w:r w:rsidRPr="00C561F3">
        <w:rPr>
          <w:rFonts w:ascii="Tw Cen MT" w:eastAsiaTheme="minorHAnsi" w:hAnsi="Tw Cen MT" w:cs="HelveticaNeueLTCom-BdCn"/>
          <w:szCs w:val="20"/>
          <w:lang w:eastAsia="en-US"/>
        </w:rPr>
        <w:t xml:space="preserve"> </w:t>
      </w:r>
      <w:r w:rsidRPr="00C561F3">
        <w:rPr>
          <w:rFonts w:ascii="Tw Cen MT" w:eastAsiaTheme="minorHAnsi" w:hAnsi="Tw Cen MT" w:cs="HelveticaNeueLTCom-Cn"/>
          <w:szCs w:val="20"/>
          <w:lang w:eastAsia="en-US"/>
        </w:rPr>
        <w:t xml:space="preserve">Commission nationale des investissements (CNI) et une Agence de promotion de l’investissement (API) </w:t>
      </w:r>
      <w:r w:rsidRPr="00C561F3">
        <w:rPr>
          <w:rFonts w:ascii="Tw Cen MT" w:eastAsiaTheme="minorHAnsi" w:hAnsi="Tw Cen MT" w:cs="Arial"/>
          <w:szCs w:val="20"/>
          <w:lang w:eastAsia="en-US"/>
        </w:rPr>
        <w:t>(BAD 2012)</w:t>
      </w:r>
      <w:r w:rsidR="007C79F5">
        <w:rPr>
          <w:rFonts w:ascii="Tw Cen MT" w:eastAsiaTheme="minorHAnsi" w:hAnsi="Tw Cen MT" w:cs="Arial"/>
          <w:szCs w:val="20"/>
          <w:lang w:eastAsia="en-US"/>
        </w:rPr>
        <w:t xml:space="preserve">. </w:t>
      </w:r>
    </w:p>
    <w:p w14:paraId="1BDE011D" w14:textId="354D4AD1" w:rsidR="0092285E" w:rsidRDefault="00DF2F7A" w:rsidP="00961328">
      <w:r>
        <w:t>P</w:t>
      </w:r>
      <w:r w:rsidR="0092285E">
        <w:t>armi les grands opérateurs</w:t>
      </w:r>
      <w:r w:rsidR="001B6366">
        <w:t xml:space="preserve"> dont les capitaux sont d’origine</w:t>
      </w:r>
      <w:r w:rsidR="00C64F62">
        <w:t>s</w:t>
      </w:r>
      <w:r w:rsidR="001B6366">
        <w:t xml:space="preserve"> étrangère</w:t>
      </w:r>
      <w:r w:rsidR="00C64F62">
        <w:t>s</w:t>
      </w:r>
      <w:r w:rsidR="0092285E">
        <w:t xml:space="preserve"> </w:t>
      </w:r>
      <w:r w:rsidR="001B6366">
        <w:t>dans les secteurs de l’agriculture</w:t>
      </w:r>
      <w:r>
        <w:t xml:space="preserve">, </w:t>
      </w:r>
      <w:r w:rsidR="00C64F62">
        <w:t>de la forêt et d</w:t>
      </w:r>
      <w:r>
        <w:t>es énergies renouvelables (</w:t>
      </w:r>
      <w:r w:rsidRPr="00163294">
        <w:t>en lien avec les secteurs d’activités de la stratégie REDD+)</w:t>
      </w:r>
      <w:r w:rsidR="00163294">
        <w:t xml:space="preserve">, </w:t>
      </w:r>
      <w:r w:rsidR="001B6366">
        <w:t>on compte :</w:t>
      </w:r>
    </w:p>
    <w:p w14:paraId="6E951D35" w14:textId="518A182B" w:rsidR="00255F04" w:rsidRPr="00E746D3" w:rsidRDefault="001C6A11" w:rsidP="008B0EB3">
      <w:pPr>
        <w:pStyle w:val="ListParagraph"/>
        <w:numPr>
          <w:ilvl w:val="0"/>
          <w:numId w:val="22"/>
        </w:numPr>
        <w:spacing w:after="0"/>
        <w:rPr>
          <w:i/>
        </w:rPr>
      </w:pPr>
      <w:r w:rsidRPr="00E746D3">
        <w:rPr>
          <w:i/>
        </w:rPr>
        <w:t>Agrobusiness (source : BAD, 2012)</w:t>
      </w:r>
      <w:r w:rsidR="00255F04" w:rsidRPr="00E746D3">
        <w:rPr>
          <w:i/>
        </w:rPr>
        <w:t> :</w:t>
      </w:r>
    </w:p>
    <w:p w14:paraId="70EE989C" w14:textId="795E9AA9" w:rsidR="00255F04" w:rsidRDefault="00255F04" w:rsidP="008B0EB3">
      <w:pPr>
        <w:pStyle w:val="ListParagraph"/>
        <w:numPr>
          <w:ilvl w:val="0"/>
          <w:numId w:val="39"/>
        </w:numPr>
      </w:pPr>
      <w:r>
        <w:t xml:space="preserve">Société Congo Agriculture : 80 000 ha </w:t>
      </w:r>
      <w:r w:rsidR="001C6A11">
        <w:t xml:space="preserve">pour des </w:t>
      </w:r>
      <w:r>
        <w:t>cultures vivrières</w:t>
      </w:r>
      <w:r w:rsidR="001C6A11">
        <w:t>/</w:t>
      </w:r>
      <w:r>
        <w:t xml:space="preserve">fruitières et </w:t>
      </w:r>
      <w:r w:rsidR="001C6A11">
        <w:t>de l’</w:t>
      </w:r>
      <w:r>
        <w:t>élevage bovin</w:t>
      </w:r>
      <w:r w:rsidR="001C6A11">
        <w:t> ;</w:t>
      </w:r>
    </w:p>
    <w:p w14:paraId="4E1D578F" w14:textId="13FB7431" w:rsidR="00255F04" w:rsidRDefault="00255F04" w:rsidP="008B0EB3">
      <w:pPr>
        <w:pStyle w:val="ListParagraph"/>
        <w:numPr>
          <w:ilvl w:val="0"/>
          <w:numId w:val="39"/>
        </w:numPr>
      </w:pPr>
      <w:r>
        <w:t xml:space="preserve">BR </w:t>
      </w:r>
      <w:proofErr w:type="spellStart"/>
      <w:r>
        <w:t>Africa</w:t>
      </w:r>
      <w:proofErr w:type="spellEnd"/>
      <w:r>
        <w:t xml:space="preserve"> Congo (Brésil)</w:t>
      </w:r>
      <w:r w:rsidR="001C6A11">
        <w:t> : 19 500 ha pour la production</w:t>
      </w:r>
      <w:r w:rsidR="00FF7842">
        <w:t xml:space="preserve"> et</w:t>
      </w:r>
      <w:r w:rsidR="00C64F62">
        <w:t xml:space="preserve"> </w:t>
      </w:r>
      <w:r w:rsidR="001C6A11">
        <w:t>transformation de manioc ;</w:t>
      </w:r>
    </w:p>
    <w:p w14:paraId="2F417798" w14:textId="672D203F" w:rsidR="001C6A11" w:rsidRDefault="001C6A11" w:rsidP="008B0EB3">
      <w:pPr>
        <w:pStyle w:val="ListParagraph"/>
        <w:numPr>
          <w:ilvl w:val="0"/>
          <w:numId w:val="39"/>
        </w:numPr>
      </w:pPr>
      <w:proofErr w:type="spellStart"/>
      <w:r>
        <w:t>Asperbras</w:t>
      </w:r>
      <w:proofErr w:type="spellEnd"/>
      <w:r>
        <w:t xml:space="preserve"> (Brésil) : 50 000 ha po</w:t>
      </w:r>
      <w:r w:rsidR="00C64F62">
        <w:t>u</w:t>
      </w:r>
      <w:r>
        <w:t>r la production de canne à sucre et cultures vivrières ;</w:t>
      </w:r>
    </w:p>
    <w:p w14:paraId="1E6AA6BF" w14:textId="431C935A" w:rsidR="001C6A11" w:rsidRDefault="001C6A11" w:rsidP="008B0EB3">
      <w:pPr>
        <w:pStyle w:val="ListParagraph"/>
        <w:numPr>
          <w:ilvl w:val="0"/>
          <w:numId w:val="39"/>
        </w:numPr>
      </w:pPr>
      <w:proofErr w:type="spellStart"/>
      <w:r>
        <w:t>Atama</w:t>
      </w:r>
      <w:proofErr w:type="spellEnd"/>
      <w:r>
        <w:t xml:space="preserve"> Plantations SARL (Malaisie) : 180 000 ha de plantations de palmiers à huile ;</w:t>
      </w:r>
    </w:p>
    <w:p w14:paraId="4C2793E7" w14:textId="591DCC22" w:rsidR="001C6A11" w:rsidRDefault="001C6A11" w:rsidP="008B0EB3">
      <w:pPr>
        <w:pStyle w:val="ListParagraph"/>
        <w:numPr>
          <w:ilvl w:val="0"/>
          <w:numId w:val="39"/>
        </w:numPr>
      </w:pPr>
      <w:r>
        <w:t xml:space="preserve">Lexus </w:t>
      </w:r>
      <w:proofErr w:type="spellStart"/>
      <w:r>
        <w:t>Agric</w:t>
      </w:r>
      <w:proofErr w:type="spellEnd"/>
      <w:r>
        <w:t xml:space="preserve"> SAR</w:t>
      </w:r>
      <w:r w:rsidR="00C64F62">
        <w:t>L (Malaisie) : 50 000 ha de</w:t>
      </w:r>
      <w:r>
        <w:t xml:space="preserve"> plantation</w:t>
      </w:r>
      <w:r w:rsidR="00C64F62">
        <w:t>s</w:t>
      </w:r>
      <w:r>
        <w:t xml:space="preserve"> de palmiers à huile et hévéa</w:t>
      </w:r>
      <w:r w:rsidR="00C64F62">
        <w:t>s</w:t>
      </w:r>
      <w:r>
        <w:t> ;</w:t>
      </w:r>
    </w:p>
    <w:p w14:paraId="6FCA1400" w14:textId="75E99E4B" w:rsidR="001C6A11" w:rsidRDefault="001C6A11" w:rsidP="008B0EB3">
      <w:pPr>
        <w:pStyle w:val="ListParagraph"/>
        <w:numPr>
          <w:ilvl w:val="0"/>
          <w:numId w:val="39"/>
        </w:numPr>
      </w:pPr>
      <w:r>
        <w:t>Eco-</w:t>
      </w:r>
      <w:proofErr w:type="spellStart"/>
      <w:r>
        <w:t>Oil</w:t>
      </w:r>
      <w:proofErr w:type="spellEnd"/>
      <w:r>
        <w:t xml:space="preserve"> Energie SA (Malaisie) : 50 000 ha de plantations de palmiers à huile</w:t>
      </w:r>
    </w:p>
    <w:p w14:paraId="5D302CE9" w14:textId="3D031EB1" w:rsidR="00E746D3" w:rsidRDefault="00F52C10" w:rsidP="008B0EB3">
      <w:pPr>
        <w:pStyle w:val="ListParagraph"/>
        <w:numPr>
          <w:ilvl w:val="0"/>
          <w:numId w:val="39"/>
        </w:numPr>
      </w:pPr>
      <w:r>
        <w:t>Saris Congo (France) : 12 000 ha de plantation</w:t>
      </w:r>
      <w:r w:rsidR="00C64F62">
        <w:t>s</w:t>
      </w:r>
      <w:r>
        <w:t xml:space="preserve"> de canne à sucre.</w:t>
      </w:r>
    </w:p>
    <w:p w14:paraId="35B8E029" w14:textId="77777777" w:rsidR="00E746D3" w:rsidRDefault="00E746D3" w:rsidP="00E746D3">
      <w:pPr>
        <w:pStyle w:val="ListParagraph"/>
      </w:pPr>
    </w:p>
    <w:p w14:paraId="06BB3C02" w14:textId="678682DF" w:rsidR="001B6366" w:rsidRPr="00E746D3" w:rsidRDefault="001C6A11" w:rsidP="008B0EB3">
      <w:pPr>
        <w:pStyle w:val="ListParagraph"/>
        <w:numPr>
          <w:ilvl w:val="0"/>
          <w:numId w:val="22"/>
        </w:numPr>
        <w:spacing w:after="0"/>
        <w:rPr>
          <w:i/>
        </w:rPr>
      </w:pPr>
      <w:r w:rsidRPr="00E746D3">
        <w:rPr>
          <w:i/>
        </w:rPr>
        <w:t>Exploitation</w:t>
      </w:r>
      <w:r w:rsidR="004F1B3A">
        <w:rPr>
          <w:i/>
        </w:rPr>
        <w:t>s</w:t>
      </w:r>
      <w:r w:rsidRPr="00E746D3">
        <w:rPr>
          <w:i/>
        </w:rPr>
        <w:t xml:space="preserve"> forestières </w:t>
      </w:r>
      <w:r w:rsidR="00E834F7" w:rsidRPr="00E746D3">
        <w:rPr>
          <w:i/>
        </w:rPr>
        <w:t xml:space="preserve">(source : TEREA) </w:t>
      </w:r>
    </w:p>
    <w:p w14:paraId="3B900BEB" w14:textId="35C75480" w:rsidR="007771B7" w:rsidRDefault="007771B7" w:rsidP="008B0EB3">
      <w:pPr>
        <w:pStyle w:val="ListParagraph"/>
        <w:numPr>
          <w:ilvl w:val="0"/>
          <w:numId w:val="39"/>
        </w:numPr>
      </w:pPr>
      <w:r>
        <w:t>Asia Congo industrie (Malaisie) : 600 000 ha</w:t>
      </w:r>
    </w:p>
    <w:p w14:paraId="3EC5652D" w14:textId="11D2D132" w:rsidR="007771B7" w:rsidRDefault="007771B7" w:rsidP="008B0EB3">
      <w:pPr>
        <w:pStyle w:val="ListParagraph"/>
        <w:numPr>
          <w:ilvl w:val="0"/>
          <w:numId w:val="39"/>
        </w:numPr>
      </w:pPr>
      <w:r>
        <w:t>BPL (Liban) : 200 000 ha</w:t>
      </w:r>
    </w:p>
    <w:p w14:paraId="18D27828" w14:textId="1BFFC6E8" w:rsidR="007771B7" w:rsidRDefault="007771B7" w:rsidP="008B0EB3">
      <w:pPr>
        <w:pStyle w:val="ListParagraph"/>
        <w:numPr>
          <w:ilvl w:val="0"/>
          <w:numId w:val="39"/>
        </w:numPr>
      </w:pPr>
      <w:r>
        <w:lastRenderedPageBreak/>
        <w:t>CIB OLAM (Singapour) : 1 300 000 ha</w:t>
      </w:r>
    </w:p>
    <w:p w14:paraId="36ED8542" w14:textId="70D62352" w:rsidR="007771B7" w:rsidRDefault="007771B7" w:rsidP="008B0EB3">
      <w:pPr>
        <w:pStyle w:val="ListParagraph"/>
        <w:numPr>
          <w:ilvl w:val="0"/>
          <w:numId w:val="39"/>
        </w:numPr>
      </w:pPr>
      <w:r>
        <w:t>CIBN (Malaisie) :</w:t>
      </w:r>
      <w:r w:rsidR="00593FAB">
        <w:t xml:space="preserve"> 650 000 ha</w:t>
      </w:r>
    </w:p>
    <w:p w14:paraId="23972CE7" w14:textId="2519B98B" w:rsidR="007771B7" w:rsidRDefault="007771B7" w:rsidP="008B0EB3">
      <w:pPr>
        <w:pStyle w:val="ListParagraph"/>
        <w:numPr>
          <w:ilvl w:val="0"/>
          <w:numId w:val="39"/>
        </w:numPr>
      </w:pPr>
      <w:r>
        <w:t xml:space="preserve">Congo </w:t>
      </w:r>
      <w:proofErr w:type="spellStart"/>
      <w:r>
        <w:t>Dejia</w:t>
      </w:r>
      <w:proofErr w:type="spellEnd"/>
      <w:r>
        <w:t xml:space="preserve"> Wood (Chine) : </w:t>
      </w:r>
      <w:r w:rsidR="00593FAB">
        <w:t>700 000 ha</w:t>
      </w:r>
    </w:p>
    <w:p w14:paraId="310B91E7" w14:textId="7FD03AF8" w:rsidR="007771B7" w:rsidRDefault="007771B7" w:rsidP="008B0EB3">
      <w:pPr>
        <w:pStyle w:val="ListParagraph"/>
        <w:numPr>
          <w:ilvl w:val="0"/>
          <w:numId w:val="39"/>
        </w:numPr>
      </w:pPr>
      <w:proofErr w:type="spellStart"/>
      <w:r>
        <w:t>Foralac</w:t>
      </w:r>
      <w:proofErr w:type="spellEnd"/>
      <w:r>
        <w:t xml:space="preserve"> (Europe) :</w:t>
      </w:r>
      <w:r w:rsidR="00593FAB">
        <w:t xml:space="preserve"> 700 000 ha</w:t>
      </w:r>
    </w:p>
    <w:p w14:paraId="023163B5" w14:textId="3BF51C3D" w:rsidR="007771B7" w:rsidRDefault="007771B7" w:rsidP="008B0EB3">
      <w:pPr>
        <w:pStyle w:val="ListParagraph"/>
        <w:numPr>
          <w:ilvl w:val="0"/>
          <w:numId w:val="39"/>
        </w:numPr>
      </w:pPr>
      <w:r>
        <w:t>IFO (Europe) :</w:t>
      </w:r>
      <w:r w:rsidR="00593FAB">
        <w:t xml:space="preserve"> 1 160 000 ha</w:t>
      </w:r>
    </w:p>
    <w:p w14:paraId="5964597E" w14:textId="2E7FB2F7" w:rsidR="007771B7" w:rsidRDefault="007771B7" w:rsidP="008B0EB3">
      <w:pPr>
        <w:pStyle w:val="ListParagraph"/>
        <w:numPr>
          <w:ilvl w:val="0"/>
          <w:numId w:val="39"/>
        </w:numPr>
      </w:pPr>
      <w:proofErr w:type="spellStart"/>
      <w:r>
        <w:t>Likouma</w:t>
      </w:r>
      <w:proofErr w:type="spellEnd"/>
      <w:r>
        <w:t xml:space="preserve"> </w:t>
      </w:r>
      <w:proofErr w:type="spellStart"/>
      <w:r>
        <w:t>Timber</w:t>
      </w:r>
      <w:proofErr w:type="spellEnd"/>
      <w:r>
        <w:t xml:space="preserve"> (Europe)</w:t>
      </w:r>
      <w:r w:rsidR="00593FAB">
        <w:t> : 580 000 ha</w:t>
      </w:r>
    </w:p>
    <w:p w14:paraId="57F7A830" w14:textId="1D038D95" w:rsidR="007771B7" w:rsidRDefault="007771B7" w:rsidP="008B0EB3">
      <w:pPr>
        <w:pStyle w:val="ListParagraph"/>
        <w:numPr>
          <w:ilvl w:val="0"/>
          <w:numId w:val="39"/>
        </w:numPr>
      </w:pPr>
      <w:proofErr w:type="spellStart"/>
      <w:r>
        <w:t>Mokabi</w:t>
      </w:r>
      <w:proofErr w:type="spellEnd"/>
      <w:r>
        <w:t xml:space="preserve"> (Europe) :</w:t>
      </w:r>
      <w:r w:rsidR="00593FAB">
        <w:t xml:space="preserve"> 580 000 ha</w:t>
      </w:r>
    </w:p>
    <w:p w14:paraId="632F36CA" w14:textId="7E8CD518" w:rsidR="007771B7" w:rsidRDefault="007771B7" w:rsidP="008B0EB3">
      <w:pPr>
        <w:pStyle w:val="ListParagraph"/>
        <w:numPr>
          <w:ilvl w:val="0"/>
          <w:numId w:val="39"/>
        </w:numPr>
      </w:pPr>
      <w:r>
        <w:t>SEFYD (Chine) :</w:t>
      </w:r>
      <w:r w:rsidR="00593FAB">
        <w:t xml:space="preserve"> 75 000 ha</w:t>
      </w:r>
    </w:p>
    <w:p w14:paraId="2555C6D1" w14:textId="31245254" w:rsidR="007771B7" w:rsidRDefault="007771B7" w:rsidP="008B0EB3">
      <w:pPr>
        <w:pStyle w:val="ListParagraph"/>
        <w:numPr>
          <w:ilvl w:val="0"/>
          <w:numId w:val="39"/>
        </w:numPr>
      </w:pPr>
      <w:r>
        <w:t>SICOFOR (Chine) :</w:t>
      </w:r>
      <w:r w:rsidR="00593FAB">
        <w:t xml:space="preserve"> 730 000 ha</w:t>
      </w:r>
    </w:p>
    <w:p w14:paraId="24B3C03E" w14:textId="19B05886" w:rsidR="007771B7" w:rsidRDefault="007771B7" w:rsidP="008B0EB3">
      <w:pPr>
        <w:pStyle w:val="ListParagraph"/>
        <w:numPr>
          <w:ilvl w:val="0"/>
          <w:numId w:val="39"/>
        </w:numPr>
      </w:pPr>
      <w:r>
        <w:t>SIFCO (Liban) :</w:t>
      </w:r>
      <w:r w:rsidR="00593FAB">
        <w:t xml:space="preserve"> 650 000 ha</w:t>
      </w:r>
    </w:p>
    <w:p w14:paraId="41EF8300" w14:textId="573EA5B5" w:rsidR="007771B7" w:rsidRDefault="007771B7" w:rsidP="008B0EB3">
      <w:pPr>
        <w:pStyle w:val="ListParagraph"/>
        <w:numPr>
          <w:ilvl w:val="0"/>
          <w:numId w:val="39"/>
        </w:numPr>
      </w:pPr>
      <w:r>
        <w:t>SOFIL (Malaisie) :</w:t>
      </w:r>
      <w:r w:rsidR="00593FAB">
        <w:t xml:space="preserve"> 300 000 ha</w:t>
      </w:r>
    </w:p>
    <w:p w14:paraId="67D71628" w14:textId="345D5B27" w:rsidR="007771B7" w:rsidRDefault="007771B7" w:rsidP="008B0EB3">
      <w:pPr>
        <w:pStyle w:val="ListParagraph"/>
        <w:numPr>
          <w:ilvl w:val="0"/>
          <w:numId w:val="39"/>
        </w:numPr>
      </w:pPr>
      <w:r>
        <w:t>Taman Industrie (Malaisie) :</w:t>
      </w:r>
      <w:r w:rsidR="00593FAB">
        <w:t xml:space="preserve"> 540 000 ha</w:t>
      </w:r>
    </w:p>
    <w:p w14:paraId="7C4B96C7" w14:textId="3E558DE0" w:rsidR="007771B7" w:rsidRDefault="007771B7" w:rsidP="008B0EB3">
      <w:pPr>
        <w:pStyle w:val="ListParagraph"/>
        <w:numPr>
          <w:ilvl w:val="0"/>
          <w:numId w:val="39"/>
        </w:numPr>
      </w:pPr>
      <w:proofErr w:type="spellStart"/>
      <w:r>
        <w:t>Thanry</w:t>
      </w:r>
      <w:proofErr w:type="spellEnd"/>
      <w:r>
        <w:t>-Congo (Chine) :</w:t>
      </w:r>
      <w:r w:rsidR="00593FAB">
        <w:t xml:space="preserve"> 460 000 ha</w:t>
      </w:r>
    </w:p>
    <w:p w14:paraId="79D7DA31" w14:textId="659C979A" w:rsidR="007771B7" w:rsidRDefault="007771B7" w:rsidP="008B0EB3">
      <w:pPr>
        <w:pStyle w:val="ListParagraph"/>
        <w:numPr>
          <w:ilvl w:val="0"/>
          <w:numId w:val="39"/>
        </w:numPr>
      </w:pPr>
      <w:r>
        <w:t xml:space="preserve">Wang Sam </w:t>
      </w:r>
      <w:proofErr w:type="spellStart"/>
      <w:r>
        <w:t>Company</w:t>
      </w:r>
      <w:proofErr w:type="spellEnd"/>
      <w:r>
        <w:t xml:space="preserve"> (Chine) : </w:t>
      </w:r>
      <w:r w:rsidR="00593FAB">
        <w:t>730 000 ha</w:t>
      </w:r>
    </w:p>
    <w:p w14:paraId="42221635" w14:textId="77777777" w:rsidR="004F1B3A" w:rsidRDefault="004F1B3A" w:rsidP="004F1B3A">
      <w:pPr>
        <w:pStyle w:val="ListParagraph"/>
      </w:pPr>
    </w:p>
    <w:p w14:paraId="2E57817A" w14:textId="505AB016" w:rsidR="004F1B3A" w:rsidRPr="004F1B3A" w:rsidRDefault="004F1B3A" w:rsidP="004F1B3A">
      <w:pPr>
        <w:pStyle w:val="ListParagraph"/>
        <w:numPr>
          <w:ilvl w:val="1"/>
          <w:numId w:val="39"/>
        </w:numPr>
        <w:spacing w:after="0"/>
        <w:rPr>
          <w:i/>
        </w:rPr>
      </w:pPr>
      <w:r w:rsidRPr="00E746D3">
        <w:rPr>
          <w:i/>
        </w:rPr>
        <w:t xml:space="preserve">Exploitation et plantations forestières (source : TEREA) </w:t>
      </w:r>
    </w:p>
    <w:p w14:paraId="45492787" w14:textId="2D12F45D" w:rsidR="00593FAB" w:rsidRDefault="00593FAB" w:rsidP="008B0EB3">
      <w:pPr>
        <w:pStyle w:val="ListParagraph"/>
        <w:numPr>
          <w:ilvl w:val="0"/>
          <w:numId w:val="39"/>
        </w:numPr>
      </w:pPr>
      <w:r>
        <w:t>EFC (Canada) : 68 000 ha de plantations d’eucalyptus</w:t>
      </w:r>
    </w:p>
    <w:p w14:paraId="2EB83738" w14:textId="77777777" w:rsidR="007771B7" w:rsidRDefault="007771B7" w:rsidP="00422D0C">
      <w:pPr>
        <w:pStyle w:val="ListParagraph"/>
      </w:pPr>
    </w:p>
    <w:p w14:paraId="0787208F" w14:textId="14ED302B" w:rsidR="001C6A11" w:rsidRPr="00E746D3" w:rsidRDefault="00163294" w:rsidP="008B0EB3">
      <w:pPr>
        <w:pStyle w:val="ListParagraph"/>
        <w:numPr>
          <w:ilvl w:val="0"/>
          <w:numId w:val="14"/>
        </w:numPr>
        <w:spacing w:after="0"/>
        <w:ind w:left="1560" w:hanging="426"/>
        <w:rPr>
          <w:i/>
        </w:rPr>
      </w:pPr>
      <w:r w:rsidRPr="00E746D3">
        <w:rPr>
          <w:i/>
        </w:rPr>
        <w:t>Production d’énergie renouvelable :</w:t>
      </w:r>
    </w:p>
    <w:p w14:paraId="47B6D653" w14:textId="2AAA826A" w:rsidR="009F400D" w:rsidRDefault="00163294" w:rsidP="008B0EB3">
      <w:pPr>
        <w:pStyle w:val="ListParagraph"/>
        <w:numPr>
          <w:ilvl w:val="0"/>
          <w:numId w:val="39"/>
        </w:numPr>
      </w:pPr>
      <w:r>
        <w:t xml:space="preserve">ZTE Corporation (Chine) : Unité </w:t>
      </w:r>
      <w:r w:rsidRPr="00163294">
        <w:t>d’assemblage de panneaux solaires d’une capacité de 50 MW/an.</w:t>
      </w:r>
    </w:p>
    <w:p w14:paraId="72F67844" w14:textId="77E910CA" w:rsidR="00BA65C9" w:rsidRDefault="00BA65C9" w:rsidP="00BA65C9">
      <w:r>
        <w:t xml:space="preserve">En lien avec l’activité 132 de la stratégie nationale REDD+ de la République du Congo : mise en place de mécanismes novateurs de financement, il est recommandé de réaliser une étude qui permettrait d’identifier et de proposer des instruments financiers efficaces </w:t>
      </w:r>
      <w:r w:rsidR="00A75A74">
        <w:t>permettant</w:t>
      </w:r>
      <w:r>
        <w:t xml:space="preserve"> d’orienter les IED</w:t>
      </w:r>
      <w:r w:rsidR="00D2276E">
        <w:t xml:space="preserve"> vers la mise en œuvre de pratiques vertes en lien avec les objectifs de la stratégies nationale REDD+ (exploitation forestière durable et certifiée, plantations d’huile de palme certifiées, etc.). </w:t>
      </w:r>
      <w:r w:rsidR="00A75A74">
        <w:t xml:space="preserve">Il pourra s’agir, par exemple, de réformes fiscales encouragent les pratiques vertes versus des pratiques non durables ou encore d’incitations à travers des appuis financiers des institutions financières internationales au secteur privé.  </w:t>
      </w:r>
    </w:p>
    <w:p w14:paraId="06922489" w14:textId="78829C9F" w:rsidR="00667A7C" w:rsidRDefault="00667A7C" w:rsidP="00667A7C">
      <w:pPr>
        <w:pStyle w:val="Heading3"/>
      </w:pPr>
      <w:bookmarkStart w:id="47" w:name="_Toc454886789"/>
      <w:r>
        <w:t>Les fondations privées</w:t>
      </w:r>
      <w:bookmarkEnd w:id="47"/>
      <w:r>
        <w:t xml:space="preserve"> </w:t>
      </w:r>
    </w:p>
    <w:p w14:paraId="1203FE62" w14:textId="64EE34F6" w:rsidR="000B42CA" w:rsidRDefault="006D6110" w:rsidP="000B42CA">
      <w:r>
        <w:t xml:space="preserve">Les fondations privées philanthropiques qui interviennent à l’internationale peuvent constituer des sources de financement pour la mise en œuvre des activités de la Stratégie Nationale REDD+. </w:t>
      </w:r>
      <w:r w:rsidR="004F4520">
        <w:t>Parmi les plus importantes</w:t>
      </w:r>
      <w:r>
        <w:t xml:space="preserve">, on peut citer </w:t>
      </w:r>
      <w:r w:rsidR="000D7221">
        <w:t>la fondation Gates</w:t>
      </w:r>
      <w:r w:rsidR="00B34432">
        <w:t xml:space="preserve">, </w:t>
      </w:r>
      <w:r w:rsidR="0098618F">
        <w:t>la fondation Mc Arthur</w:t>
      </w:r>
      <w:r w:rsidR="00B34432">
        <w:t xml:space="preserve"> et la fondation Moore</w:t>
      </w:r>
    </w:p>
    <w:p w14:paraId="2670D28E" w14:textId="32391386" w:rsidR="000D7221" w:rsidRPr="000B42CA" w:rsidRDefault="000D7221" w:rsidP="008B0EB3">
      <w:pPr>
        <w:pStyle w:val="ListParagraph"/>
        <w:numPr>
          <w:ilvl w:val="0"/>
          <w:numId w:val="15"/>
        </w:numPr>
      </w:pPr>
      <w:r>
        <w:t>La Fondation Bill et Melinda Gates</w:t>
      </w:r>
      <w:r>
        <w:rPr>
          <w:rStyle w:val="FootnoteReference"/>
        </w:rPr>
        <w:footnoteReference w:id="70"/>
      </w:r>
    </w:p>
    <w:p w14:paraId="283222E1" w14:textId="7A27FD10" w:rsidR="000D7221" w:rsidRDefault="004A1E71" w:rsidP="000B42CA">
      <w:r>
        <w:t>Crée en 2000, l</w:t>
      </w:r>
      <w:r w:rsidR="000D7221">
        <w:t xml:space="preserve">a fondation Gates est la plus grande fondation privée </w:t>
      </w:r>
      <w:r>
        <w:t>philanthropique</w:t>
      </w:r>
      <w:r w:rsidR="000D7221">
        <w:t xml:space="preserve"> mondiale</w:t>
      </w:r>
      <w:r>
        <w:t xml:space="preserve"> avec 36,7 milliards de </w:t>
      </w:r>
      <w:r w:rsidR="00B34432">
        <w:t>dollars de dons accordés</w:t>
      </w:r>
      <w:r>
        <w:t xml:space="preserve"> depuis sa création</w:t>
      </w:r>
      <w:r w:rsidR="00B34432">
        <w:t xml:space="preserve"> jusqu’en 2015</w:t>
      </w:r>
      <w:r w:rsidR="000D7221">
        <w:t>.</w:t>
      </w:r>
      <w:r>
        <w:t xml:space="preserve"> </w:t>
      </w:r>
      <w:r w:rsidR="000D7221">
        <w:t>Elle intervient dans les domaines de la lut</w:t>
      </w:r>
      <w:r w:rsidR="00B34432">
        <w:t>te contre la pauvreté, la santé et</w:t>
      </w:r>
      <w:r w:rsidR="000D7221">
        <w:t xml:space="preserve"> l’éducation. </w:t>
      </w:r>
      <w:r>
        <w:t>En lien avec les activités de la stratégie REDD+, la fondation intervient dans les programmes agricoles et d’amélioration du niveau de vie des petits agriculteurs.</w:t>
      </w:r>
      <w:r w:rsidRPr="004A1E71">
        <w:t xml:space="preserve"> </w:t>
      </w:r>
      <w:r>
        <w:t>En 2015, la fondation a accordé 4,2 milliards de dons.</w:t>
      </w:r>
    </w:p>
    <w:p w14:paraId="5A32AE04" w14:textId="64669461" w:rsidR="006D6110" w:rsidRDefault="006D6110" w:rsidP="008B0EB3">
      <w:pPr>
        <w:pStyle w:val="ListParagraph"/>
        <w:numPr>
          <w:ilvl w:val="0"/>
          <w:numId w:val="15"/>
        </w:numPr>
      </w:pPr>
      <w:r>
        <w:t>La Fondation Mc Arthur</w:t>
      </w:r>
      <w:r w:rsidR="004306EB">
        <w:rPr>
          <w:rStyle w:val="FootnoteReference"/>
        </w:rPr>
        <w:footnoteReference w:id="71"/>
      </w:r>
      <w:r>
        <w:t> </w:t>
      </w:r>
    </w:p>
    <w:p w14:paraId="5CC3B51C" w14:textId="6AF097DB" w:rsidR="006D6110" w:rsidRDefault="006D6110" w:rsidP="006D6110">
      <w:r>
        <w:t>Fondée en 1979, la fondation a accordé 22 500 dons pour un total de 5,7 milliards de dollars. Elle intervient à l'international dans des domaines tels que la défense des droits de l'homme, l'environnement, la sco</w:t>
      </w:r>
      <w:r w:rsidR="00B34432">
        <w:t>larisation des filles, la santé</w:t>
      </w:r>
      <w:r>
        <w:t>. En 2014, la fondation  a accordé</w:t>
      </w:r>
      <w:r w:rsidR="004306EB">
        <w:t xml:space="preserve"> 521 dons pour un montant total de 203,5 millions de dollars (entre 10 000 et 5 millions de dollars par dons) dont 73,2 millions de dollars pour des programmes internationaux. </w:t>
      </w:r>
    </w:p>
    <w:p w14:paraId="7138ABBE" w14:textId="77777777" w:rsidR="00DE7BB4" w:rsidRDefault="00DE7BB4" w:rsidP="006D6110"/>
    <w:p w14:paraId="26217F34" w14:textId="77777777" w:rsidR="00DE7BB4" w:rsidRDefault="00DE7BB4" w:rsidP="006D6110"/>
    <w:p w14:paraId="2AFEAF29" w14:textId="145F4B04" w:rsidR="00B34432" w:rsidRDefault="00B34432" w:rsidP="008B0EB3">
      <w:pPr>
        <w:pStyle w:val="ListParagraph"/>
        <w:numPr>
          <w:ilvl w:val="0"/>
          <w:numId w:val="15"/>
        </w:numPr>
      </w:pPr>
      <w:r>
        <w:lastRenderedPageBreak/>
        <w:t>La Fondation</w:t>
      </w:r>
      <w:r w:rsidR="00BF47A5">
        <w:t xml:space="preserve"> Gordon et Betty</w:t>
      </w:r>
      <w:r>
        <w:t xml:space="preserve"> Moore</w:t>
      </w:r>
      <w:r w:rsidR="00BF47A5">
        <w:rPr>
          <w:rStyle w:val="FootnoteReference"/>
        </w:rPr>
        <w:footnoteReference w:id="72"/>
      </w:r>
    </w:p>
    <w:p w14:paraId="6083ECE6" w14:textId="4B4FD582" w:rsidR="00B34432" w:rsidRDefault="00B34432" w:rsidP="00B34432">
      <w:r>
        <w:t>Depuis 2001, la fondation a accordé plus de 3 milliards de dollars sous forme de dons pour environ 2</w:t>
      </w:r>
      <w:r w:rsidR="00BF47A5">
        <w:t xml:space="preserve"> </w:t>
      </w:r>
      <w:r>
        <w:t>100 projets. Elle intervient dans quatre domaines d’action : la science, la conservation environnementale, la santé et la préservation de la Baie de San Francisco. Au niveau de la conservation environnementale, la fondation a accordé</w:t>
      </w:r>
      <w:r w:rsidR="00A6666D">
        <w:t xml:space="preserve"> 1,3</w:t>
      </w:r>
      <w:r>
        <w:t xml:space="preserve"> </w:t>
      </w:r>
      <w:r w:rsidR="00A6666D">
        <w:t>m</w:t>
      </w:r>
      <w:r>
        <w:t xml:space="preserve">illiard </w:t>
      </w:r>
      <w:r w:rsidR="00A6666D">
        <w:t>de dolla</w:t>
      </w:r>
      <w:r w:rsidR="00BF47A5">
        <w:t xml:space="preserve">rs de dons incluant des programmes </w:t>
      </w:r>
      <w:r w:rsidR="00A6666D">
        <w:t>de réduction de la déforestation dans les pays tropicaux et des projets d’appui au développement des marchés</w:t>
      </w:r>
      <w:r w:rsidR="00BF47A5">
        <w:t xml:space="preserve"> de produits agricoles et forestiers « zéro déforestation ». </w:t>
      </w:r>
      <w:r w:rsidR="00A6666D">
        <w:t xml:space="preserve"> </w:t>
      </w:r>
    </w:p>
    <w:p w14:paraId="33553341" w14:textId="0C3A431A" w:rsidR="00872A36" w:rsidRDefault="00872A36" w:rsidP="000018BA">
      <w:pPr>
        <w:spacing w:after="0"/>
      </w:pPr>
      <w:r>
        <w:t>Parmi les fondations privées philanthropiques qui interviennent directement en République du Congo, on peut citer :</w:t>
      </w:r>
    </w:p>
    <w:p w14:paraId="322CF11F" w14:textId="1FEFC215" w:rsidR="00872A36" w:rsidRPr="00872A36" w:rsidRDefault="00872A36" w:rsidP="00872A36">
      <w:pPr>
        <w:pStyle w:val="ListParagraph"/>
        <w:numPr>
          <w:ilvl w:val="0"/>
          <w:numId w:val="15"/>
        </w:numPr>
      </w:pPr>
      <w:r>
        <w:t xml:space="preserve">La </w:t>
      </w:r>
      <w:r w:rsidR="00A673CD">
        <w:t>F</w:t>
      </w:r>
      <w:r>
        <w:t>ondation Jane Goodall</w:t>
      </w:r>
      <w:r>
        <w:rPr>
          <w:rStyle w:val="FootnoteReference"/>
        </w:rPr>
        <w:footnoteReference w:id="73"/>
      </w:r>
      <w:r>
        <w:t xml:space="preserve"> </w:t>
      </w:r>
      <w:r w:rsidRPr="00872A36">
        <w:rPr>
          <w:rFonts w:ascii="Tw Cen MT" w:hAnsi="Tw Cen MT" w:cs="Arial"/>
          <w:szCs w:val="22"/>
        </w:rPr>
        <w:t xml:space="preserve">qui œuvre </w:t>
      </w:r>
      <w:r>
        <w:rPr>
          <w:rFonts w:ascii="Tw Cen MT" w:hAnsi="Tw Cen MT" w:cs="Arial"/>
          <w:szCs w:val="22"/>
        </w:rPr>
        <w:t xml:space="preserve">pour </w:t>
      </w:r>
      <w:r w:rsidRPr="00872A36">
        <w:rPr>
          <w:rFonts w:ascii="Tw Cen MT" w:hAnsi="Tw Cen MT" w:cs="Arial"/>
          <w:szCs w:val="22"/>
        </w:rPr>
        <w:t xml:space="preserve">la réinsertion des chimpanzés au sanctuaire de </w:t>
      </w:r>
      <w:proofErr w:type="spellStart"/>
      <w:r w:rsidRPr="00872A36">
        <w:rPr>
          <w:rFonts w:ascii="Tw Cen MT" w:hAnsi="Tw Cen MT" w:cs="Arial"/>
          <w:szCs w:val="22"/>
        </w:rPr>
        <w:t>Tchimpunga</w:t>
      </w:r>
      <w:proofErr w:type="spellEnd"/>
      <w:r w:rsidRPr="00872A36">
        <w:rPr>
          <w:rFonts w:ascii="Tw Cen MT" w:hAnsi="Tw Cen MT" w:cs="Arial"/>
          <w:szCs w:val="22"/>
        </w:rPr>
        <w:t xml:space="preserve"> (Département du Kouilou) </w:t>
      </w:r>
      <w:r>
        <w:rPr>
          <w:rFonts w:ascii="Tw Cen MT" w:hAnsi="Tw Cen MT" w:cs="Arial"/>
          <w:szCs w:val="22"/>
        </w:rPr>
        <w:t>avec</w:t>
      </w:r>
      <w:r w:rsidRPr="00872A36">
        <w:rPr>
          <w:rFonts w:ascii="Tw Cen MT" w:hAnsi="Tw Cen MT" w:cs="Arial"/>
          <w:szCs w:val="22"/>
        </w:rPr>
        <w:t xml:space="preserve"> l’ONG HELP (Habitat Ecologique et Liberté des Primates).</w:t>
      </w:r>
      <w:r>
        <w:rPr>
          <w:rFonts w:ascii="Tw Cen MT" w:hAnsi="Tw Cen MT" w:cs="Arial"/>
          <w:szCs w:val="22"/>
        </w:rPr>
        <w:t xml:space="preserve"> En 2014, </w:t>
      </w:r>
      <w:r>
        <w:t xml:space="preserve">le budget prévisionnel de fonctionnement du sanctuaire a été estimé à 600 000 euros. </w:t>
      </w:r>
    </w:p>
    <w:p w14:paraId="26C79690" w14:textId="77777777" w:rsidR="00A673CD" w:rsidRDefault="00872A36" w:rsidP="00A673CD">
      <w:pPr>
        <w:pStyle w:val="ListParagraph"/>
        <w:rPr>
          <w:rStyle w:val="Strong"/>
          <w:rFonts w:eastAsiaTheme="majorEastAsia"/>
          <w:b w:val="0"/>
        </w:rPr>
      </w:pPr>
      <w:r w:rsidRPr="00872A36">
        <w:rPr>
          <w:rStyle w:val="Strong"/>
          <w:rFonts w:eastAsiaTheme="majorEastAsia"/>
          <w:b w:val="0"/>
        </w:rPr>
        <w:t>Depuis 38 ans, l’Institut a engagé des programmes de recherche sur les chimpanzés et de protection de la biodiversité. Elle dispose par ailleurs de programmes d’aide au développement durable des populations et d’éducation.</w:t>
      </w:r>
    </w:p>
    <w:p w14:paraId="3D963F7C" w14:textId="193068FF" w:rsidR="000018BA" w:rsidRPr="00A673CD" w:rsidRDefault="00A673CD" w:rsidP="00A673CD">
      <w:pPr>
        <w:pStyle w:val="ListParagraph"/>
        <w:numPr>
          <w:ilvl w:val="0"/>
          <w:numId w:val="39"/>
        </w:numPr>
        <w:rPr>
          <w:rFonts w:eastAsiaTheme="majorEastAsia"/>
          <w:bCs/>
        </w:rPr>
      </w:pPr>
      <w:r>
        <w:rPr>
          <w:rFonts w:ascii="Tw Cen MT" w:hAnsi="Tw Cen MT" w:cs="Arial"/>
        </w:rPr>
        <w:t>La F</w:t>
      </w:r>
      <w:r w:rsidR="000018BA" w:rsidRPr="00A673CD">
        <w:rPr>
          <w:rFonts w:ascii="Tw Cen MT" w:hAnsi="Tw Cen MT" w:cs="Arial"/>
        </w:rPr>
        <w:t xml:space="preserve">ondation John </w:t>
      </w:r>
      <w:proofErr w:type="spellStart"/>
      <w:r w:rsidR="000018BA" w:rsidRPr="00A673CD">
        <w:rPr>
          <w:rFonts w:ascii="Tw Cen MT" w:hAnsi="Tw Cen MT" w:cs="Arial"/>
        </w:rPr>
        <w:t>Aspinall</w:t>
      </w:r>
      <w:proofErr w:type="spellEnd"/>
      <w:r>
        <w:rPr>
          <w:rStyle w:val="FootnoteReference"/>
          <w:rFonts w:ascii="Tw Cen MT" w:hAnsi="Tw Cen MT" w:cs="Arial"/>
        </w:rPr>
        <w:footnoteReference w:id="74"/>
      </w:r>
      <w:r>
        <w:rPr>
          <w:rFonts w:ascii="Tw Cen MT" w:hAnsi="Tw Cen MT" w:cs="Arial"/>
        </w:rPr>
        <w:t xml:space="preserve"> </w:t>
      </w:r>
      <w:r w:rsidR="000018BA" w:rsidRPr="00A673CD">
        <w:rPr>
          <w:rFonts w:ascii="Tw Cen MT" w:hAnsi="Tw Cen MT" w:cs="Arial"/>
        </w:rPr>
        <w:t>qui</w:t>
      </w:r>
      <w:r>
        <w:rPr>
          <w:rFonts w:ascii="Tw Cen MT" w:hAnsi="Tw Cen MT" w:cs="Arial"/>
        </w:rPr>
        <w:t>, depuis 1987,</w:t>
      </w:r>
      <w:r w:rsidR="000018BA" w:rsidRPr="00A673CD">
        <w:rPr>
          <w:rFonts w:ascii="Tw Cen MT" w:hAnsi="Tw Cen MT" w:cs="Arial"/>
        </w:rPr>
        <w:t xml:space="preserve"> </w:t>
      </w:r>
      <w:r>
        <w:rPr>
          <w:rFonts w:ascii="Tw Cen MT" w:hAnsi="Tw Cen MT" w:cs="Arial"/>
        </w:rPr>
        <w:t xml:space="preserve">finance le </w:t>
      </w:r>
      <w:r w:rsidRPr="00A673CD">
        <w:rPr>
          <w:rFonts w:ascii="Tw Cen MT" w:hAnsi="Tw Cen MT" w:cs="Arial"/>
        </w:rPr>
        <w:t>pro</w:t>
      </w:r>
      <w:r>
        <w:rPr>
          <w:rFonts w:ascii="Tw Cen MT" w:hAnsi="Tw Cen MT" w:cs="Arial"/>
        </w:rPr>
        <w:t xml:space="preserve">jet « Protection des Gorilles » qui vise la </w:t>
      </w:r>
      <w:r w:rsidRPr="00A673CD">
        <w:rPr>
          <w:rFonts w:ascii="Tw Cen MT" w:hAnsi="Tw Cen MT" w:cs="Arial"/>
        </w:rPr>
        <w:t xml:space="preserve">réinsertion des gorilles </w:t>
      </w:r>
      <w:r w:rsidR="000018BA" w:rsidRPr="00A673CD">
        <w:rPr>
          <w:rFonts w:ascii="Tw Cen MT" w:hAnsi="Tw Cen MT" w:cs="Arial"/>
        </w:rPr>
        <w:t xml:space="preserve">au parc </w:t>
      </w:r>
      <w:proofErr w:type="spellStart"/>
      <w:r w:rsidR="000018BA" w:rsidRPr="00A673CD">
        <w:rPr>
          <w:rFonts w:ascii="Tw Cen MT" w:hAnsi="Tw Cen MT" w:cs="Arial"/>
        </w:rPr>
        <w:t>Lé</w:t>
      </w:r>
      <w:r w:rsidR="00DE7BB4">
        <w:rPr>
          <w:rFonts w:ascii="Tw Cen MT" w:hAnsi="Tw Cen MT" w:cs="Arial"/>
        </w:rPr>
        <w:t>sio-Louna</w:t>
      </w:r>
      <w:proofErr w:type="spellEnd"/>
      <w:r w:rsidR="00DE7BB4">
        <w:rPr>
          <w:rFonts w:ascii="Tw Cen MT" w:hAnsi="Tw Cen MT" w:cs="Arial"/>
        </w:rPr>
        <w:t xml:space="preserve"> (Département du Pool)</w:t>
      </w:r>
      <w:r>
        <w:rPr>
          <w:rFonts w:ascii="Tw Cen MT" w:hAnsi="Tw Cen MT" w:cs="Arial"/>
        </w:rPr>
        <w:t xml:space="preserve">. </w:t>
      </w:r>
    </w:p>
    <w:p w14:paraId="015C3EF9" w14:textId="5D9B6082" w:rsidR="00A673CD" w:rsidRPr="00A673CD" w:rsidRDefault="00A673CD" w:rsidP="00A673CD">
      <w:pPr>
        <w:pStyle w:val="ListParagraph"/>
        <w:rPr>
          <w:rFonts w:eastAsiaTheme="majorEastAsia"/>
          <w:bCs/>
        </w:rPr>
      </w:pPr>
      <w:r>
        <w:rPr>
          <w:rFonts w:ascii="Tw Cen MT" w:hAnsi="Tw Cen MT" w:cs="Arial"/>
        </w:rPr>
        <w:t xml:space="preserve">Créée en 1984, la fondation finance </w:t>
      </w:r>
      <w:r w:rsidR="00DE7BB4">
        <w:rPr>
          <w:rFonts w:ascii="Tw Cen MT" w:hAnsi="Tw Cen MT" w:cs="Arial"/>
        </w:rPr>
        <w:t xml:space="preserve">des programmes de protection de la faune sauvage au niveau international. </w:t>
      </w:r>
    </w:p>
    <w:p w14:paraId="0CEC6E30" w14:textId="2B0B89D1" w:rsidR="00872A36" w:rsidRPr="00872A36" w:rsidRDefault="00872A36" w:rsidP="00A673CD">
      <w:pPr>
        <w:pStyle w:val="ListParagraph"/>
        <w:rPr>
          <w:b/>
        </w:rPr>
      </w:pPr>
    </w:p>
    <w:p w14:paraId="1912D58F" w14:textId="77777777" w:rsidR="00A5015C" w:rsidRDefault="00A5015C" w:rsidP="00A5015C">
      <w:pPr>
        <w:pStyle w:val="ListParagraph"/>
      </w:pPr>
    </w:p>
    <w:p w14:paraId="02978666" w14:textId="1C29B12E" w:rsidR="00A5015C" w:rsidRDefault="00A5015C" w:rsidP="00A5015C">
      <w:pPr>
        <w:pStyle w:val="ListParagraph"/>
      </w:pPr>
      <w:r>
        <w:br w:type="page"/>
      </w:r>
    </w:p>
    <w:p w14:paraId="3CC938E9" w14:textId="77777777" w:rsidR="00A5015C" w:rsidRPr="00FB4D8F" w:rsidRDefault="00A5015C" w:rsidP="00A5015C">
      <w:pPr>
        <w:pStyle w:val="Heading1"/>
      </w:pPr>
      <w:bookmarkStart w:id="48" w:name="_Toc454886790"/>
      <w:r>
        <w:lastRenderedPageBreak/>
        <w:t xml:space="preserve">II- </w:t>
      </w:r>
      <w:r w:rsidRPr="00FB4D8F">
        <w:t>Les financements domestiques</w:t>
      </w:r>
      <w:bookmarkEnd w:id="48"/>
    </w:p>
    <w:p w14:paraId="0E99064F" w14:textId="77777777" w:rsidR="00A5015C" w:rsidRDefault="00A5015C" w:rsidP="008B0EB3">
      <w:pPr>
        <w:pStyle w:val="Heading2"/>
        <w:numPr>
          <w:ilvl w:val="0"/>
          <w:numId w:val="27"/>
        </w:numPr>
      </w:pPr>
      <w:bookmarkStart w:id="49" w:name="_Toc454886791"/>
      <w:r>
        <w:t>Les financements domestiques publics</w:t>
      </w:r>
      <w:bookmarkEnd w:id="49"/>
      <w:r>
        <w:t xml:space="preserve"> </w:t>
      </w:r>
    </w:p>
    <w:p w14:paraId="1F93B900" w14:textId="67E74056" w:rsidR="00A5015C" w:rsidRPr="00B67EFD" w:rsidRDefault="00A5015C" w:rsidP="008B0EB3">
      <w:pPr>
        <w:pStyle w:val="Heading3"/>
        <w:numPr>
          <w:ilvl w:val="1"/>
          <w:numId w:val="27"/>
        </w:numPr>
      </w:pPr>
      <w:bookmarkStart w:id="50" w:name="_Toc454886792"/>
      <w:r w:rsidRPr="00B67EFD">
        <w:t>Budget général de l’Etat</w:t>
      </w:r>
      <w:bookmarkEnd w:id="50"/>
    </w:p>
    <w:p w14:paraId="012D069A" w14:textId="77777777" w:rsidR="00A5015C" w:rsidRPr="000D3E03" w:rsidRDefault="00A5015C" w:rsidP="00A5015C">
      <w:r>
        <w:t>Le tableau ci-dessous récapitule les opérations réalisées et projetées par l’administration centrale de la République du Congo de 2013 et 2020.</w:t>
      </w:r>
    </w:p>
    <w:p w14:paraId="3762EE01" w14:textId="77777777" w:rsidR="00A5015C" w:rsidRDefault="00A5015C" w:rsidP="00A5015C">
      <w:pPr>
        <w:jc w:val="center"/>
      </w:pPr>
      <w:r>
        <w:rPr>
          <w:noProof/>
          <w:lang w:val="en-US" w:eastAsia="en-US"/>
        </w:rPr>
        <mc:AlternateContent>
          <mc:Choice Requires="wps">
            <w:drawing>
              <wp:anchor distT="0" distB="0" distL="114300" distR="114300" simplePos="0" relativeHeight="251662848" behindDoc="0" locked="0" layoutInCell="1" allowOverlap="1" wp14:anchorId="22AD579B" wp14:editId="6F068F4D">
                <wp:simplePos x="0" y="0"/>
                <wp:positionH relativeFrom="column">
                  <wp:posOffset>4563440</wp:posOffset>
                </wp:positionH>
                <wp:positionV relativeFrom="paragraph">
                  <wp:posOffset>2656967</wp:posOffset>
                </wp:positionV>
                <wp:extent cx="1181100" cy="1333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1811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1A9BE4" id="Rectangle 6" o:spid="_x0000_s1026" style="position:absolute;margin-left:359.35pt;margin-top:209.2pt;width:93pt;height: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E3lgIAAIUFAAAOAAAAZHJzL2Uyb0RvYy54bWysVEtv2zAMvg/YfxB0X22nj3VBnSJokWFA&#10;0RVth54VWYoNyKJGKXGyXz9KfjToih2G5eCIIvmR/ETy6nrfGrZT6BuwJS9Ocs6UlVA1dlPyH8+r&#10;T5ec+SBsJQxYVfKD8vx68fHDVefmagY1mEohIxDr550reR2Cm2eZl7VqhT8BpywpNWArAom4ySoU&#10;HaG3Jpvl+UXWAVYOQSrv6fa2V/JFwtdayfBda68CMyWn3EL6Yvqu4zdbXIn5BoWrGzmkIf4hi1Y0&#10;loJOULciCLbF5g+otpEIHnQ4kdBmoHUjVaqBqinyN9U81cKpVAuR491Ek/9/sPJ+94CsqUp+wZkV&#10;LT3RI5Em7MYodhHp6Zyfk9WTe8BB8nSMte41tvGfqmD7ROlholTtA5N0WRSXRZET85J0xenp6Xni&#10;PHv1dujDVwUti4eSI0VPTIrdnQ8UkUxHkxjMwqoxJj2bsfHCg2mqeJcE3KxvDLKdoPderXL6xRoI&#10;48iMpOiaxcr6WtIpHIyKGMY+Kk2UUPazlElqRjXBCimVDUWvqkWl+mjnx8Fi+0aPFDoBRmRNWU7Y&#10;A8Bo2YOM2H3Og310VamXJ+f8b4n1zpNHigw2TM5tYwHfAzBU1RC5tx9J6qmJLK2hOlDDIPST5J1c&#10;NfRud8KHB4E0OvTUtA7Cd/poA13JYThxVgP+eu8+2lNHk5azjkax5P7nVqDizHyz1OtfirOzOLtJ&#10;ODv/PCMBjzXrY43dtjdAr1/Q4nEyHaN9MONRI7QvtDWWMSqphJUUu+Qy4CjchH5F0N6RarlMZjSv&#10;ToQ7++RkBI+sxr583r8IdEPzBmr7exjHVszf9HBvGz0tLLcBdJMa/JXXgW+a9dQ4w16Ky+RYTlav&#10;23PxGwAA//8DAFBLAwQUAAYACAAAACEAGhdm7d8AAAALAQAADwAAAGRycy9kb3ducmV2LnhtbEyP&#10;wU6DQBCG7ya+w2ZMvNkFJEIpS6Mmxmg8aLX3LTsFUnaWsFvAt3c86XH++fLPN+V2sb2YcPSdIwXx&#10;KgKBVDvTUaPg6/PpJgfhgyaje0eo4Bs9bKvLi1IXxs30gdMuNIJLyBdaQRvCUEjp6xat9is3IPHu&#10;6EarA49jI82oZy63vUyi6E5a3RFfaPWAjy3Wp93ZKnh3p6Ps90nymj08J9mLzedmelPq+mq534AI&#10;uIQ/GH71WR0qdjq4MxkvegVZnGeMKkjjPAXBxDpKOTlwcrtOQVal/P9D9QMAAP//AwBQSwECLQAU&#10;AAYACAAAACEAtoM4kv4AAADhAQAAEwAAAAAAAAAAAAAAAAAAAAAAW0NvbnRlbnRfVHlwZXNdLnht&#10;bFBLAQItABQABgAIAAAAIQA4/SH/1gAAAJQBAAALAAAAAAAAAAAAAAAAAC8BAABfcmVscy8ucmVs&#10;c1BLAQItABQABgAIAAAAIQAEpNE3lgIAAIUFAAAOAAAAAAAAAAAAAAAAAC4CAABkcnMvZTJvRG9j&#10;LnhtbFBLAQItABQABgAIAAAAIQAaF2bt3wAAAAsBAAAPAAAAAAAAAAAAAAAAAPAEAABkcnMvZG93&#10;bnJldi54bWxQSwUGAAAAAAQABADzAAAA/AUAAAAA&#10;" filled="f" strokecolor="red" strokeweight="1.5pt"/>
            </w:pict>
          </mc:Fallback>
        </mc:AlternateContent>
      </w:r>
      <w:r>
        <w:rPr>
          <w:noProof/>
          <w:lang w:val="en-US" w:eastAsia="en-US"/>
        </w:rPr>
        <mc:AlternateContent>
          <mc:Choice Requires="wps">
            <w:drawing>
              <wp:anchor distT="0" distB="0" distL="114300" distR="114300" simplePos="0" relativeHeight="251656704" behindDoc="0" locked="0" layoutInCell="1" allowOverlap="1" wp14:anchorId="69B46D70" wp14:editId="49D75441">
                <wp:simplePos x="0" y="0"/>
                <wp:positionH relativeFrom="column">
                  <wp:posOffset>4526610</wp:posOffset>
                </wp:positionH>
                <wp:positionV relativeFrom="paragraph">
                  <wp:posOffset>1852295</wp:posOffset>
                </wp:positionV>
                <wp:extent cx="1200150" cy="629107"/>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200150" cy="6291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C4EBA8" id="Rectangle 5" o:spid="_x0000_s1026" style="position:absolute;margin-left:356.45pt;margin-top:145.85pt;width:94.5pt;height:4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8blAIAAIUFAAAOAAAAZHJzL2Uyb0RvYy54bWysVMFu2zAMvQ/YPwi6r7aDpl2NOkXQIsOA&#10;oi2aDj0rshQbkEVNUuJkXz9Kst2gK3YY5oMsiuSj+ETy+ubQKbIX1rWgK1qc5ZQIzaFu9baiP15W&#10;X75S4jzTNVOgRUWPwtGbxedP170pxQwaULWwBEG0K3tT0cZ7U2aZ443omDsDIzQqJdiOeRTtNqst&#10;6xG9U9kszy+yHmxtLHDhHJ7eJSVdRHwpBfePUjrhiaoo3s3H1cZ1E9Zscc3KrWWmaflwDfYPt+hY&#10;qzHoBHXHPCM72/4B1bXcggPpzzh0GUjZchFzwGyK/F0264YZEXNBcpyZaHL/D5Y/7J8saeuKzinR&#10;rMMnekbSmN4qQeaBnt64Eq3W5skOksNtyPUgbRf+mAU5REqPE6Xi4AnHwwIfqZgj8xx1F7OrIr8M&#10;oNmbt7HOfxPQkbCpqMXokUm2v3c+mY4mIZiGVasUnrNS6bA6UG0dzqJgt5tbZcme4XuvVjl+Q7gT&#10;MwweXLOQWcol7vxRiQT7LCRSgrefxZvEYhQTLONcaF8kVcNqkaLNT4OF8g0eMVOlETAgS7zlhD0A&#10;jJYJZMROeQ/2wVXEWp6c879dLDlPHjEyaD85d60G+xGAwqyGyMl+JClRE1jaQH3EgrGQOskZvmrx&#10;3e6Z80/MYuvgU+M48I+4SAV9RWHYUdKA/fXRebDHikYtJT22YkXdzx2zghL1XWOtXxXn56F3o3A+&#10;v5yhYE81m1ON3nW3gK9f4OAxPG6DvVfjVlroXnFqLENUVDHNMXZFubejcOvTiMC5w8VyGc2wXw3z&#10;93pteAAPrIa6fDm8MmuG4vVY9g8wti0r39Vwsg2eGpY7D7KNBf7G68A39nosnGEuhWFyKkert+m5&#10;+A0AAP//AwBQSwMEFAAGAAgAAAAhAE9BHv3fAAAACwEAAA8AAABkcnMvZG93bnJldi54bWxMj01L&#10;xDAQhu+C/yGM4M1NGsF+2OmigojiQVe9Z5tsWzaZlCbb1n9vPOlxZh7eed56uzrLZjOFwRNCthHA&#10;DLVeD9QhfH48XhXAQlSklfVkEL5NgG1zflarSvuF3s28ix1LIRQqhdDHOFach7Y3ToWNHw2l28FP&#10;TsU0Th3Xk1pSuLNcCnHDnRoofejVaB560x53J4fw5o8Hbr+kfMnvn2T+7Iqlm18RLy/Wu1tg0azx&#10;D4Zf/aQOTXLa+xPpwCxCnskyoQiyzHJgiShFljZ7hOtSFMCbmv/v0PwAAAD//wMAUEsBAi0AFAAG&#10;AAgAAAAhALaDOJL+AAAA4QEAABMAAAAAAAAAAAAAAAAAAAAAAFtDb250ZW50X1R5cGVzXS54bWxQ&#10;SwECLQAUAAYACAAAACEAOP0h/9YAAACUAQAACwAAAAAAAAAAAAAAAAAvAQAAX3JlbHMvLnJlbHNQ&#10;SwECLQAUAAYACAAAACEAAjI/G5QCAACFBQAADgAAAAAAAAAAAAAAAAAuAgAAZHJzL2Uyb0RvYy54&#10;bWxQSwECLQAUAAYACAAAACEAT0Ee/d8AAAALAQAADwAAAAAAAAAAAAAAAADuBAAAZHJzL2Rvd25y&#10;ZXYueG1sUEsFBgAAAAAEAAQA8wAAAPoFAAAAAA==&#10;" filled="f" strokecolor="red" strokeweight="1.5pt"/>
            </w:pict>
          </mc:Fallback>
        </mc:AlternateContent>
      </w:r>
      <w:r w:rsidRPr="00ED708D">
        <w:rPr>
          <w:noProof/>
          <w:lang w:val="en-US" w:eastAsia="en-US"/>
        </w:rPr>
        <w:drawing>
          <wp:inline distT="0" distB="0" distL="0" distR="0" wp14:anchorId="64C81109" wp14:editId="6A4274C9">
            <wp:extent cx="5760720" cy="67627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6762750"/>
                    </a:xfrm>
                    <a:prstGeom prst="rect">
                      <a:avLst/>
                    </a:prstGeom>
                  </pic:spPr>
                </pic:pic>
              </a:graphicData>
            </a:graphic>
          </wp:inline>
        </w:drawing>
      </w:r>
    </w:p>
    <w:p w14:paraId="69516EB5" w14:textId="77777777" w:rsidR="00A5015C" w:rsidRDefault="00A5015C" w:rsidP="00A5015C">
      <w:pPr>
        <w:pStyle w:val="Caption"/>
      </w:pPr>
      <w:bookmarkStart w:id="51" w:name="_Toc454886805"/>
      <w:r>
        <w:t xml:space="preserve">Tableau </w:t>
      </w:r>
      <w:r>
        <w:fldChar w:fldCharType="begin"/>
      </w:r>
      <w:r>
        <w:instrText xml:space="preserve"> SEQ Tableau \* ARABIC </w:instrText>
      </w:r>
      <w:r>
        <w:fldChar w:fldCharType="separate"/>
      </w:r>
      <w:r w:rsidR="0080491D">
        <w:rPr>
          <w:noProof/>
        </w:rPr>
        <w:t>6</w:t>
      </w:r>
      <w:r>
        <w:fldChar w:fldCharType="end"/>
      </w:r>
      <w:r>
        <w:t>: Opérations de l'administration centrale de 2013 à 2020 (source: FMI, 2015)</w:t>
      </w:r>
      <w:bookmarkEnd w:id="51"/>
    </w:p>
    <w:p w14:paraId="741112F5" w14:textId="77777777" w:rsidR="00A5015C" w:rsidRDefault="00A5015C" w:rsidP="00A5015C"/>
    <w:p w14:paraId="4E112ED9" w14:textId="77777777" w:rsidR="00A5015C" w:rsidRDefault="00A5015C" w:rsidP="00A5015C">
      <w:r>
        <w:lastRenderedPageBreak/>
        <w:t>Depuis 2006, les dépenses publiques du Congo ont fortement augmentées notamment de par la volonté du Congo de mettre en œuvre un ambitieux programme d’investissement pour l’amélioration des structures de bases. En 2014, les dépenses nettes de l’Etat ont atteint 38,7 % du PIB nominal dont 15,7% pour les dépenses courantes et 23% pour les dépenses en capital (dont 18,1% sur ressources intérieures) (Banque Mondiale, 2015).</w:t>
      </w:r>
    </w:p>
    <w:p w14:paraId="043F1FC4" w14:textId="0E650FD4" w:rsidR="00A5015C" w:rsidRDefault="00A5015C" w:rsidP="00A5015C">
      <w:r>
        <w:t>Ces dépenses ont été permises par les recettes importantes générées par le secteur pétrolier dont l’Etat congolais tire la majorité de ses revenus. En 2012, les recettes pétrolières constituaient 78% des revenus de l’Etat. Selon la Banque Mondiale (2015), cette source de revenus a permis à l’Etat d’épargner un montant estimé à 5 500 milliards de FCFA à la fin de 2013.</w:t>
      </w:r>
    </w:p>
    <w:p w14:paraId="04B24905" w14:textId="638937EF" w:rsidR="00A5015C" w:rsidRDefault="00A5015C" w:rsidP="00A5015C">
      <w:r>
        <w:t xml:space="preserve">Avec la chute des prix du pétrole, le budget de l’Etat a été revu et les dépenses courantes ont diminué entre 2014 et 2015 de 8,9%, les transferts ayant été majoritairement affectés. Les investissements seront également touchés à partir de 2016 avec une baisse de 30% (cf. </w:t>
      </w:r>
      <w:r w:rsidR="007503DC">
        <w:t xml:space="preserve">Figure </w:t>
      </w:r>
      <w:r w:rsidR="007503DC">
        <w:rPr>
          <w:noProof/>
        </w:rPr>
        <w:t>1</w:t>
      </w:r>
      <w:r>
        <w:t>).</w:t>
      </w:r>
    </w:p>
    <w:p w14:paraId="46A7FBBD" w14:textId="77777777" w:rsidR="00A5015C" w:rsidRDefault="00A5015C" w:rsidP="00A5015C">
      <w:r>
        <w:t>D’après les prévisions des autorités congolaises et des services du FMI (2015), on peut estimer les recettes de l’Etat sur la période 2016-2020 à 14 411 milliards de FCFA soit 2 882 milliards de FCFA/an (hors dons). Celles-ci permettront de financer les dépenses courantes estimées à hauteur de 5 525 milliards de FCFA et les dépenses en capitale sur ressources propres à 4 441 milliards de FCFA soit, respectivement, 1 105 et 888 milliards de FCFA par an.</w:t>
      </w:r>
    </w:p>
    <w:p w14:paraId="357160F8" w14:textId="77777777" w:rsidR="00A5015C" w:rsidRDefault="00A5015C" w:rsidP="00A5015C">
      <w:pPr>
        <w:spacing w:after="0"/>
      </w:pPr>
      <w:r>
        <w:t>Les allocations budgétaires sont réalisées (CPCMB, 2012) :</w:t>
      </w:r>
    </w:p>
    <w:p w14:paraId="59A1E5BB" w14:textId="77777777" w:rsidR="00A5015C" w:rsidRDefault="00A5015C" w:rsidP="008B0EB3">
      <w:pPr>
        <w:pStyle w:val="ListParagraph"/>
        <w:numPr>
          <w:ilvl w:val="0"/>
          <w:numId w:val="40"/>
        </w:numPr>
      </w:pPr>
      <w:r>
        <w:t>au niveau central par axe stratégique et mission assignée aux ministères selon les priorités du gouvernement et les objectifs du Plan National de Développement (PND) ;</w:t>
      </w:r>
    </w:p>
    <w:p w14:paraId="32F71665" w14:textId="77777777" w:rsidR="00A5015C" w:rsidRDefault="00A5015C" w:rsidP="008B0EB3">
      <w:pPr>
        <w:pStyle w:val="ListParagraph"/>
        <w:numPr>
          <w:ilvl w:val="0"/>
          <w:numId w:val="40"/>
        </w:numPr>
      </w:pPr>
      <w:r>
        <w:t xml:space="preserve">au niveau sectoriel selon les urgences des secteurs et les actions prioritaires du gouvernement.  </w:t>
      </w:r>
    </w:p>
    <w:p w14:paraId="4C22E3E7" w14:textId="77777777" w:rsidR="00A5015C" w:rsidRDefault="00A5015C" w:rsidP="00A5015C">
      <w:r>
        <w:t>La majorité des dépenses courantes et en capital sont affectées à la mise en œuvre des axes stratégiques du PND. Dans le cadre du PND 2012-2016, la part relative des dépenses courantes et en investissement ont été réparties de la manière suivante :</w:t>
      </w:r>
    </w:p>
    <w:p w14:paraId="718DEC22" w14:textId="27AA9505" w:rsidR="00A5015C" w:rsidRDefault="007C79F5" w:rsidP="00A5015C">
      <w:pPr>
        <w:jc w:val="center"/>
      </w:pPr>
      <w:r w:rsidRPr="007C79F5">
        <w:rPr>
          <w:noProof/>
          <w:lang w:val="en-US" w:eastAsia="en-US"/>
        </w:rPr>
        <w:lastRenderedPageBreak/>
        <w:drawing>
          <wp:inline distT="0" distB="0" distL="0" distR="0" wp14:anchorId="5623A47A" wp14:editId="12A044A2">
            <wp:extent cx="5760720" cy="76835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7683500"/>
                    </a:xfrm>
                    <a:prstGeom prst="rect">
                      <a:avLst/>
                    </a:prstGeom>
                  </pic:spPr>
                </pic:pic>
              </a:graphicData>
            </a:graphic>
          </wp:inline>
        </w:drawing>
      </w:r>
    </w:p>
    <w:p w14:paraId="6CA8BEAC" w14:textId="77777777" w:rsidR="00A5015C" w:rsidRDefault="00A5015C" w:rsidP="00A5015C">
      <w:pPr>
        <w:pStyle w:val="Caption"/>
      </w:pPr>
      <w:bookmarkStart w:id="52" w:name="_Toc454886806"/>
      <w:r>
        <w:t xml:space="preserve">Tableau </w:t>
      </w:r>
      <w:r>
        <w:fldChar w:fldCharType="begin"/>
      </w:r>
      <w:r>
        <w:instrText xml:space="preserve"> SEQ Tableau \* ARABIC </w:instrText>
      </w:r>
      <w:r>
        <w:fldChar w:fldCharType="separate"/>
      </w:r>
      <w:r w:rsidR="0080491D">
        <w:rPr>
          <w:noProof/>
        </w:rPr>
        <w:t>7</w:t>
      </w:r>
      <w:r>
        <w:fldChar w:fldCharType="end"/>
      </w:r>
      <w:r>
        <w:t>: Orientations budgétaires du PND 2012-2016 en part relative des dépenses (source: CPCMB, 2012)</w:t>
      </w:r>
      <w:bookmarkEnd w:id="52"/>
    </w:p>
    <w:p w14:paraId="6788F72C" w14:textId="77777777" w:rsidR="007C79F5" w:rsidRDefault="007C79F5" w:rsidP="00A5015C"/>
    <w:p w14:paraId="0C7F3FEF" w14:textId="77777777" w:rsidR="007C79F5" w:rsidRDefault="007C79F5" w:rsidP="00A5015C"/>
    <w:p w14:paraId="08C46B5A" w14:textId="77777777" w:rsidR="007C79F5" w:rsidRDefault="007C79F5" w:rsidP="00A5015C"/>
    <w:p w14:paraId="20A7C319" w14:textId="77777777" w:rsidR="00A5015C" w:rsidRDefault="00A5015C" w:rsidP="00A5015C">
      <w:r>
        <w:lastRenderedPageBreak/>
        <w:t>Un certain nombre de missions du PND sont en lien direct avec les activités de la Stratégie Nationale REDD+ parmi lesquelles on peut citer :</w:t>
      </w:r>
    </w:p>
    <w:p w14:paraId="616612C4" w14:textId="4323490C" w:rsidR="003B6704" w:rsidRDefault="003B6704" w:rsidP="008B0EB3">
      <w:pPr>
        <w:pStyle w:val="ListParagraph"/>
        <w:numPr>
          <w:ilvl w:val="0"/>
          <w:numId w:val="22"/>
        </w:numPr>
        <w:ind w:left="709" w:hanging="283"/>
      </w:pPr>
      <w:r w:rsidRPr="00250269">
        <w:rPr>
          <w:u w:val="single"/>
        </w:rPr>
        <w:t>Axe stratégique 2 : Développement économique et promotion de la croissance</w:t>
      </w:r>
      <w:r>
        <w:t xml:space="preserve"> </w:t>
      </w:r>
      <w:r w:rsidR="005B5FAB">
        <w:t>dans lequel le G</w:t>
      </w:r>
      <w:r>
        <w:t xml:space="preserve">ouvernement entend poursuivre sa politique de diversification de l’économie de manière à être moins </w:t>
      </w:r>
      <w:r w:rsidR="00250269">
        <w:t>dépendante d</w:t>
      </w:r>
      <w:r>
        <w:t>u secteur pétrolier.</w:t>
      </w:r>
    </w:p>
    <w:p w14:paraId="7130B9C1" w14:textId="1D6E3513" w:rsidR="003B6704" w:rsidRDefault="003B6704" w:rsidP="008B0EB3">
      <w:pPr>
        <w:pStyle w:val="ListParagraph"/>
        <w:numPr>
          <w:ilvl w:val="0"/>
          <w:numId w:val="50"/>
        </w:numPr>
      </w:pPr>
      <w:r>
        <w:t>Mission 2.4</w:t>
      </w:r>
      <w:r w:rsidR="00250269">
        <w:t> :</w:t>
      </w:r>
      <w:r>
        <w:t> Promotion de la production agricole (3,9%</w:t>
      </w:r>
      <w:r w:rsidR="00250269">
        <w:t xml:space="preserve"> des dépenses</w:t>
      </w:r>
      <w:r>
        <w:t>)</w:t>
      </w:r>
      <w:r w:rsidR="00250269">
        <w:t>. L’objectif est</w:t>
      </w:r>
      <w:r>
        <w:t xml:space="preserve"> de réduire la dépendance aux importations et </w:t>
      </w:r>
      <w:r w:rsidR="00250269">
        <w:t>d’</w:t>
      </w:r>
      <w:r>
        <w:t xml:space="preserve">assurer la sécurité alimentaire. Au </w:t>
      </w:r>
      <w:r w:rsidR="005B5FAB">
        <w:t>niveau de cette mission, le G</w:t>
      </w:r>
      <w:r>
        <w:t xml:space="preserve">ouvernement prévoit d’accompagner les communautés agricoles en développant les infrastructures de production, transport et commercialisation.  </w:t>
      </w:r>
    </w:p>
    <w:p w14:paraId="75530D88" w14:textId="7D015D9B" w:rsidR="003B6704" w:rsidRDefault="003B6704" w:rsidP="008B0EB3">
      <w:pPr>
        <w:pStyle w:val="ListParagraph"/>
        <w:numPr>
          <w:ilvl w:val="0"/>
          <w:numId w:val="50"/>
        </w:numPr>
      </w:pPr>
      <w:r>
        <w:t>Mission 2.5</w:t>
      </w:r>
      <w:r w:rsidR="00250269">
        <w:t> :</w:t>
      </w:r>
      <w:r>
        <w:t xml:space="preserve"> Développement des services (1,3%</w:t>
      </w:r>
      <w:r w:rsidR="00250269">
        <w:t xml:space="preserve"> des dépenses</w:t>
      </w:r>
      <w:r>
        <w:t>)</w:t>
      </w:r>
      <w:r w:rsidR="00250269">
        <w:t>.</w:t>
      </w:r>
      <w:r>
        <w:t xml:space="preserve"> </w:t>
      </w:r>
      <w:r w:rsidR="00250269">
        <w:t>L’objectif est de</w:t>
      </w:r>
      <w:r>
        <w:t xml:space="preserve"> mettre en place des politiques de développement intégré afin d’appuyer les métiers du commerce, de l’agriculture, du tourisme, de l’artisanat et des loisirs.   </w:t>
      </w:r>
    </w:p>
    <w:p w14:paraId="3BB629DA" w14:textId="77777777" w:rsidR="005B5FAB" w:rsidRDefault="005B5FAB" w:rsidP="005B5FAB">
      <w:pPr>
        <w:pStyle w:val="ListParagraph"/>
        <w:ind w:left="1440"/>
      </w:pPr>
    </w:p>
    <w:p w14:paraId="74E9CB3C" w14:textId="3552D28F" w:rsidR="003B6704" w:rsidRPr="00250269" w:rsidRDefault="003B6704" w:rsidP="008B0EB3">
      <w:pPr>
        <w:pStyle w:val="ListParagraph"/>
        <w:numPr>
          <w:ilvl w:val="0"/>
          <w:numId w:val="22"/>
        </w:numPr>
        <w:ind w:left="709" w:hanging="283"/>
        <w:rPr>
          <w:u w:val="single"/>
        </w:rPr>
      </w:pPr>
      <w:r w:rsidRPr="00250269">
        <w:rPr>
          <w:u w:val="single"/>
        </w:rPr>
        <w:t xml:space="preserve">Axe stratégique 3 : </w:t>
      </w:r>
      <w:r w:rsidR="00250269" w:rsidRPr="00250269">
        <w:rPr>
          <w:u w:val="single"/>
        </w:rPr>
        <w:t>Dé</w:t>
      </w:r>
      <w:r w:rsidR="00250269">
        <w:rPr>
          <w:u w:val="single"/>
        </w:rPr>
        <w:t xml:space="preserve">veloppement des infrastructures </w:t>
      </w:r>
    </w:p>
    <w:p w14:paraId="49D27785" w14:textId="7B97DD4B" w:rsidR="003B6704" w:rsidRDefault="003B6704" w:rsidP="008B0EB3">
      <w:pPr>
        <w:pStyle w:val="ListParagraph"/>
        <w:numPr>
          <w:ilvl w:val="0"/>
          <w:numId w:val="50"/>
        </w:numPr>
      </w:pPr>
      <w:r>
        <w:t>Mission 3.3 Développement des infrastructures énergétiques et hydrauliques (9,1%</w:t>
      </w:r>
      <w:r w:rsidR="00250269">
        <w:t xml:space="preserve"> des dépenses</w:t>
      </w:r>
      <w:r>
        <w:t>)</w:t>
      </w:r>
      <w:r w:rsidR="00250269">
        <w:t xml:space="preserve">. Des moyens importants sont consacrés à ce domaine car le </w:t>
      </w:r>
      <w:r w:rsidR="005B5FAB">
        <w:t>G</w:t>
      </w:r>
      <w:r w:rsidR="00250269">
        <w:t>ouvernement à identifier la faible production énergétique nationale comme étant un frein majeur à la croissance</w:t>
      </w:r>
      <w:r w:rsidR="005B5FAB">
        <w:t xml:space="preserve"> nationale</w:t>
      </w:r>
      <w:r w:rsidR="00250269">
        <w:t xml:space="preserve"> et à l’essor du secteur privé. </w:t>
      </w:r>
    </w:p>
    <w:p w14:paraId="6E2984A4" w14:textId="77777777" w:rsidR="003B6704" w:rsidRDefault="003B6704" w:rsidP="003B6704">
      <w:pPr>
        <w:pStyle w:val="ListParagraph"/>
        <w:ind w:left="709"/>
      </w:pPr>
    </w:p>
    <w:p w14:paraId="6349D36C" w14:textId="543FE500" w:rsidR="003B6704" w:rsidRPr="00250269" w:rsidRDefault="003B6704" w:rsidP="008B0EB3">
      <w:pPr>
        <w:pStyle w:val="ListParagraph"/>
        <w:numPr>
          <w:ilvl w:val="0"/>
          <w:numId w:val="22"/>
        </w:numPr>
        <w:ind w:left="709" w:hanging="283"/>
        <w:rPr>
          <w:u w:val="single"/>
        </w:rPr>
      </w:pPr>
      <w:r w:rsidRPr="00250269">
        <w:rPr>
          <w:u w:val="single"/>
        </w:rPr>
        <w:t>Axe stratégique 5 :</w:t>
      </w:r>
      <w:r w:rsidR="00250269" w:rsidRPr="00250269">
        <w:rPr>
          <w:u w:val="single"/>
        </w:rPr>
        <w:t xml:space="preserve"> Développement équilibré et durable</w:t>
      </w:r>
      <w:r w:rsidR="00250269">
        <w:rPr>
          <w:u w:val="single"/>
        </w:rPr>
        <w:t xml:space="preserve"> </w:t>
      </w:r>
      <w:r w:rsidR="00250269">
        <w:t>dont l’objectif est de favoriser un développement harmonieux des régions tou</w:t>
      </w:r>
      <w:r w:rsidR="005B5FAB">
        <w:t>t en prena</w:t>
      </w:r>
      <w:r w:rsidR="00250269">
        <w:t>nt en compte les questions environnementales et</w:t>
      </w:r>
      <w:r w:rsidR="005B5FAB">
        <w:t>,</w:t>
      </w:r>
      <w:r w:rsidR="00250269">
        <w:t xml:space="preserve"> notamment</w:t>
      </w:r>
      <w:r w:rsidR="005B5FAB">
        <w:t>,</w:t>
      </w:r>
      <w:r w:rsidR="00250269">
        <w:t xml:space="preserve"> climatiques. Concernant spécifiquement l’</w:t>
      </w:r>
      <w:r w:rsidR="005B5FAB">
        <w:t>exploitation forestière, le G</w:t>
      </w:r>
      <w:r w:rsidR="00250269">
        <w:t xml:space="preserve">ouvernement </w:t>
      </w:r>
      <w:r w:rsidR="005B5FAB">
        <w:t xml:space="preserve">envisage de valoriser les produits forestiers non ligneux, de mettre en œuvre des projets de plantations forestières et communautaires et de promouvoir la régénération et la gestion durable des écosystèmes forestiers dégradés. </w:t>
      </w:r>
    </w:p>
    <w:p w14:paraId="7D27F745" w14:textId="77777777" w:rsidR="00250269" w:rsidRDefault="003B6704" w:rsidP="008B0EB3">
      <w:pPr>
        <w:pStyle w:val="ListParagraph"/>
        <w:numPr>
          <w:ilvl w:val="0"/>
          <w:numId w:val="50"/>
        </w:numPr>
      </w:pPr>
      <w:r>
        <w:t>Mission 5.1 Aménagement du territoire et développement local (3,9%)</w:t>
      </w:r>
    </w:p>
    <w:p w14:paraId="397BDBA9" w14:textId="014619B1" w:rsidR="003B6704" w:rsidRDefault="003B6704" w:rsidP="008B0EB3">
      <w:pPr>
        <w:pStyle w:val="ListParagraph"/>
        <w:numPr>
          <w:ilvl w:val="0"/>
          <w:numId w:val="50"/>
        </w:numPr>
      </w:pPr>
      <w:r>
        <w:t>Mission 5.2 Développement Durable, de l’Economie Forestière et de l’Environnement (1,3%).</w:t>
      </w:r>
    </w:p>
    <w:p w14:paraId="324104C5" w14:textId="77777777" w:rsidR="005B5FAB" w:rsidRDefault="005B5FAB" w:rsidP="005B5FAB">
      <w:pPr>
        <w:pStyle w:val="ListParagraph"/>
        <w:ind w:left="1440"/>
      </w:pPr>
    </w:p>
    <w:p w14:paraId="3EB58E89" w14:textId="40A7C7AC" w:rsidR="003B6704" w:rsidRPr="005B5FAB" w:rsidRDefault="003B6704" w:rsidP="008B0EB3">
      <w:pPr>
        <w:pStyle w:val="ListParagraph"/>
        <w:numPr>
          <w:ilvl w:val="0"/>
          <w:numId w:val="22"/>
        </w:numPr>
        <w:ind w:left="709" w:hanging="283"/>
        <w:rPr>
          <w:u w:val="single"/>
        </w:rPr>
      </w:pPr>
      <w:r w:rsidRPr="005B5FAB">
        <w:rPr>
          <w:u w:val="single"/>
        </w:rPr>
        <w:t xml:space="preserve">Axe stratégique 1 : </w:t>
      </w:r>
      <w:r w:rsidR="00250269" w:rsidRPr="005B5FAB">
        <w:rPr>
          <w:u w:val="single"/>
        </w:rPr>
        <w:t>Promotion de la démocratie et de la gouvernance</w:t>
      </w:r>
    </w:p>
    <w:p w14:paraId="5EF45E3D" w14:textId="0458A63D" w:rsidR="00A5015C" w:rsidRDefault="00A5015C" w:rsidP="008B0EB3">
      <w:pPr>
        <w:pStyle w:val="ListParagraph"/>
        <w:numPr>
          <w:ilvl w:val="0"/>
          <w:numId w:val="50"/>
        </w:numPr>
      </w:pPr>
      <w:r>
        <w:t>Mission 1.4 Promotion de la gouvernance administrative (environ 0,3% des dépenses)</w:t>
      </w:r>
    </w:p>
    <w:p w14:paraId="07FB34A6" w14:textId="7FDC176E" w:rsidR="00A5015C" w:rsidRDefault="00A5015C" w:rsidP="00250269">
      <w:pPr>
        <w:pStyle w:val="ListParagraph"/>
      </w:pPr>
    </w:p>
    <w:tbl>
      <w:tblPr>
        <w:tblStyle w:val="TableGrid"/>
        <w:tblW w:w="0" w:type="auto"/>
        <w:shd w:val="clear" w:color="auto" w:fill="F8E5DA" w:themeFill="accent2" w:themeFillTint="33"/>
        <w:tblLook w:val="04A0" w:firstRow="1" w:lastRow="0" w:firstColumn="1" w:lastColumn="0" w:noHBand="0" w:noVBand="1"/>
      </w:tblPr>
      <w:tblGrid>
        <w:gridCol w:w="9212"/>
      </w:tblGrid>
      <w:tr w:rsidR="00A5015C" w14:paraId="176FD0B9" w14:textId="77777777" w:rsidTr="00A93E22">
        <w:tc>
          <w:tcPr>
            <w:tcW w:w="9212" w:type="dxa"/>
            <w:shd w:val="clear" w:color="auto" w:fill="F8E5DA" w:themeFill="accent2" w:themeFillTint="33"/>
          </w:tcPr>
          <w:p w14:paraId="4B1F71C9" w14:textId="77777777" w:rsidR="00A5015C" w:rsidRDefault="00A5015C" w:rsidP="00A93E22">
            <w:pPr>
              <w:pStyle w:val="Caption"/>
              <w:keepNext/>
              <w:spacing w:before="40"/>
            </w:pPr>
            <w:r>
              <w:t xml:space="preserve">Encadré </w:t>
            </w:r>
            <w:r>
              <w:fldChar w:fldCharType="begin"/>
            </w:r>
            <w:r>
              <w:instrText xml:space="preserve"> SEQ Encadré \* ARABIC </w:instrText>
            </w:r>
            <w:r>
              <w:fldChar w:fldCharType="separate"/>
            </w:r>
            <w:r w:rsidR="0080491D">
              <w:rPr>
                <w:noProof/>
              </w:rPr>
              <w:t>2</w:t>
            </w:r>
            <w:r>
              <w:fldChar w:fldCharType="end"/>
            </w:r>
            <w:r>
              <w:t>: Les affectations des recettes issues du secteur des hydrocarbures et secteur minier (source : ITIE, 2014)</w:t>
            </w:r>
          </w:p>
          <w:p w14:paraId="105D0FAD" w14:textId="77777777" w:rsidR="00A5015C" w:rsidRPr="00D822DB" w:rsidRDefault="00A5015C" w:rsidP="00A93E22">
            <w:pPr>
              <w:spacing w:after="0"/>
              <w:rPr>
                <w:sz w:val="20"/>
              </w:rPr>
            </w:pPr>
            <w:r w:rsidRPr="00D822DB">
              <w:rPr>
                <w:sz w:val="20"/>
              </w:rPr>
              <w:t xml:space="preserve">Selon le rapport </w:t>
            </w:r>
            <w:r>
              <w:rPr>
                <w:sz w:val="20"/>
              </w:rPr>
              <w:t xml:space="preserve">2013 </w:t>
            </w:r>
            <w:r w:rsidRPr="00D822DB">
              <w:rPr>
                <w:sz w:val="20"/>
              </w:rPr>
              <w:t>de l’</w:t>
            </w:r>
            <w:r>
              <w:rPr>
                <w:sz w:val="20"/>
              </w:rPr>
              <w:t>Initiative pour la Transparence des Industries Extractives (ITIE)</w:t>
            </w:r>
            <w:r w:rsidRPr="00D822DB">
              <w:rPr>
                <w:sz w:val="20"/>
              </w:rPr>
              <w:t xml:space="preserve">, les recettes issues du secteur extractif contribuant au budget de l’Etat (hors contributions </w:t>
            </w:r>
            <w:r w:rsidRPr="00D822DB">
              <w:rPr>
                <w:i/>
                <w:sz w:val="20"/>
              </w:rPr>
              <w:t>ad-hoc</w:t>
            </w:r>
            <w:r>
              <w:rPr>
                <w:sz w:val="20"/>
              </w:rPr>
              <w:t xml:space="preserve"> à des tiers) so</w:t>
            </w:r>
            <w:r w:rsidRPr="00D822DB">
              <w:rPr>
                <w:sz w:val="20"/>
              </w:rPr>
              <w:t>nt de deux sortes :</w:t>
            </w:r>
          </w:p>
          <w:p w14:paraId="5D2F29A7" w14:textId="77777777" w:rsidR="00A5015C" w:rsidRPr="00D822DB" w:rsidRDefault="00A5015C" w:rsidP="008B0EB3">
            <w:pPr>
              <w:pStyle w:val="ListParagraph"/>
              <w:numPr>
                <w:ilvl w:val="0"/>
                <w:numId w:val="16"/>
              </w:numPr>
              <w:rPr>
                <w:sz w:val="20"/>
              </w:rPr>
            </w:pPr>
            <w:r w:rsidRPr="00D822DB">
              <w:rPr>
                <w:sz w:val="20"/>
              </w:rPr>
              <w:t xml:space="preserve">Les contributions directes qui sont versées au Trésor Public et reprises dans le </w:t>
            </w:r>
            <w:r>
              <w:rPr>
                <w:sz w:val="20"/>
              </w:rPr>
              <w:t>tableau des opérations financières de l’Etat (TOFE)</w:t>
            </w:r>
            <w:r w:rsidRPr="00D822DB">
              <w:rPr>
                <w:sz w:val="20"/>
              </w:rPr>
              <w:t xml:space="preserve">. En 2013, ces contributions étaient de 3 milliards </w:t>
            </w:r>
            <w:r>
              <w:rPr>
                <w:sz w:val="20"/>
              </w:rPr>
              <w:t>d’USD</w:t>
            </w:r>
            <w:r w:rsidRPr="00D822DB">
              <w:rPr>
                <w:sz w:val="20"/>
              </w:rPr>
              <w:t xml:space="preserve"> (1 500 milliards de FCFA)</w:t>
            </w:r>
          </w:p>
          <w:p w14:paraId="755DC248" w14:textId="77777777" w:rsidR="00A5015C" w:rsidRDefault="00A5015C" w:rsidP="008B0EB3">
            <w:pPr>
              <w:pStyle w:val="ListParagraph"/>
              <w:numPr>
                <w:ilvl w:val="0"/>
                <w:numId w:val="16"/>
              </w:numPr>
              <w:rPr>
                <w:sz w:val="20"/>
              </w:rPr>
            </w:pPr>
            <w:r w:rsidRPr="00D822DB">
              <w:rPr>
                <w:sz w:val="20"/>
              </w:rPr>
              <w:t xml:space="preserve">Les contributions indirectes qui sont allouées au remboursement des projets d’infrastructures sans transiter par le compte du Trésor public (elles sont cependant comptabilisées dans le budget général et reprises dans le TOFE). En 2013, ces contributions indirectes étaient de 2 milliards </w:t>
            </w:r>
            <w:r>
              <w:rPr>
                <w:sz w:val="20"/>
              </w:rPr>
              <w:t>d’USD</w:t>
            </w:r>
            <w:r w:rsidRPr="00D822DB">
              <w:rPr>
                <w:sz w:val="20"/>
              </w:rPr>
              <w:t xml:space="preserve"> (1 000 milliards de FCFA).</w:t>
            </w:r>
          </w:p>
          <w:p w14:paraId="28F34376" w14:textId="77777777" w:rsidR="00A5015C" w:rsidRPr="00B342B2" w:rsidRDefault="00A5015C" w:rsidP="00A93E22">
            <w:pPr>
              <w:rPr>
                <w:sz w:val="20"/>
              </w:rPr>
            </w:pPr>
            <w:r>
              <w:rPr>
                <w:sz w:val="20"/>
              </w:rPr>
              <w:t xml:space="preserve">Parmi les contributions indirectes figure la ligne budgétaire de Provision pour Investissements Diversifiés (PID) destinée à être utilisée pour des investissements en dehors du secteur pétrolier et fixée à 1% de la production nette. En 2013, les montants collectés au titre de la PID s’élevaient à 217 millions d’USD (107 milliards de FCFA). </w:t>
            </w:r>
          </w:p>
        </w:tc>
      </w:tr>
    </w:tbl>
    <w:p w14:paraId="2975C63B" w14:textId="635863F2" w:rsidR="007C79F5" w:rsidRDefault="007C79F5" w:rsidP="007C79F5">
      <w:r>
        <w:br w:type="page"/>
      </w:r>
    </w:p>
    <w:p w14:paraId="37A70E4B" w14:textId="2075351D" w:rsidR="00A5015C" w:rsidRDefault="00A5015C" w:rsidP="008B0EB3">
      <w:pPr>
        <w:pStyle w:val="Heading3"/>
        <w:numPr>
          <w:ilvl w:val="1"/>
          <w:numId w:val="30"/>
        </w:numPr>
      </w:pPr>
      <w:bookmarkStart w:id="53" w:name="_Toc454886793"/>
      <w:r>
        <w:lastRenderedPageBreak/>
        <w:t>Les comptes d’affectation spéciaux (CAS)</w:t>
      </w:r>
      <w:bookmarkEnd w:id="53"/>
    </w:p>
    <w:p w14:paraId="3C9ED220" w14:textId="09F15DF3" w:rsidR="005E4EE3" w:rsidRPr="004719E7" w:rsidRDefault="00A5015C" w:rsidP="00E025A8">
      <w:pPr>
        <w:spacing w:after="0"/>
      </w:pPr>
      <w:r>
        <w:t>Parmi les comptes d’affectation spéciaux dont les objectifs sont en lien directs avec les activités de la Stratégie N</w:t>
      </w:r>
      <w:r w:rsidR="00A11D47">
        <w:t>ationale REDD+, on peut citer l</w:t>
      </w:r>
      <w:r>
        <w:t>e Fonds Forestier National (FFN)</w:t>
      </w:r>
      <w:r w:rsidR="00A11D47">
        <w:t xml:space="preserve"> et l</w:t>
      </w:r>
      <w:r>
        <w:t>e Fonds de Protection de l’Environnement (FPE)</w:t>
      </w:r>
      <w:r w:rsidR="00E025A8">
        <w:t>.</w:t>
      </w:r>
    </w:p>
    <w:p w14:paraId="099F94C2" w14:textId="77777777" w:rsidR="00A5015C" w:rsidRPr="00543182" w:rsidRDefault="00A5015C" w:rsidP="00A5015C">
      <w:pPr>
        <w:pStyle w:val="Heading4"/>
        <w:rPr>
          <w:lang w:val="fr-FR"/>
        </w:rPr>
      </w:pPr>
      <w:r>
        <w:rPr>
          <w:lang w:val="fr-FR"/>
        </w:rPr>
        <w:t>Le</w:t>
      </w:r>
      <w:r w:rsidRPr="00543182">
        <w:rPr>
          <w:lang w:val="fr-FR"/>
        </w:rPr>
        <w:t xml:space="preserve"> Fonds Forestier</w:t>
      </w:r>
      <w:r>
        <w:rPr>
          <w:lang w:val="fr-FR"/>
        </w:rPr>
        <w:t xml:space="preserve"> National (FFN)</w:t>
      </w:r>
    </w:p>
    <w:p w14:paraId="4A1A8036" w14:textId="6209B185" w:rsidR="00A5015C" w:rsidRDefault="00A5015C" w:rsidP="00A5015C">
      <w:r>
        <w:t>Créé par loi n°16-2000 du 20 novembre 2000 portant sur le Code Forestier, le Fonds Forestier est une direction du Ministère de l’Economie Forestière, du Développement Durable et de l’Environnement (MEFDDE)</w:t>
      </w:r>
      <w:r w:rsidRPr="00875759">
        <w:t xml:space="preserve"> </w:t>
      </w:r>
      <w:r>
        <w:t xml:space="preserve">destiné à contribuer à la mise en valeur des ressources forestières nationales et en assurer la gestion, la conservation et la reconstitution. Son organisation est régie par le décret n°2002-434 du 31 décembre 2002. </w:t>
      </w:r>
    </w:p>
    <w:p w14:paraId="75B5781F" w14:textId="77777777" w:rsidR="00A5015C" w:rsidRPr="00CC6A67" w:rsidRDefault="00A5015C" w:rsidP="00A5015C">
      <w:pPr>
        <w:autoSpaceDE w:val="0"/>
        <w:autoSpaceDN w:val="0"/>
        <w:adjustRightInd w:val="0"/>
        <w:spacing w:after="0"/>
        <w:jc w:val="left"/>
        <w:rPr>
          <w:rFonts w:ascii="Tw Cen MT" w:eastAsiaTheme="minorHAnsi" w:hAnsi="Tw Cen MT" w:cs="Arial"/>
          <w:szCs w:val="22"/>
          <w:lang w:eastAsia="en-US"/>
        </w:rPr>
      </w:pPr>
      <w:r w:rsidRPr="00CC6A67">
        <w:rPr>
          <w:rFonts w:ascii="Tw Cen MT" w:eastAsiaTheme="minorHAnsi" w:hAnsi="Tw Cen MT" w:cs="Arial"/>
          <w:szCs w:val="22"/>
          <w:lang w:eastAsia="en-US"/>
        </w:rPr>
        <w:t>Ce fonds permet notamment les réalisations suivantes</w:t>
      </w:r>
    </w:p>
    <w:p w14:paraId="4DCE3BAA" w14:textId="77777777" w:rsidR="00A5015C" w:rsidRPr="00A307B6" w:rsidRDefault="00A5015C" w:rsidP="008B0EB3">
      <w:pPr>
        <w:pStyle w:val="ListParagraph"/>
        <w:numPr>
          <w:ilvl w:val="0"/>
          <w:numId w:val="41"/>
        </w:numPr>
        <w:autoSpaceDE w:val="0"/>
        <w:autoSpaceDN w:val="0"/>
        <w:adjustRightInd w:val="0"/>
        <w:spacing w:after="0"/>
        <w:ind w:left="284" w:hanging="284"/>
        <w:jc w:val="left"/>
        <w:rPr>
          <w:rFonts w:ascii="Tw Cen MT" w:eastAsiaTheme="minorHAnsi" w:hAnsi="Tw Cen MT" w:cs="Arial"/>
          <w:szCs w:val="22"/>
          <w:lang w:eastAsia="en-US"/>
        </w:rPr>
      </w:pPr>
      <w:r w:rsidRPr="00A307B6">
        <w:rPr>
          <w:rFonts w:ascii="Tw Cen MT" w:eastAsiaTheme="minorHAnsi" w:hAnsi="Tw Cen MT" w:cs="Arial"/>
          <w:szCs w:val="22"/>
          <w:lang w:eastAsia="en-US"/>
        </w:rPr>
        <w:t>en matière forestière :</w:t>
      </w:r>
    </w:p>
    <w:p w14:paraId="7BD3D314" w14:textId="77777777" w:rsidR="00A5015C" w:rsidRPr="00CC6A67" w:rsidRDefault="00A5015C" w:rsidP="008B0EB3">
      <w:pPr>
        <w:pStyle w:val="ListParagraph"/>
        <w:numPr>
          <w:ilvl w:val="0"/>
          <w:numId w:val="17"/>
        </w:numPr>
        <w:autoSpaceDE w:val="0"/>
        <w:autoSpaceDN w:val="0"/>
        <w:adjustRightInd w:val="0"/>
        <w:spacing w:after="0"/>
        <w:jc w:val="left"/>
        <w:rPr>
          <w:rFonts w:ascii="Tw Cen MT" w:eastAsiaTheme="minorHAnsi" w:hAnsi="Tw Cen MT" w:cs="Arial"/>
          <w:szCs w:val="22"/>
          <w:lang w:eastAsia="en-US"/>
        </w:rPr>
      </w:pPr>
      <w:r w:rsidRPr="00CC6A67">
        <w:rPr>
          <w:rFonts w:ascii="Tw Cen MT" w:eastAsiaTheme="minorHAnsi" w:hAnsi="Tw Cen MT"/>
          <w:szCs w:val="22"/>
          <w:lang w:eastAsia="en-US"/>
        </w:rPr>
        <w:t xml:space="preserve">l'inventaire </w:t>
      </w:r>
      <w:r w:rsidRPr="00CC6A67">
        <w:rPr>
          <w:rFonts w:ascii="Tw Cen MT" w:eastAsiaTheme="minorHAnsi" w:hAnsi="Tw Cen MT" w:cs="Arial"/>
          <w:szCs w:val="22"/>
          <w:lang w:eastAsia="en-US"/>
        </w:rPr>
        <w:t>des ressources forestières ;</w:t>
      </w:r>
    </w:p>
    <w:p w14:paraId="08559CCE" w14:textId="77777777" w:rsidR="00A5015C" w:rsidRPr="00CC6A67" w:rsidRDefault="00A5015C" w:rsidP="008B0EB3">
      <w:pPr>
        <w:pStyle w:val="ListParagraph"/>
        <w:numPr>
          <w:ilvl w:val="0"/>
          <w:numId w:val="17"/>
        </w:numPr>
        <w:autoSpaceDE w:val="0"/>
        <w:autoSpaceDN w:val="0"/>
        <w:adjustRightInd w:val="0"/>
        <w:spacing w:after="0"/>
        <w:jc w:val="left"/>
        <w:rPr>
          <w:rFonts w:ascii="Tw Cen MT" w:eastAsiaTheme="minorHAnsi" w:hAnsi="Tw Cen MT" w:cs="Arial"/>
          <w:szCs w:val="22"/>
          <w:lang w:eastAsia="en-US"/>
        </w:rPr>
      </w:pPr>
      <w:r w:rsidRPr="00CC6A67">
        <w:rPr>
          <w:rFonts w:ascii="Tw Cen MT" w:eastAsiaTheme="minorHAnsi" w:hAnsi="Tw Cen MT" w:cs="Arial"/>
          <w:szCs w:val="22"/>
          <w:lang w:eastAsia="en-US"/>
        </w:rPr>
        <w:t>les travaux d'aménagement et de sylviculture en forêt dense et en savane ;</w:t>
      </w:r>
    </w:p>
    <w:p w14:paraId="576D4C19" w14:textId="77777777" w:rsidR="00A5015C" w:rsidRPr="00CC6A67" w:rsidRDefault="00A5015C" w:rsidP="008B0EB3">
      <w:pPr>
        <w:pStyle w:val="ListParagraph"/>
        <w:numPr>
          <w:ilvl w:val="0"/>
          <w:numId w:val="17"/>
        </w:numPr>
        <w:autoSpaceDE w:val="0"/>
        <w:autoSpaceDN w:val="0"/>
        <w:adjustRightInd w:val="0"/>
        <w:spacing w:after="0"/>
        <w:jc w:val="left"/>
        <w:rPr>
          <w:rFonts w:ascii="Tw Cen MT" w:eastAsiaTheme="minorHAnsi" w:hAnsi="Tw Cen MT" w:cs="Arial"/>
          <w:szCs w:val="22"/>
          <w:lang w:eastAsia="en-US"/>
        </w:rPr>
      </w:pPr>
      <w:r w:rsidRPr="00CC6A67">
        <w:rPr>
          <w:rFonts w:ascii="Tw Cen MT" w:eastAsiaTheme="minorHAnsi" w:hAnsi="Tw Cen MT" w:cs="Arial"/>
          <w:szCs w:val="22"/>
          <w:lang w:eastAsia="en-US"/>
        </w:rPr>
        <w:t>le classement d'un domaine forestier permanent ;</w:t>
      </w:r>
    </w:p>
    <w:p w14:paraId="170D3CF1" w14:textId="77777777" w:rsidR="00A5015C" w:rsidRPr="00F90E53" w:rsidRDefault="00A5015C" w:rsidP="008B0EB3">
      <w:pPr>
        <w:pStyle w:val="ListParagraph"/>
        <w:numPr>
          <w:ilvl w:val="0"/>
          <w:numId w:val="17"/>
        </w:numPr>
        <w:autoSpaceDE w:val="0"/>
        <w:autoSpaceDN w:val="0"/>
        <w:adjustRightInd w:val="0"/>
        <w:spacing w:after="0"/>
        <w:jc w:val="left"/>
        <w:rPr>
          <w:rFonts w:ascii="Tw Cen MT" w:eastAsiaTheme="minorHAnsi" w:hAnsi="Tw Cen MT"/>
          <w:szCs w:val="22"/>
          <w:lang w:eastAsia="en-US"/>
        </w:rPr>
      </w:pPr>
      <w:r w:rsidRPr="00CC6A67">
        <w:rPr>
          <w:rFonts w:ascii="Tw Cen MT" w:eastAsiaTheme="minorHAnsi" w:hAnsi="Tw Cen MT" w:cs="Arial"/>
          <w:szCs w:val="22"/>
          <w:lang w:eastAsia="en-US"/>
        </w:rPr>
        <w:t xml:space="preserve">les opérations de </w:t>
      </w:r>
      <w:r>
        <w:rPr>
          <w:rFonts w:ascii="Tw Cen MT" w:eastAsiaTheme="minorHAnsi" w:hAnsi="Tw Cen MT"/>
          <w:szCs w:val="22"/>
          <w:lang w:eastAsia="en-US"/>
        </w:rPr>
        <w:t>contrôl</w:t>
      </w:r>
      <w:r w:rsidRPr="00CC6A67">
        <w:rPr>
          <w:rFonts w:ascii="Tw Cen MT" w:eastAsiaTheme="minorHAnsi" w:hAnsi="Tw Cen MT"/>
          <w:szCs w:val="22"/>
          <w:lang w:eastAsia="en-US"/>
        </w:rPr>
        <w:t xml:space="preserve">e </w:t>
      </w:r>
      <w:r w:rsidRPr="00F90E53">
        <w:rPr>
          <w:rFonts w:ascii="Tw Cen MT" w:eastAsiaTheme="minorHAnsi" w:hAnsi="Tw Cen MT" w:cs="Arial"/>
          <w:szCs w:val="22"/>
          <w:lang w:eastAsia="en-US"/>
        </w:rPr>
        <w:t xml:space="preserve">des produits forestiers destinés </w:t>
      </w:r>
      <w:r w:rsidRPr="00F90E53">
        <w:rPr>
          <w:rFonts w:ascii="Tw Cen MT" w:eastAsiaTheme="minorHAnsi" w:hAnsi="Tw Cen MT" w:cs="Arial"/>
          <w:bCs/>
          <w:szCs w:val="22"/>
          <w:lang w:eastAsia="en-US"/>
        </w:rPr>
        <w:t xml:space="preserve">à </w:t>
      </w:r>
      <w:r w:rsidRPr="00F90E53">
        <w:rPr>
          <w:rFonts w:ascii="Tw Cen MT" w:eastAsiaTheme="minorHAnsi" w:hAnsi="Tw Cen MT" w:cs="Arial"/>
          <w:szCs w:val="22"/>
          <w:lang w:eastAsia="en-US"/>
        </w:rPr>
        <w:t xml:space="preserve">I ‘exportation et </w:t>
      </w:r>
      <w:r w:rsidRPr="00F90E53">
        <w:rPr>
          <w:rFonts w:ascii="Tw Cen MT" w:eastAsiaTheme="minorHAnsi" w:hAnsi="Tw Cen MT"/>
          <w:szCs w:val="22"/>
          <w:lang w:eastAsia="en-US"/>
        </w:rPr>
        <w:t xml:space="preserve">le </w:t>
      </w:r>
      <w:r w:rsidRPr="00F90E53">
        <w:rPr>
          <w:rFonts w:ascii="Tw Cen MT" w:eastAsiaTheme="minorHAnsi" w:hAnsi="Tw Cen MT" w:cs="Arial"/>
          <w:szCs w:val="22"/>
          <w:lang w:eastAsia="en-US"/>
        </w:rPr>
        <w:t xml:space="preserve">suivi de la conjoncture du marché du </w:t>
      </w:r>
      <w:r w:rsidRPr="00F90E53">
        <w:rPr>
          <w:rFonts w:ascii="Tw Cen MT" w:eastAsiaTheme="minorHAnsi" w:hAnsi="Tw Cen MT" w:cs="Arial"/>
          <w:bCs/>
          <w:szCs w:val="22"/>
          <w:lang w:eastAsia="en-US"/>
        </w:rPr>
        <w:t xml:space="preserve">bois </w:t>
      </w:r>
      <w:r w:rsidRPr="00F90E53">
        <w:rPr>
          <w:rFonts w:ascii="Tw Cen MT" w:eastAsiaTheme="minorHAnsi" w:hAnsi="Tw Cen MT" w:cs="Arial"/>
          <w:szCs w:val="22"/>
          <w:lang w:eastAsia="en-US"/>
        </w:rPr>
        <w:t>;</w:t>
      </w:r>
    </w:p>
    <w:p w14:paraId="71E7A591" w14:textId="77777777" w:rsidR="00A5015C" w:rsidRPr="00CC6A67" w:rsidRDefault="00A5015C" w:rsidP="008B0EB3">
      <w:pPr>
        <w:pStyle w:val="ListParagraph"/>
        <w:numPr>
          <w:ilvl w:val="0"/>
          <w:numId w:val="17"/>
        </w:numPr>
        <w:autoSpaceDE w:val="0"/>
        <w:autoSpaceDN w:val="0"/>
        <w:adjustRightInd w:val="0"/>
        <w:spacing w:after="0"/>
        <w:jc w:val="left"/>
        <w:rPr>
          <w:rFonts w:ascii="Tw Cen MT" w:eastAsiaTheme="minorHAnsi" w:hAnsi="Tw Cen MT" w:cs="Arial"/>
          <w:szCs w:val="22"/>
          <w:lang w:eastAsia="en-US"/>
        </w:rPr>
      </w:pPr>
      <w:r w:rsidRPr="00CC6A67">
        <w:rPr>
          <w:rFonts w:ascii="Tw Cen MT" w:eastAsiaTheme="minorHAnsi" w:hAnsi="Tw Cen MT" w:cs="Arial"/>
          <w:szCs w:val="22"/>
          <w:lang w:eastAsia="en-US"/>
        </w:rPr>
        <w:t>les opérations liées à la constitution d'un domaine forestier permanent ;</w:t>
      </w:r>
    </w:p>
    <w:p w14:paraId="5EC79878" w14:textId="77777777" w:rsidR="00A5015C" w:rsidRPr="00CC6A67" w:rsidRDefault="00A5015C" w:rsidP="008B0EB3">
      <w:pPr>
        <w:pStyle w:val="ListParagraph"/>
        <w:numPr>
          <w:ilvl w:val="0"/>
          <w:numId w:val="17"/>
        </w:numPr>
        <w:autoSpaceDE w:val="0"/>
        <w:autoSpaceDN w:val="0"/>
        <w:adjustRightInd w:val="0"/>
        <w:spacing w:after="0"/>
        <w:jc w:val="left"/>
        <w:rPr>
          <w:rFonts w:ascii="Tw Cen MT" w:eastAsiaTheme="minorHAnsi" w:hAnsi="Tw Cen MT" w:cs="Arial"/>
          <w:szCs w:val="22"/>
          <w:lang w:eastAsia="en-US"/>
        </w:rPr>
      </w:pPr>
      <w:r w:rsidRPr="00CC6A67">
        <w:rPr>
          <w:rFonts w:ascii="Tw Cen MT" w:eastAsiaTheme="minorHAnsi" w:hAnsi="Tw Cen MT" w:cs="Arial"/>
          <w:szCs w:val="22"/>
          <w:lang w:eastAsia="en-US"/>
        </w:rPr>
        <w:t>le contrôle, le suivi et l'évaluation de l'activité forestière ;</w:t>
      </w:r>
    </w:p>
    <w:p w14:paraId="2A3129E8" w14:textId="77777777" w:rsidR="00A5015C" w:rsidRPr="00CC6A67" w:rsidRDefault="00A5015C" w:rsidP="008B0EB3">
      <w:pPr>
        <w:pStyle w:val="ListParagraph"/>
        <w:numPr>
          <w:ilvl w:val="0"/>
          <w:numId w:val="17"/>
        </w:numPr>
        <w:autoSpaceDE w:val="0"/>
        <w:autoSpaceDN w:val="0"/>
        <w:adjustRightInd w:val="0"/>
        <w:spacing w:after="0"/>
        <w:jc w:val="left"/>
        <w:rPr>
          <w:rFonts w:ascii="Tw Cen MT" w:eastAsiaTheme="minorHAnsi" w:hAnsi="Tw Cen MT" w:cs="Arial"/>
          <w:szCs w:val="22"/>
          <w:lang w:eastAsia="en-US"/>
        </w:rPr>
      </w:pPr>
      <w:r w:rsidRPr="00CC6A67">
        <w:rPr>
          <w:rFonts w:ascii="Tw Cen MT" w:eastAsiaTheme="minorHAnsi" w:hAnsi="Tw Cen MT" w:cs="Arial"/>
          <w:szCs w:val="22"/>
          <w:lang w:eastAsia="en-US"/>
        </w:rPr>
        <w:t>la promotion des produits forestiers ;</w:t>
      </w:r>
    </w:p>
    <w:p w14:paraId="3B217BDA" w14:textId="77777777" w:rsidR="00A5015C" w:rsidRPr="00A307B6" w:rsidRDefault="00A5015C" w:rsidP="008B0EB3">
      <w:pPr>
        <w:pStyle w:val="ListParagraph"/>
        <w:numPr>
          <w:ilvl w:val="0"/>
          <w:numId w:val="41"/>
        </w:numPr>
        <w:autoSpaceDE w:val="0"/>
        <w:autoSpaceDN w:val="0"/>
        <w:adjustRightInd w:val="0"/>
        <w:spacing w:after="0"/>
        <w:ind w:left="284" w:hanging="284"/>
        <w:jc w:val="left"/>
        <w:rPr>
          <w:rFonts w:ascii="Tw Cen MT" w:eastAsiaTheme="minorHAnsi" w:hAnsi="Tw Cen MT" w:cs="Arial"/>
          <w:szCs w:val="22"/>
          <w:lang w:eastAsia="en-US"/>
        </w:rPr>
      </w:pPr>
      <w:r w:rsidRPr="00A307B6">
        <w:rPr>
          <w:rFonts w:ascii="Tw Cen MT" w:eastAsiaTheme="minorHAnsi" w:hAnsi="Tw Cen MT" w:cs="Arial"/>
          <w:szCs w:val="22"/>
          <w:lang w:eastAsia="en-US"/>
        </w:rPr>
        <w:t xml:space="preserve">en matière de </w:t>
      </w:r>
      <w:r w:rsidRPr="00A307B6">
        <w:rPr>
          <w:rFonts w:ascii="Tw Cen MT" w:eastAsiaTheme="minorHAnsi" w:hAnsi="Tw Cen MT"/>
          <w:szCs w:val="22"/>
          <w:lang w:eastAsia="en-US"/>
        </w:rPr>
        <w:t xml:space="preserve">faune </w:t>
      </w:r>
      <w:r w:rsidRPr="00A307B6">
        <w:rPr>
          <w:rFonts w:ascii="Tw Cen MT" w:eastAsiaTheme="minorHAnsi" w:hAnsi="Tw Cen MT" w:cs="Arial"/>
          <w:szCs w:val="22"/>
          <w:lang w:eastAsia="en-US"/>
        </w:rPr>
        <w:t>:</w:t>
      </w:r>
    </w:p>
    <w:p w14:paraId="0E993A7B" w14:textId="77777777" w:rsidR="00A5015C" w:rsidRPr="00CC6A67" w:rsidRDefault="00A5015C" w:rsidP="008B0EB3">
      <w:pPr>
        <w:pStyle w:val="ListParagraph"/>
        <w:numPr>
          <w:ilvl w:val="0"/>
          <w:numId w:val="17"/>
        </w:numPr>
        <w:autoSpaceDE w:val="0"/>
        <w:autoSpaceDN w:val="0"/>
        <w:adjustRightInd w:val="0"/>
        <w:spacing w:after="0"/>
        <w:jc w:val="left"/>
        <w:rPr>
          <w:rFonts w:ascii="Tw Cen MT" w:eastAsiaTheme="minorHAnsi" w:hAnsi="Tw Cen MT" w:cs="Arial"/>
          <w:szCs w:val="22"/>
          <w:lang w:eastAsia="en-US"/>
        </w:rPr>
      </w:pPr>
      <w:r>
        <w:rPr>
          <w:rFonts w:ascii="Tw Cen MT" w:eastAsiaTheme="minorHAnsi" w:hAnsi="Tw Cen MT" w:cs="Arial"/>
          <w:szCs w:val="22"/>
          <w:lang w:eastAsia="en-US"/>
        </w:rPr>
        <w:t>l</w:t>
      </w:r>
      <w:r w:rsidRPr="00CC6A67">
        <w:rPr>
          <w:rFonts w:ascii="Tw Cen MT" w:eastAsiaTheme="minorHAnsi" w:hAnsi="Tw Cen MT" w:cs="Arial"/>
          <w:szCs w:val="22"/>
          <w:lang w:eastAsia="en-US"/>
        </w:rPr>
        <w:t>'inventaire des ressources fauniques ;</w:t>
      </w:r>
    </w:p>
    <w:p w14:paraId="276543D2" w14:textId="77777777" w:rsidR="00A5015C" w:rsidRPr="00CC6A67" w:rsidRDefault="00A5015C" w:rsidP="008B0EB3">
      <w:pPr>
        <w:pStyle w:val="ListParagraph"/>
        <w:numPr>
          <w:ilvl w:val="0"/>
          <w:numId w:val="17"/>
        </w:numPr>
        <w:autoSpaceDE w:val="0"/>
        <w:autoSpaceDN w:val="0"/>
        <w:adjustRightInd w:val="0"/>
        <w:spacing w:after="0"/>
        <w:jc w:val="left"/>
        <w:rPr>
          <w:rFonts w:ascii="Tw Cen MT" w:eastAsiaTheme="minorHAnsi" w:hAnsi="Tw Cen MT" w:cs="Arial"/>
          <w:szCs w:val="22"/>
          <w:lang w:eastAsia="en-US"/>
        </w:rPr>
      </w:pPr>
      <w:r>
        <w:rPr>
          <w:rFonts w:ascii="Tw Cen MT" w:eastAsiaTheme="minorHAnsi" w:hAnsi="Tw Cen MT" w:cs="Arial"/>
          <w:szCs w:val="22"/>
          <w:lang w:eastAsia="en-US"/>
        </w:rPr>
        <w:t>l</w:t>
      </w:r>
      <w:r w:rsidRPr="00CC6A67">
        <w:rPr>
          <w:rFonts w:ascii="Tw Cen MT" w:eastAsiaTheme="minorHAnsi" w:hAnsi="Tw Cen MT" w:cs="Arial"/>
          <w:szCs w:val="22"/>
          <w:lang w:eastAsia="en-US"/>
        </w:rPr>
        <w:t>a création et l'aménagement des aires protégées ;</w:t>
      </w:r>
    </w:p>
    <w:p w14:paraId="72E79F89" w14:textId="77777777" w:rsidR="00A5015C" w:rsidRPr="00167C31" w:rsidRDefault="00A5015C" w:rsidP="008B0EB3">
      <w:pPr>
        <w:pStyle w:val="ListParagraph"/>
        <w:numPr>
          <w:ilvl w:val="0"/>
          <w:numId w:val="17"/>
        </w:numPr>
        <w:autoSpaceDE w:val="0"/>
        <w:autoSpaceDN w:val="0"/>
        <w:adjustRightInd w:val="0"/>
        <w:spacing w:after="0"/>
        <w:jc w:val="left"/>
        <w:rPr>
          <w:rFonts w:ascii="Tw Cen MT" w:eastAsiaTheme="minorHAnsi" w:hAnsi="Tw Cen MT" w:cs="Arial"/>
          <w:szCs w:val="22"/>
          <w:lang w:eastAsia="en-US"/>
        </w:rPr>
      </w:pPr>
      <w:r w:rsidRPr="00CC6A67">
        <w:rPr>
          <w:rFonts w:ascii="Tw Cen MT" w:eastAsiaTheme="minorHAnsi" w:hAnsi="Tw Cen MT" w:cs="Arial"/>
          <w:szCs w:val="22"/>
          <w:lang w:eastAsia="en-US"/>
        </w:rPr>
        <w:t xml:space="preserve">l'aménagement des zones banales de </w:t>
      </w:r>
      <w:r>
        <w:rPr>
          <w:rFonts w:ascii="Tw Cen MT" w:eastAsiaTheme="minorHAnsi" w:hAnsi="Tw Cen MT"/>
          <w:szCs w:val="22"/>
          <w:lang w:eastAsia="en-US"/>
        </w:rPr>
        <w:t>cl</w:t>
      </w:r>
      <w:r w:rsidRPr="00CC6A67">
        <w:rPr>
          <w:rFonts w:ascii="Tw Cen MT" w:eastAsiaTheme="minorHAnsi" w:hAnsi="Tw Cen MT"/>
          <w:szCs w:val="22"/>
          <w:lang w:eastAsia="en-US"/>
        </w:rPr>
        <w:t xml:space="preserve">asse, </w:t>
      </w:r>
    </w:p>
    <w:p w14:paraId="3AE03937" w14:textId="77777777" w:rsidR="00A5015C" w:rsidRPr="00CC6A67" w:rsidRDefault="00A5015C" w:rsidP="008B0EB3">
      <w:pPr>
        <w:pStyle w:val="ListParagraph"/>
        <w:numPr>
          <w:ilvl w:val="0"/>
          <w:numId w:val="17"/>
        </w:numPr>
        <w:autoSpaceDE w:val="0"/>
        <w:autoSpaceDN w:val="0"/>
        <w:adjustRightInd w:val="0"/>
        <w:spacing w:after="0"/>
        <w:jc w:val="left"/>
        <w:rPr>
          <w:rFonts w:ascii="Tw Cen MT" w:eastAsiaTheme="minorHAnsi" w:hAnsi="Tw Cen MT" w:cs="Arial"/>
          <w:szCs w:val="22"/>
          <w:lang w:eastAsia="en-US"/>
        </w:rPr>
      </w:pPr>
      <w:r w:rsidRPr="00CC6A67">
        <w:rPr>
          <w:rFonts w:ascii="Tw Cen MT" w:eastAsiaTheme="minorHAnsi" w:hAnsi="Tw Cen MT" w:cs="Arial"/>
          <w:szCs w:val="22"/>
          <w:lang w:eastAsia="en-US"/>
        </w:rPr>
        <w:t>le contrôle de l'exploitation et de la circulation des produits de la faune ;</w:t>
      </w:r>
    </w:p>
    <w:p w14:paraId="46FFC2EE" w14:textId="77777777" w:rsidR="00A5015C" w:rsidRPr="00A307B6" w:rsidRDefault="00A5015C" w:rsidP="008B0EB3">
      <w:pPr>
        <w:pStyle w:val="ListParagraph"/>
        <w:numPr>
          <w:ilvl w:val="0"/>
          <w:numId w:val="41"/>
        </w:numPr>
        <w:autoSpaceDE w:val="0"/>
        <w:autoSpaceDN w:val="0"/>
        <w:adjustRightInd w:val="0"/>
        <w:spacing w:after="0"/>
        <w:ind w:left="284" w:hanging="284"/>
        <w:jc w:val="left"/>
        <w:rPr>
          <w:rFonts w:ascii="Tw Cen MT" w:eastAsiaTheme="minorHAnsi" w:hAnsi="Tw Cen MT" w:cs="Arial"/>
          <w:szCs w:val="22"/>
          <w:lang w:eastAsia="en-US"/>
        </w:rPr>
      </w:pPr>
      <w:r w:rsidRPr="00A307B6">
        <w:rPr>
          <w:rFonts w:ascii="Tw Cen MT" w:eastAsiaTheme="minorHAnsi" w:hAnsi="Tw Cen MT" w:cs="Arial"/>
          <w:szCs w:val="22"/>
          <w:lang w:eastAsia="en-US"/>
        </w:rPr>
        <w:t xml:space="preserve">en matière de conservation des </w:t>
      </w:r>
      <w:r w:rsidRPr="00A307B6">
        <w:rPr>
          <w:rFonts w:ascii="Tw Cen MT" w:eastAsiaTheme="minorHAnsi" w:hAnsi="Tw Cen MT"/>
          <w:szCs w:val="22"/>
          <w:lang w:eastAsia="en-US"/>
        </w:rPr>
        <w:t xml:space="preserve">eaux </w:t>
      </w:r>
      <w:r w:rsidRPr="00A307B6">
        <w:rPr>
          <w:rFonts w:ascii="Tw Cen MT" w:eastAsiaTheme="minorHAnsi" w:hAnsi="Tw Cen MT" w:cs="Arial"/>
          <w:szCs w:val="22"/>
          <w:lang w:eastAsia="en-US"/>
        </w:rPr>
        <w:t>:</w:t>
      </w:r>
    </w:p>
    <w:p w14:paraId="5CE5F708" w14:textId="77777777" w:rsidR="00A5015C" w:rsidRPr="00CC6A67" w:rsidRDefault="00A5015C" w:rsidP="008B0EB3">
      <w:pPr>
        <w:pStyle w:val="ListParagraph"/>
        <w:numPr>
          <w:ilvl w:val="0"/>
          <w:numId w:val="18"/>
        </w:numPr>
        <w:autoSpaceDE w:val="0"/>
        <w:autoSpaceDN w:val="0"/>
        <w:adjustRightInd w:val="0"/>
        <w:spacing w:after="0"/>
        <w:jc w:val="left"/>
        <w:rPr>
          <w:rFonts w:ascii="Tw Cen MT" w:eastAsiaTheme="minorHAnsi" w:hAnsi="Tw Cen MT" w:cs="Arial"/>
          <w:szCs w:val="22"/>
          <w:lang w:eastAsia="en-US"/>
        </w:rPr>
      </w:pPr>
      <w:r>
        <w:rPr>
          <w:rFonts w:ascii="Tw Cen MT" w:eastAsiaTheme="minorHAnsi" w:hAnsi="Tw Cen MT" w:cs="Arial"/>
          <w:szCs w:val="22"/>
          <w:lang w:eastAsia="en-US"/>
        </w:rPr>
        <w:t>l</w:t>
      </w:r>
      <w:r w:rsidRPr="00CC6A67">
        <w:rPr>
          <w:rFonts w:ascii="Tw Cen MT" w:eastAsiaTheme="minorHAnsi" w:hAnsi="Tw Cen MT" w:cs="Arial"/>
          <w:szCs w:val="22"/>
          <w:lang w:eastAsia="en-US"/>
        </w:rPr>
        <w:t>a protection des sols, des bassins versants et des plans d'eau ;</w:t>
      </w:r>
    </w:p>
    <w:p w14:paraId="7D42CE30" w14:textId="77777777" w:rsidR="00A5015C" w:rsidRPr="00CC6A67" w:rsidRDefault="00A5015C" w:rsidP="008B0EB3">
      <w:pPr>
        <w:pStyle w:val="ListParagraph"/>
        <w:numPr>
          <w:ilvl w:val="0"/>
          <w:numId w:val="18"/>
        </w:numPr>
        <w:rPr>
          <w:rFonts w:ascii="Tw Cen MT" w:hAnsi="Tw Cen MT"/>
          <w:szCs w:val="22"/>
        </w:rPr>
      </w:pPr>
      <w:r w:rsidRPr="00CC6A67">
        <w:rPr>
          <w:rFonts w:ascii="Tw Cen MT" w:eastAsiaTheme="minorHAnsi" w:hAnsi="Tw Cen MT" w:cs="Arial"/>
          <w:szCs w:val="22"/>
          <w:lang w:eastAsia="en-US"/>
        </w:rPr>
        <w:t>le suivi du niveau hydrologique des plans d'eau</w:t>
      </w:r>
    </w:p>
    <w:p w14:paraId="06ECF0F1" w14:textId="77777777" w:rsidR="00A5015C" w:rsidRPr="00CC6A67" w:rsidRDefault="00A5015C" w:rsidP="00A5015C">
      <w:pPr>
        <w:spacing w:after="0"/>
        <w:rPr>
          <w:szCs w:val="22"/>
        </w:rPr>
      </w:pPr>
      <w:r w:rsidRPr="00CC6A67">
        <w:rPr>
          <w:szCs w:val="22"/>
        </w:rPr>
        <w:t>Le fonds</w:t>
      </w:r>
      <w:r w:rsidRPr="00CC6A67">
        <w:rPr>
          <w:i/>
          <w:szCs w:val="22"/>
        </w:rPr>
        <w:t xml:space="preserve"> </w:t>
      </w:r>
      <w:r w:rsidRPr="00CC6A67">
        <w:rPr>
          <w:szCs w:val="22"/>
        </w:rPr>
        <w:t>forestier est alimenté par :</w:t>
      </w:r>
    </w:p>
    <w:p w14:paraId="4AE3F76F" w14:textId="77777777" w:rsidR="00A5015C" w:rsidRPr="00CC6A67" w:rsidRDefault="00A5015C" w:rsidP="008B0EB3">
      <w:pPr>
        <w:pStyle w:val="ListParagraph"/>
        <w:numPr>
          <w:ilvl w:val="0"/>
          <w:numId w:val="18"/>
        </w:numPr>
        <w:spacing w:after="0"/>
        <w:rPr>
          <w:szCs w:val="22"/>
        </w:rPr>
      </w:pPr>
      <w:r w:rsidRPr="00CC6A67">
        <w:rPr>
          <w:szCs w:val="22"/>
        </w:rPr>
        <w:t>les recettes provenant des taxes forestières à savoir : 50% de la taxe de superficie, la taxe d’abattage, la taxe sur les produits forestiers accessoires et la taxe de déboisement ;</w:t>
      </w:r>
    </w:p>
    <w:p w14:paraId="26984BC5" w14:textId="77777777" w:rsidR="00A5015C" w:rsidRPr="00CC6A67" w:rsidRDefault="00A5015C" w:rsidP="008B0EB3">
      <w:pPr>
        <w:pStyle w:val="ListParagraph"/>
        <w:numPr>
          <w:ilvl w:val="0"/>
          <w:numId w:val="18"/>
        </w:numPr>
        <w:spacing w:after="0"/>
        <w:rPr>
          <w:szCs w:val="22"/>
        </w:rPr>
      </w:pPr>
      <w:r w:rsidRPr="00CC6A67">
        <w:rPr>
          <w:szCs w:val="22"/>
        </w:rPr>
        <w:t>50% des recettes provenant de la vente des bois de plantations du domaine de l'Etat;</w:t>
      </w:r>
    </w:p>
    <w:p w14:paraId="3B9F945E" w14:textId="77777777" w:rsidR="00A5015C" w:rsidRPr="00CC6A67" w:rsidRDefault="00A5015C" w:rsidP="008B0EB3">
      <w:pPr>
        <w:pStyle w:val="ListParagraph"/>
        <w:numPr>
          <w:ilvl w:val="0"/>
          <w:numId w:val="18"/>
        </w:numPr>
        <w:spacing w:after="0"/>
        <w:rPr>
          <w:szCs w:val="22"/>
        </w:rPr>
      </w:pPr>
      <w:r w:rsidRPr="00CC6A67">
        <w:rPr>
          <w:szCs w:val="22"/>
        </w:rPr>
        <w:t>30% des amendes, des transactions, des restitutions, des dommages et intérêts, des ventes aux enchères publiques, ou de gré à gré des produits et des objets divers saisis au profit de l'administration des eaux et forêts;</w:t>
      </w:r>
    </w:p>
    <w:p w14:paraId="740B9EC8" w14:textId="77777777" w:rsidR="00A5015C" w:rsidRPr="00CC6A67" w:rsidRDefault="00A5015C" w:rsidP="008B0EB3">
      <w:pPr>
        <w:pStyle w:val="ListParagraph"/>
        <w:numPr>
          <w:ilvl w:val="0"/>
          <w:numId w:val="18"/>
        </w:numPr>
        <w:spacing w:after="0"/>
        <w:rPr>
          <w:szCs w:val="22"/>
        </w:rPr>
      </w:pPr>
      <w:r w:rsidRPr="00CC6A67">
        <w:rPr>
          <w:szCs w:val="22"/>
        </w:rPr>
        <w:t>les recettes provenant de l'exploitation de la faune ;</w:t>
      </w:r>
    </w:p>
    <w:p w14:paraId="7CD7472E" w14:textId="77777777" w:rsidR="00A5015C" w:rsidRPr="00CC6A67" w:rsidRDefault="00A5015C" w:rsidP="008B0EB3">
      <w:pPr>
        <w:pStyle w:val="ListParagraph"/>
        <w:numPr>
          <w:ilvl w:val="0"/>
          <w:numId w:val="18"/>
        </w:numPr>
        <w:spacing w:after="0"/>
        <w:rPr>
          <w:szCs w:val="22"/>
        </w:rPr>
      </w:pPr>
      <w:r w:rsidRPr="00CC6A67">
        <w:rPr>
          <w:szCs w:val="22"/>
        </w:rPr>
        <w:t>les subventions allouées de la part de l'Etat ;</w:t>
      </w:r>
    </w:p>
    <w:p w14:paraId="69D29889" w14:textId="77777777" w:rsidR="00A5015C" w:rsidRDefault="00A5015C" w:rsidP="008B0EB3">
      <w:pPr>
        <w:pStyle w:val="ListParagraph"/>
        <w:numPr>
          <w:ilvl w:val="0"/>
          <w:numId w:val="18"/>
        </w:numPr>
        <w:spacing w:after="0"/>
        <w:rPr>
          <w:szCs w:val="22"/>
        </w:rPr>
      </w:pPr>
      <w:r w:rsidRPr="00CC6A67">
        <w:rPr>
          <w:szCs w:val="22"/>
        </w:rPr>
        <w:t>les dons et legs.</w:t>
      </w:r>
    </w:p>
    <w:p w14:paraId="4F329E1B" w14:textId="77777777" w:rsidR="00A5015C" w:rsidRDefault="00A5015C" w:rsidP="00A5015C">
      <w:pPr>
        <w:spacing w:after="0"/>
        <w:rPr>
          <w:szCs w:val="22"/>
        </w:rPr>
      </w:pPr>
    </w:p>
    <w:p w14:paraId="63E83F95" w14:textId="3D1E661F" w:rsidR="00A5015C" w:rsidRPr="00543182" w:rsidRDefault="00A5015C" w:rsidP="00A5015C">
      <w:r w:rsidRPr="00543182">
        <w:t>La loi des finances 2016</w:t>
      </w:r>
      <w:r>
        <w:t xml:space="preserve"> fixe la limite </w:t>
      </w:r>
      <w:r w:rsidR="005E4EE3">
        <w:t xml:space="preserve">annuelle </w:t>
      </w:r>
      <w:r>
        <w:t xml:space="preserve">des recettes </w:t>
      </w:r>
      <w:r w:rsidR="005E4EE3">
        <w:t xml:space="preserve">pouvant être atteintes </w:t>
      </w:r>
      <w:r>
        <w:t>et des dépenses</w:t>
      </w:r>
      <w:r w:rsidR="005E4EE3">
        <w:t xml:space="preserve"> effectuées</w:t>
      </w:r>
      <w:r>
        <w:t xml:space="preserve"> </w:t>
      </w:r>
      <w:r w:rsidR="005E4EE3">
        <w:t xml:space="preserve">par le Fonds Forestier </w:t>
      </w:r>
      <w:r>
        <w:t>à 4 milliards de FCFA</w:t>
      </w:r>
      <w:r w:rsidR="005E4EE3">
        <w:t xml:space="preserve"> chacune. Parmi les dépenses, il est prévu l’emploi de </w:t>
      </w:r>
      <w:r>
        <w:t>1,3 million pour le programme d’aménag</w:t>
      </w:r>
      <w:r w:rsidR="005E4EE3">
        <w:t>ement des ressources, 1 million</w:t>
      </w:r>
      <w:r>
        <w:t xml:space="preserve"> pour le renouv</w:t>
      </w:r>
      <w:r w:rsidR="005E4EE3">
        <w:t>ellement du matériel, 1 million</w:t>
      </w:r>
      <w:r>
        <w:t xml:space="preserve"> pour l</w:t>
      </w:r>
      <w:r w:rsidR="005E4EE3">
        <w:t>a gestion courante et 1 million</w:t>
      </w:r>
      <w:r>
        <w:t xml:space="preserve"> pour des dépenses diverses. </w:t>
      </w:r>
    </w:p>
    <w:p w14:paraId="5FDC25CC" w14:textId="77777777" w:rsidR="00A5015C" w:rsidRPr="00FF33DB" w:rsidRDefault="00A5015C" w:rsidP="00A5015C">
      <w:pPr>
        <w:pStyle w:val="Heading4"/>
        <w:rPr>
          <w:lang w:val="fr-FR"/>
        </w:rPr>
      </w:pPr>
      <w:r w:rsidRPr="00FF33DB">
        <w:rPr>
          <w:lang w:val="fr-FR"/>
        </w:rPr>
        <w:t>Fonds pour la Protection de l’Environnement (FPE)</w:t>
      </w:r>
    </w:p>
    <w:p w14:paraId="1BA2E7D1" w14:textId="77777777" w:rsidR="00A5015C" w:rsidRDefault="00A5015C" w:rsidP="00A5015C">
      <w:r>
        <w:t xml:space="preserve">Le FPE a été créé par la loi n°003-93 du 23 avril 1999 portant sur la protection de l’environnement et son organisation et fonctionnement sont régis par le décret n°99-149 du 23 août 1999. Ce fonds a pour objectif d’assurer le financement des interventions en cas de catastrophes naturelles et des activités visant la protection, l’assainissement ou la promotion de l’environnement. </w:t>
      </w:r>
    </w:p>
    <w:p w14:paraId="53A3F532" w14:textId="77777777" w:rsidR="00A5015C" w:rsidRPr="00396FA4" w:rsidRDefault="00A5015C" w:rsidP="00A5015C">
      <w:pPr>
        <w:spacing w:after="0"/>
      </w:pPr>
      <w:r w:rsidRPr="00396FA4">
        <w:t>Ses ressources financières sont issues de :</w:t>
      </w:r>
    </w:p>
    <w:p w14:paraId="540268D0" w14:textId="77777777" w:rsidR="00A5015C" w:rsidRPr="00396FA4" w:rsidRDefault="00A5015C" w:rsidP="008B0EB3">
      <w:pPr>
        <w:pStyle w:val="ListParagraph"/>
        <w:numPr>
          <w:ilvl w:val="0"/>
          <w:numId w:val="16"/>
        </w:numPr>
      </w:pPr>
      <w:r w:rsidRPr="00396FA4">
        <w:t>Les subventions annuelles de l’Etat ;</w:t>
      </w:r>
    </w:p>
    <w:p w14:paraId="7B7BD1BE" w14:textId="77777777" w:rsidR="00A5015C" w:rsidRPr="00396FA4" w:rsidRDefault="00A5015C" w:rsidP="008B0EB3">
      <w:pPr>
        <w:pStyle w:val="ListParagraph"/>
        <w:numPr>
          <w:ilvl w:val="0"/>
          <w:numId w:val="16"/>
        </w:numPr>
      </w:pPr>
      <w:r w:rsidRPr="00396FA4">
        <w:t>Le produit des taxes et amendes prévues par la loi et de ses textes d’applications ;</w:t>
      </w:r>
    </w:p>
    <w:p w14:paraId="582A7296" w14:textId="77777777" w:rsidR="00A5015C" w:rsidRPr="00396FA4" w:rsidRDefault="00A5015C" w:rsidP="008B0EB3">
      <w:pPr>
        <w:pStyle w:val="ListParagraph"/>
        <w:numPr>
          <w:ilvl w:val="0"/>
          <w:numId w:val="16"/>
        </w:numPr>
      </w:pPr>
      <w:r w:rsidRPr="00396FA4">
        <w:t>Les dons et les legs ;</w:t>
      </w:r>
    </w:p>
    <w:p w14:paraId="6F7ADB67" w14:textId="77777777" w:rsidR="00A5015C" w:rsidRPr="00396FA4" w:rsidRDefault="00A5015C" w:rsidP="008B0EB3">
      <w:pPr>
        <w:pStyle w:val="ListParagraph"/>
        <w:numPr>
          <w:ilvl w:val="0"/>
          <w:numId w:val="16"/>
        </w:numPr>
      </w:pPr>
      <w:r w:rsidRPr="00396FA4">
        <w:lastRenderedPageBreak/>
        <w:t>Les concours financiers des institutions de coopération internationales ou de toute autre origine au titre des actions de protection de l’environnement.</w:t>
      </w:r>
    </w:p>
    <w:p w14:paraId="573FE25F" w14:textId="451D9FC2" w:rsidR="00A5015C" w:rsidRDefault="00A5015C" w:rsidP="00A5015C">
      <w:r w:rsidRPr="00543182">
        <w:t>La loi des finances 2016</w:t>
      </w:r>
      <w:r>
        <w:t xml:space="preserve"> fixent la limite </w:t>
      </w:r>
      <w:r w:rsidR="005E4EE3">
        <w:t xml:space="preserve">annuelle </w:t>
      </w:r>
      <w:r>
        <w:t xml:space="preserve">des recettes et des dépenses </w:t>
      </w:r>
      <w:r w:rsidR="005E4EE3">
        <w:t>du FPE à 350 millions de FCFA. Parmi les dépenses,</w:t>
      </w:r>
      <w:r>
        <w:t xml:space="preserve"> </w:t>
      </w:r>
      <w:r w:rsidR="005E4EE3">
        <w:t xml:space="preserve">il est prévu que </w:t>
      </w:r>
      <w:r>
        <w:t xml:space="preserve">100 millions </w:t>
      </w:r>
      <w:r w:rsidR="005E4EE3">
        <w:t>de FCFA soit affecté</w:t>
      </w:r>
      <w:r>
        <w:t xml:space="preserve"> </w:t>
      </w:r>
      <w:r w:rsidR="005E4EE3">
        <w:t>à des</w:t>
      </w:r>
      <w:r>
        <w:t xml:space="preserve"> investissements. </w:t>
      </w:r>
    </w:p>
    <w:p w14:paraId="37EBE0C4" w14:textId="77777777" w:rsidR="007C79F5" w:rsidRDefault="007C79F5" w:rsidP="00A5015C"/>
    <w:tbl>
      <w:tblPr>
        <w:tblStyle w:val="TableGrid"/>
        <w:tblW w:w="0" w:type="auto"/>
        <w:tblLook w:val="04A0" w:firstRow="1" w:lastRow="0" w:firstColumn="1" w:lastColumn="0" w:noHBand="0" w:noVBand="1"/>
      </w:tblPr>
      <w:tblGrid>
        <w:gridCol w:w="9212"/>
      </w:tblGrid>
      <w:tr w:rsidR="00E025A8" w14:paraId="20F64F68" w14:textId="77777777" w:rsidTr="00E025A8">
        <w:tc>
          <w:tcPr>
            <w:tcW w:w="9212" w:type="dxa"/>
            <w:shd w:val="clear" w:color="auto" w:fill="F8E5DA" w:themeFill="accent2" w:themeFillTint="33"/>
          </w:tcPr>
          <w:p w14:paraId="37CF9264" w14:textId="7C9E7F4D" w:rsidR="00E025A8" w:rsidRDefault="00E025A8" w:rsidP="00E025A8">
            <w:pPr>
              <w:pStyle w:val="Caption"/>
            </w:pPr>
            <w:r>
              <w:t xml:space="preserve">Encadré  </w:t>
            </w:r>
            <w:r>
              <w:fldChar w:fldCharType="begin"/>
            </w:r>
            <w:r>
              <w:instrText xml:space="preserve"> SEQ Encadré_ \* ARABIC </w:instrText>
            </w:r>
            <w:r>
              <w:fldChar w:fldCharType="separate"/>
            </w:r>
            <w:r w:rsidR="0080491D">
              <w:rPr>
                <w:noProof/>
              </w:rPr>
              <w:t>2</w:t>
            </w:r>
            <w:r>
              <w:fldChar w:fldCharType="end"/>
            </w:r>
            <w:r>
              <w:t>: Les budgets annexes</w:t>
            </w:r>
          </w:p>
          <w:p w14:paraId="35258CFC" w14:textId="3ACFC403" w:rsidR="00E025A8" w:rsidRDefault="00E025A8" w:rsidP="00E025A8">
            <w:pPr>
              <w:keepNext/>
              <w:rPr>
                <w:sz w:val="20"/>
              </w:rPr>
            </w:pPr>
            <w:r>
              <w:rPr>
                <w:sz w:val="20"/>
              </w:rPr>
              <w:t>L</w:t>
            </w:r>
            <w:r w:rsidRPr="00E025A8">
              <w:rPr>
                <w:sz w:val="20"/>
              </w:rPr>
              <w:t xml:space="preserve">es budgets annexes fonctionnent de manière similaire à une entreprise du secteur privé et commercial. </w:t>
            </w:r>
            <w:r w:rsidR="0089337C">
              <w:rPr>
                <w:sz w:val="20"/>
              </w:rPr>
              <w:t>De même que les CAS, i</w:t>
            </w:r>
            <w:r w:rsidRPr="00E025A8">
              <w:rPr>
                <w:sz w:val="20"/>
              </w:rPr>
              <w:t xml:space="preserve">ls fonctionnent avec </w:t>
            </w:r>
            <w:r w:rsidR="00482737">
              <w:rPr>
                <w:sz w:val="20"/>
              </w:rPr>
              <w:t>des recettes et des dépenses limitées</w:t>
            </w:r>
            <w:r w:rsidRPr="00E025A8">
              <w:rPr>
                <w:sz w:val="20"/>
              </w:rPr>
              <w:t xml:space="preserve"> </w:t>
            </w:r>
            <w:r w:rsidR="00482737">
              <w:rPr>
                <w:sz w:val="20"/>
              </w:rPr>
              <w:t>(la limite étant fixée annuellement</w:t>
            </w:r>
            <w:r w:rsidR="0089337C">
              <w:rPr>
                <w:sz w:val="20"/>
              </w:rPr>
              <w:t xml:space="preserve"> par la loi des finances</w:t>
            </w:r>
            <w:r w:rsidR="00482737">
              <w:rPr>
                <w:sz w:val="20"/>
              </w:rPr>
              <w:t>)</w:t>
            </w:r>
            <w:r w:rsidR="0089337C">
              <w:rPr>
                <w:sz w:val="20"/>
              </w:rPr>
              <w:t xml:space="preserve"> </w:t>
            </w:r>
            <w:r w:rsidR="00482737">
              <w:rPr>
                <w:sz w:val="20"/>
              </w:rPr>
              <w:t>et les dépenses ne peuvent pas être affectées à</w:t>
            </w:r>
            <w:r w:rsidRPr="00E025A8">
              <w:rPr>
                <w:sz w:val="20"/>
              </w:rPr>
              <w:t xml:space="preserve"> la rémunération du personnel.</w:t>
            </w:r>
            <w:r>
              <w:rPr>
                <w:sz w:val="20"/>
              </w:rPr>
              <w:t xml:space="preserve"> Ce sont des agences d’exécution qui fonctionnent sur un budget qui leur est propre et qui n’est pas exclusivement constitué des dotations de l’Etat. Parmi les budgets annexes qui participent à la mise en œuvre des activités de la Stratégie Nationale REDD+, on peut citer : </w:t>
            </w:r>
          </w:p>
          <w:p w14:paraId="11AB159B" w14:textId="77777777" w:rsidR="00E025A8" w:rsidRPr="00E025A8" w:rsidRDefault="00E025A8" w:rsidP="008B0EB3">
            <w:pPr>
              <w:pStyle w:val="ListParagraph"/>
              <w:numPr>
                <w:ilvl w:val="0"/>
                <w:numId w:val="45"/>
              </w:numPr>
              <w:rPr>
                <w:b/>
                <w:sz w:val="20"/>
              </w:rPr>
            </w:pPr>
            <w:r w:rsidRPr="00E025A8">
              <w:rPr>
                <w:b/>
                <w:sz w:val="20"/>
              </w:rPr>
              <w:t>Le Centre National d’inventaire et d’aménagement des ressources forestières et fauniques (CNIAF)</w:t>
            </w:r>
          </w:p>
          <w:p w14:paraId="6B689D78" w14:textId="77777777" w:rsidR="00E025A8" w:rsidRPr="00E025A8" w:rsidRDefault="00E025A8" w:rsidP="00E025A8">
            <w:pPr>
              <w:rPr>
                <w:sz w:val="20"/>
              </w:rPr>
            </w:pPr>
            <w:r w:rsidRPr="00E025A8">
              <w:rPr>
                <w:sz w:val="20"/>
              </w:rPr>
              <w:t>Le CNIAF a été créé par la loi n°16-2000 du 20 novembre 2000 portant Code Forestier et ses attributions et fonctionnement sont fixés par le décret n°2002-435 du 31 décembre 2002.</w:t>
            </w:r>
          </w:p>
          <w:p w14:paraId="276DED58" w14:textId="77777777" w:rsidR="00E025A8" w:rsidRPr="00E025A8" w:rsidRDefault="00E025A8" w:rsidP="00E025A8">
            <w:pPr>
              <w:spacing w:after="0"/>
              <w:rPr>
                <w:sz w:val="20"/>
              </w:rPr>
            </w:pPr>
            <w:r w:rsidRPr="00E025A8">
              <w:rPr>
                <w:sz w:val="20"/>
              </w:rPr>
              <w:t>Le CNIAF a pour missions de :</w:t>
            </w:r>
          </w:p>
          <w:p w14:paraId="3F372069" w14:textId="77777777" w:rsidR="00E025A8" w:rsidRPr="00E025A8" w:rsidRDefault="00E025A8" w:rsidP="008B0EB3">
            <w:pPr>
              <w:pStyle w:val="ListParagraph"/>
              <w:numPr>
                <w:ilvl w:val="0"/>
                <w:numId w:val="16"/>
              </w:numPr>
              <w:rPr>
                <w:sz w:val="20"/>
              </w:rPr>
            </w:pPr>
            <w:r w:rsidRPr="00E025A8">
              <w:rPr>
                <w:sz w:val="20"/>
              </w:rPr>
              <w:t>Réaliser les programmes nationaux d’inventaire des ressources forestières et fauniques ;</w:t>
            </w:r>
          </w:p>
          <w:p w14:paraId="40E33502" w14:textId="77777777" w:rsidR="00E025A8" w:rsidRPr="00E025A8" w:rsidRDefault="00E025A8" w:rsidP="008B0EB3">
            <w:pPr>
              <w:pStyle w:val="ListParagraph"/>
              <w:numPr>
                <w:ilvl w:val="0"/>
                <w:numId w:val="16"/>
              </w:numPr>
              <w:rPr>
                <w:sz w:val="20"/>
              </w:rPr>
            </w:pPr>
            <w:r w:rsidRPr="00E025A8">
              <w:rPr>
                <w:sz w:val="20"/>
              </w:rPr>
              <w:t>Traiter, conserver et actualiser les données d’inventaires ;</w:t>
            </w:r>
          </w:p>
          <w:p w14:paraId="677577E6" w14:textId="77777777" w:rsidR="00E025A8" w:rsidRPr="00E025A8" w:rsidRDefault="00E025A8" w:rsidP="008B0EB3">
            <w:pPr>
              <w:pStyle w:val="ListParagraph"/>
              <w:numPr>
                <w:ilvl w:val="0"/>
                <w:numId w:val="16"/>
              </w:numPr>
              <w:rPr>
                <w:sz w:val="20"/>
              </w:rPr>
            </w:pPr>
            <w:r w:rsidRPr="00E025A8">
              <w:rPr>
                <w:sz w:val="20"/>
              </w:rPr>
              <w:t>Elaborer et actualise la cartographie forestière nationales ;</w:t>
            </w:r>
          </w:p>
          <w:p w14:paraId="20859B28" w14:textId="77777777" w:rsidR="00E025A8" w:rsidRPr="00E025A8" w:rsidRDefault="00E025A8" w:rsidP="008B0EB3">
            <w:pPr>
              <w:pStyle w:val="ListParagraph"/>
              <w:numPr>
                <w:ilvl w:val="0"/>
                <w:numId w:val="16"/>
              </w:numPr>
              <w:rPr>
                <w:sz w:val="20"/>
              </w:rPr>
            </w:pPr>
            <w:r w:rsidRPr="00E025A8">
              <w:rPr>
                <w:sz w:val="20"/>
              </w:rPr>
              <w:t>Elaborer les pans d’aménagement du domaine forestier national ;</w:t>
            </w:r>
          </w:p>
          <w:p w14:paraId="409E16E3" w14:textId="77777777" w:rsidR="00E025A8" w:rsidRPr="00E025A8" w:rsidRDefault="00E025A8" w:rsidP="008B0EB3">
            <w:pPr>
              <w:pStyle w:val="ListParagraph"/>
              <w:numPr>
                <w:ilvl w:val="0"/>
                <w:numId w:val="16"/>
              </w:numPr>
              <w:rPr>
                <w:sz w:val="20"/>
              </w:rPr>
            </w:pPr>
            <w:r w:rsidRPr="00E025A8">
              <w:rPr>
                <w:sz w:val="20"/>
              </w:rPr>
              <w:t>Proposer et suivre la révision éventuelle des plans d’aménagement des forêts et des aires protégées ;</w:t>
            </w:r>
          </w:p>
          <w:p w14:paraId="0BE0D5A4" w14:textId="77777777" w:rsidR="00E025A8" w:rsidRPr="00E025A8" w:rsidRDefault="00E025A8" w:rsidP="008B0EB3">
            <w:pPr>
              <w:pStyle w:val="ListParagraph"/>
              <w:numPr>
                <w:ilvl w:val="0"/>
                <w:numId w:val="16"/>
              </w:numPr>
              <w:rPr>
                <w:sz w:val="20"/>
              </w:rPr>
            </w:pPr>
            <w:r w:rsidRPr="00E025A8">
              <w:rPr>
                <w:sz w:val="20"/>
              </w:rPr>
              <w:t>Assister les services régionaux des eaux et des forêts, les organismes publics et les entreprises des secteurs forestiers et de la faune dans la réalisation des études et des travaux d’inventaire et d’aménagement des forêts et des aires protégées et suivre leur exécution.</w:t>
            </w:r>
          </w:p>
          <w:p w14:paraId="4B709984" w14:textId="77777777" w:rsidR="00E025A8" w:rsidRPr="00E025A8" w:rsidRDefault="00E025A8" w:rsidP="00E025A8">
            <w:pPr>
              <w:spacing w:after="0"/>
              <w:rPr>
                <w:rFonts w:eastAsiaTheme="minorHAnsi" w:cs="Arial"/>
                <w:sz w:val="20"/>
                <w:szCs w:val="22"/>
                <w:lang w:eastAsia="en-US"/>
              </w:rPr>
            </w:pPr>
            <w:r w:rsidRPr="00E025A8">
              <w:rPr>
                <w:rFonts w:cs="Arial"/>
                <w:sz w:val="20"/>
                <w:szCs w:val="22"/>
              </w:rPr>
              <w:t xml:space="preserve">Ses ressources financières sont </w:t>
            </w:r>
            <w:r w:rsidRPr="00E025A8">
              <w:rPr>
                <w:rFonts w:eastAsiaTheme="minorHAnsi" w:cs="Arial"/>
                <w:sz w:val="20"/>
                <w:szCs w:val="22"/>
                <w:lang w:eastAsia="en-US"/>
              </w:rPr>
              <w:t>constituées par :</w:t>
            </w:r>
          </w:p>
          <w:p w14:paraId="39BE4BD9" w14:textId="77777777" w:rsidR="00E025A8" w:rsidRPr="00E025A8" w:rsidRDefault="00E025A8" w:rsidP="008B0EB3">
            <w:pPr>
              <w:pStyle w:val="ListParagraph"/>
              <w:numPr>
                <w:ilvl w:val="0"/>
                <w:numId w:val="16"/>
              </w:numPr>
              <w:rPr>
                <w:rFonts w:cs="Arial"/>
                <w:sz w:val="20"/>
                <w:szCs w:val="22"/>
              </w:rPr>
            </w:pPr>
            <w:r w:rsidRPr="00E025A8">
              <w:rPr>
                <w:rFonts w:cs="Arial"/>
                <w:sz w:val="20"/>
                <w:szCs w:val="22"/>
              </w:rPr>
              <w:t>La dotation du fonds forestier ;</w:t>
            </w:r>
          </w:p>
          <w:p w14:paraId="54709714" w14:textId="77777777" w:rsidR="00E025A8" w:rsidRPr="00E025A8" w:rsidRDefault="00E025A8" w:rsidP="008B0EB3">
            <w:pPr>
              <w:pStyle w:val="ListParagraph"/>
              <w:numPr>
                <w:ilvl w:val="0"/>
                <w:numId w:val="16"/>
              </w:numPr>
              <w:rPr>
                <w:rFonts w:cs="Arial"/>
                <w:sz w:val="20"/>
                <w:szCs w:val="22"/>
              </w:rPr>
            </w:pPr>
            <w:r w:rsidRPr="00E025A8">
              <w:rPr>
                <w:rFonts w:cs="Arial"/>
                <w:sz w:val="20"/>
                <w:szCs w:val="22"/>
              </w:rPr>
              <w:t>Les subventions de l’Etat ;</w:t>
            </w:r>
          </w:p>
          <w:p w14:paraId="7E60AC89" w14:textId="77777777" w:rsidR="00E025A8" w:rsidRPr="00E025A8" w:rsidRDefault="00E025A8" w:rsidP="008B0EB3">
            <w:pPr>
              <w:pStyle w:val="ListParagraph"/>
              <w:numPr>
                <w:ilvl w:val="0"/>
                <w:numId w:val="16"/>
              </w:numPr>
              <w:rPr>
                <w:rFonts w:cs="Arial"/>
                <w:sz w:val="20"/>
                <w:szCs w:val="22"/>
              </w:rPr>
            </w:pPr>
            <w:r w:rsidRPr="00E025A8">
              <w:rPr>
                <w:rFonts w:cs="Arial"/>
                <w:sz w:val="20"/>
                <w:szCs w:val="22"/>
              </w:rPr>
              <w:t>Les produits financiers et les prestations de service ;</w:t>
            </w:r>
          </w:p>
          <w:p w14:paraId="5DC7EE8A" w14:textId="77777777" w:rsidR="00E025A8" w:rsidRPr="00E025A8" w:rsidRDefault="00E025A8" w:rsidP="008B0EB3">
            <w:pPr>
              <w:pStyle w:val="ListParagraph"/>
              <w:numPr>
                <w:ilvl w:val="0"/>
                <w:numId w:val="16"/>
              </w:numPr>
              <w:rPr>
                <w:rFonts w:cs="Arial"/>
                <w:sz w:val="20"/>
                <w:szCs w:val="22"/>
              </w:rPr>
            </w:pPr>
            <w:r w:rsidRPr="00E025A8">
              <w:rPr>
                <w:rFonts w:cs="Arial"/>
                <w:sz w:val="20"/>
                <w:szCs w:val="22"/>
              </w:rPr>
              <w:t xml:space="preserve">Les dons et les legs. </w:t>
            </w:r>
          </w:p>
          <w:p w14:paraId="5A171E31" w14:textId="77777777" w:rsidR="00E025A8" w:rsidRPr="00E025A8" w:rsidRDefault="00E025A8" w:rsidP="00E025A8">
            <w:pPr>
              <w:rPr>
                <w:sz w:val="20"/>
              </w:rPr>
            </w:pPr>
            <w:r w:rsidRPr="00E025A8">
              <w:rPr>
                <w:sz w:val="20"/>
              </w:rPr>
              <w:t xml:space="preserve">La loi des finances 2016 fixe la limite des recettes et des dépenses du CNIAF à 300 millions de FCFA pour l’année et estime les dépenses en capital attendues à 200 millions de FCFA. </w:t>
            </w:r>
          </w:p>
          <w:p w14:paraId="43EE1385" w14:textId="77777777" w:rsidR="00E025A8" w:rsidRPr="00E025A8" w:rsidRDefault="00E025A8" w:rsidP="008B0EB3">
            <w:pPr>
              <w:pStyle w:val="ListParagraph"/>
              <w:numPr>
                <w:ilvl w:val="0"/>
                <w:numId w:val="45"/>
              </w:numPr>
              <w:rPr>
                <w:b/>
                <w:sz w:val="20"/>
              </w:rPr>
            </w:pPr>
            <w:r w:rsidRPr="00E025A8">
              <w:rPr>
                <w:b/>
                <w:sz w:val="20"/>
              </w:rPr>
              <w:t>Le Service National de Reboisement (SNR) </w:t>
            </w:r>
          </w:p>
          <w:p w14:paraId="197470A8" w14:textId="060512FD" w:rsidR="00E025A8" w:rsidRPr="00E025A8" w:rsidRDefault="00E025A8" w:rsidP="00E025A8">
            <w:pPr>
              <w:spacing w:after="0"/>
              <w:rPr>
                <w:sz w:val="20"/>
                <w:lang w:eastAsia="en-US"/>
              </w:rPr>
            </w:pPr>
            <w:r w:rsidRPr="00E025A8">
              <w:rPr>
                <w:sz w:val="20"/>
                <w:lang w:eastAsia="en-US"/>
              </w:rPr>
              <w:t>Le SNR a été créé par le Décret n°89-042 du 21 janvier 1989</w:t>
            </w:r>
            <w:r>
              <w:rPr>
                <w:sz w:val="20"/>
                <w:lang w:eastAsia="en-US"/>
              </w:rPr>
              <w:t xml:space="preserve">. </w:t>
            </w:r>
            <w:r w:rsidRPr="00E025A8">
              <w:rPr>
                <w:sz w:val="20"/>
                <w:lang w:eastAsia="en-US"/>
              </w:rPr>
              <w:t>Il est chargé de réaliser les travaux de reboisement dans les stations de reboisement, les périmètres nécessitant des actions de protection et dans les forêts naturelles pour des soins sylvicoles.</w:t>
            </w:r>
          </w:p>
          <w:p w14:paraId="231296A7" w14:textId="77777777" w:rsidR="00E025A8" w:rsidRPr="00E025A8" w:rsidRDefault="00E025A8" w:rsidP="00E025A8">
            <w:pPr>
              <w:spacing w:after="0"/>
              <w:rPr>
                <w:rFonts w:cs="Arial"/>
                <w:sz w:val="20"/>
                <w:szCs w:val="22"/>
              </w:rPr>
            </w:pPr>
            <w:r w:rsidRPr="00E025A8">
              <w:rPr>
                <w:rFonts w:cs="Arial"/>
                <w:sz w:val="20"/>
                <w:szCs w:val="22"/>
              </w:rPr>
              <w:t xml:space="preserve">Ses ressources financières sont </w:t>
            </w:r>
            <w:r w:rsidRPr="00E025A8">
              <w:rPr>
                <w:rFonts w:eastAsiaTheme="minorHAnsi" w:cs="Arial"/>
                <w:sz w:val="20"/>
                <w:szCs w:val="22"/>
                <w:lang w:eastAsia="en-US"/>
              </w:rPr>
              <w:t>constituées par :</w:t>
            </w:r>
          </w:p>
          <w:p w14:paraId="1B2A524C" w14:textId="77777777" w:rsidR="00E025A8" w:rsidRPr="00E025A8" w:rsidRDefault="00E025A8" w:rsidP="008B0EB3">
            <w:pPr>
              <w:pStyle w:val="ListParagraph"/>
              <w:numPr>
                <w:ilvl w:val="0"/>
                <w:numId w:val="16"/>
              </w:numPr>
              <w:autoSpaceDE w:val="0"/>
              <w:autoSpaceDN w:val="0"/>
              <w:adjustRightInd w:val="0"/>
              <w:spacing w:after="0"/>
              <w:jc w:val="left"/>
              <w:rPr>
                <w:rFonts w:eastAsiaTheme="minorHAnsi" w:cs="Arial"/>
                <w:sz w:val="20"/>
                <w:szCs w:val="22"/>
                <w:lang w:eastAsia="en-US"/>
              </w:rPr>
            </w:pPr>
            <w:r w:rsidRPr="00E025A8">
              <w:rPr>
                <w:rFonts w:eastAsiaTheme="minorHAnsi" w:cs="Arial"/>
                <w:sz w:val="20"/>
                <w:szCs w:val="22"/>
                <w:lang w:eastAsia="en-US"/>
              </w:rPr>
              <w:t>Le fonds de reboisement ;</w:t>
            </w:r>
          </w:p>
          <w:p w14:paraId="41A3E7FB" w14:textId="77777777" w:rsidR="00E025A8" w:rsidRPr="00E025A8" w:rsidRDefault="00E025A8" w:rsidP="008B0EB3">
            <w:pPr>
              <w:pStyle w:val="ListParagraph"/>
              <w:numPr>
                <w:ilvl w:val="0"/>
                <w:numId w:val="16"/>
              </w:numPr>
              <w:autoSpaceDE w:val="0"/>
              <w:autoSpaceDN w:val="0"/>
              <w:adjustRightInd w:val="0"/>
              <w:spacing w:after="0"/>
              <w:jc w:val="left"/>
              <w:rPr>
                <w:rFonts w:eastAsiaTheme="minorHAnsi" w:cs="Arial"/>
                <w:sz w:val="20"/>
                <w:szCs w:val="22"/>
                <w:lang w:eastAsia="en-US"/>
              </w:rPr>
            </w:pPr>
            <w:r w:rsidRPr="00E025A8">
              <w:rPr>
                <w:rFonts w:eastAsiaTheme="minorHAnsi" w:cs="Arial"/>
                <w:sz w:val="20"/>
                <w:szCs w:val="22"/>
                <w:lang w:eastAsia="en-US"/>
              </w:rPr>
              <w:t>les subventions de l’Etat ;</w:t>
            </w:r>
          </w:p>
          <w:p w14:paraId="48074EC4" w14:textId="77777777" w:rsidR="00E025A8" w:rsidRPr="00E025A8" w:rsidRDefault="00E025A8" w:rsidP="008B0EB3">
            <w:pPr>
              <w:pStyle w:val="ListParagraph"/>
              <w:numPr>
                <w:ilvl w:val="0"/>
                <w:numId w:val="16"/>
              </w:numPr>
              <w:rPr>
                <w:rFonts w:cs="Arial"/>
                <w:sz w:val="20"/>
                <w:szCs w:val="22"/>
              </w:rPr>
            </w:pPr>
            <w:r w:rsidRPr="00E025A8">
              <w:rPr>
                <w:rFonts w:eastAsiaTheme="minorHAnsi" w:cs="Arial"/>
                <w:sz w:val="20"/>
                <w:szCs w:val="22"/>
                <w:lang w:eastAsia="en-US"/>
              </w:rPr>
              <w:t>les dons et legs.</w:t>
            </w:r>
          </w:p>
          <w:p w14:paraId="5B659316" w14:textId="77777777" w:rsidR="00E025A8" w:rsidRPr="00E025A8" w:rsidRDefault="00E025A8" w:rsidP="00E025A8">
            <w:pPr>
              <w:rPr>
                <w:sz w:val="20"/>
              </w:rPr>
            </w:pPr>
            <w:r w:rsidRPr="00E025A8">
              <w:rPr>
                <w:sz w:val="20"/>
              </w:rPr>
              <w:t xml:space="preserve">La loi des finances 2016 fixe la limite des recettes et des dépenses du SNR à 2,55 milliards de FCFA pour l’année et estime les dépenses en capital attendues à 1 milliard de FCFA. On note que le SNR participe aux dépenses de gestion courante du </w:t>
            </w:r>
            <w:proofErr w:type="spellStart"/>
            <w:r w:rsidRPr="00E025A8">
              <w:rPr>
                <w:sz w:val="20"/>
              </w:rPr>
              <w:t>ProNaR</w:t>
            </w:r>
            <w:proofErr w:type="spellEnd"/>
            <w:r w:rsidRPr="00E025A8">
              <w:rPr>
                <w:sz w:val="20"/>
              </w:rPr>
              <w:t xml:space="preserve"> à hauteur de 550 millions de FCFA.  </w:t>
            </w:r>
          </w:p>
          <w:p w14:paraId="62C8A3AF" w14:textId="77777777" w:rsidR="00E025A8" w:rsidRPr="00E025A8" w:rsidRDefault="00E025A8" w:rsidP="008B0EB3">
            <w:pPr>
              <w:pStyle w:val="ListParagraph"/>
              <w:numPr>
                <w:ilvl w:val="0"/>
                <w:numId w:val="45"/>
              </w:numPr>
              <w:rPr>
                <w:b/>
                <w:sz w:val="20"/>
              </w:rPr>
            </w:pPr>
            <w:r w:rsidRPr="00E025A8">
              <w:rPr>
                <w:b/>
                <w:sz w:val="20"/>
              </w:rPr>
              <w:t>L’Agence Nationale de l’Artisanat (ANA)</w:t>
            </w:r>
          </w:p>
          <w:p w14:paraId="463C519B" w14:textId="77777777" w:rsidR="00E025A8" w:rsidRPr="00E025A8" w:rsidRDefault="00E025A8" w:rsidP="00E025A8">
            <w:pPr>
              <w:rPr>
                <w:sz w:val="20"/>
                <w:lang w:eastAsia="en-US"/>
              </w:rPr>
            </w:pPr>
            <w:r w:rsidRPr="00E025A8">
              <w:rPr>
                <w:sz w:val="20"/>
                <w:lang w:eastAsia="en-US"/>
              </w:rPr>
              <w:t xml:space="preserve">L’Agence Nationale de l’Artisanat a été créé par la loi n°008-86 du 19 mars 1986. Elle a pour mission notamment de recenser les activités dans le domaine de l’artisanat, planifier le développement du secteur, promouvoir les activités existantes, définir leur cadre juridique, améliorer la formation des artisans, aider à la recherche de nouveaux marchés , faciliter la participation des artisans aux foires et développer la coopération institutionnelle interétatique. </w:t>
            </w:r>
          </w:p>
          <w:p w14:paraId="1CCDDF25" w14:textId="7B3CCA60" w:rsidR="00E025A8" w:rsidRDefault="00E025A8" w:rsidP="00E025A8">
            <w:r w:rsidRPr="00E025A8">
              <w:rPr>
                <w:sz w:val="20"/>
              </w:rPr>
              <w:t>La loi des finances 2016 fixe la limite des recettes et des dépenses de l’ANA à 95 millions de FCFA pour l’année et il n’a pas été prévu de dépense en capital en 2016. On note que les recettes de l’ANA proviennent exclusivement de location de ses espaces.</w:t>
            </w:r>
            <w:r>
              <w:t xml:space="preserve">  </w:t>
            </w:r>
          </w:p>
        </w:tc>
      </w:tr>
    </w:tbl>
    <w:p w14:paraId="5E4A126A" w14:textId="77777777" w:rsidR="005B5FAB" w:rsidRDefault="005B5FAB" w:rsidP="005B5FAB"/>
    <w:p w14:paraId="5AB155EE" w14:textId="77777777" w:rsidR="005B5FAB" w:rsidRDefault="005B5FAB" w:rsidP="005B5FAB"/>
    <w:p w14:paraId="1D14A402" w14:textId="77777777" w:rsidR="00A5015C" w:rsidRDefault="00A5015C" w:rsidP="008B0EB3">
      <w:pPr>
        <w:pStyle w:val="Heading3"/>
        <w:numPr>
          <w:ilvl w:val="1"/>
          <w:numId w:val="27"/>
        </w:numPr>
      </w:pPr>
      <w:bookmarkStart w:id="54" w:name="_Toc454886794"/>
      <w:r>
        <w:lastRenderedPageBreak/>
        <w:t>Les autres fonds nationaux</w:t>
      </w:r>
      <w:bookmarkEnd w:id="54"/>
    </w:p>
    <w:p w14:paraId="3BE4B53F" w14:textId="77777777" w:rsidR="00A5015C" w:rsidRPr="00CA2786" w:rsidRDefault="00A5015C" w:rsidP="00A5015C">
      <w:r>
        <w:t xml:space="preserve">Certains fonds nationaux ne faisant pas l’objet de CAS </w:t>
      </w:r>
      <w:r w:rsidRPr="00BA65C9">
        <w:t>et donc relevant du budget général</w:t>
      </w:r>
      <w:r>
        <w:t xml:space="preserve"> ont été mis en place au niveau de différents ministères et peuvent être employés comme canaux d’affectation de financements publics pour la mise en œuvre des activités de la Stratégie Nationale REDD+ :  </w:t>
      </w:r>
    </w:p>
    <w:p w14:paraId="500A0787" w14:textId="77777777" w:rsidR="00A5015C" w:rsidRPr="00FF33DB" w:rsidRDefault="00A5015C" w:rsidP="00A5015C">
      <w:pPr>
        <w:pStyle w:val="Heading4"/>
        <w:rPr>
          <w:lang w:val="fr-FR"/>
        </w:rPr>
      </w:pPr>
      <w:r w:rsidRPr="00FF33DB">
        <w:rPr>
          <w:lang w:val="fr-FR"/>
        </w:rPr>
        <w:t>Le Fonds de Soutien à l’Agriculture (FSA)</w:t>
      </w:r>
    </w:p>
    <w:p w14:paraId="2BCFB77C" w14:textId="77777777" w:rsidR="00A5015C" w:rsidRDefault="00A5015C" w:rsidP="00A5015C">
      <w:pPr>
        <w:spacing w:after="0"/>
        <w:rPr>
          <w:szCs w:val="22"/>
        </w:rPr>
      </w:pPr>
      <w:r>
        <w:t>Le Fonds de Soutien à l’Agriculture est un établissement public administratif sous tutelle du Ministère de l’Agriculture et de l’Elevage (MAE) créé en 2005  par la loi n°22</w:t>
      </w:r>
      <w:r w:rsidRPr="0089123C">
        <w:rPr>
          <w:szCs w:val="22"/>
        </w:rPr>
        <w:t xml:space="preserve">-2005 du 28 décembre (puis modifiée par la loi n°30-2012 du 11 octobre 2012) et ses statuts sont régis par le décret n°2008-154 du 25 juin 2008 (modifié par le décret n°2013-372 du 18 juillet 2013). </w:t>
      </w:r>
    </w:p>
    <w:p w14:paraId="5ABEEA09" w14:textId="77777777" w:rsidR="00A5015C" w:rsidRPr="0089123C" w:rsidRDefault="00A5015C" w:rsidP="00A5015C">
      <w:pPr>
        <w:spacing w:after="0"/>
        <w:rPr>
          <w:szCs w:val="22"/>
        </w:rPr>
      </w:pPr>
      <w:r w:rsidRPr="0089123C">
        <w:rPr>
          <w:szCs w:val="22"/>
        </w:rPr>
        <w:t>Le FSA a pour objet de :</w:t>
      </w:r>
    </w:p>
    <w:p w14:paraId="69253AE0" w14:textId="77777777" w:rsidR="00A5015C" w:rsidRPr="0089123C" w:rsidRDefault="00A5015C" w:rsidP="008B0EB3">
      <w:pPr>
        <w:pStyle w:val="ListParagraph"/>
        <w:numPr>
          <w:ilvl w:val="0"/>
          <w:numId w:val="16"/>
        </w:numPr>
        <w:rPr>
          <w:szCs w:val="22"/>
        </w:rPr>
      </w:pPr>
      <w:r w:rsidRPr="0089123C">
        <w:rPr>
          <w:szCs w:val="22"/>
        </w:rPr>
        <w:t>Assurer le financement des activités de production agricole, pastorale et halieutique, de comme</w:t>
      </w:r>
      <w:r>
        <w:rPr>
          <w:szCs w:val="22"/>
        </w:rPr>
        <w:t>rcialisation</w:t>
      </w:r>
      <w:r w:rsidRPr="0089123C">
        <w:rPr>
          <w:szCs w:val="22"/>
        </w:rPr>
        <w:t xml:space="preserve"> et de conservation</w:t>
      </w:r>
      <w:r>
        <w:rPr>
          <w:szCs w:val="22"/>
        </w:rPr>
        <w:t> ;</w:t>
      </w:r>
    </w:p>
    <w:p w14:paraId="54509AE2" w14:textId="77777777" w:rsidR="00A5015C" w:rsidRPr="0089123C" w:rsidRDefault="00A5015C" w:rsidP="008B0EB3">
      <w:pPr>
        <w:pStyle w:val="ListParagraph"/>
        <w:numPr>
          <w:ilvl w:val="0"/>
          <w:numId w:val="16"/>
        </w:numPr>
        <w:rPr>
          <w:szCs w:val="22"/>
        </w:rPr>
      </w:pPr>
      <w:r w:rsidRPr="0089123C">
        <w:rPr>
          <w:szCs w:val="22"/>
        </w:rPr>
        <w:t>Assurer le financement de l’appui institutionnel : recherche et développement, vulgarisation, formation, encadrement et création de filière ;</w:t>
      </w:r>
    </w:p>
    <w:p w14:paraId="3352C571" w14:textId="77777777" w:rsidR="00A5015C" w:rsidRPr="0089123C" w:rsidRDefault="00A5015C" w:rsidP="008B0EB3">
      <w:pPr>
        <w:pStyle w:val="ListParagraph"/>
        <w:numPr>
          <w:ilvl w:val="0"/>
          <w:numId w:val="16"/>
        </w:numPr>
        <w:rPr>
          <w:szCs w:val="22"/>
        </w:rPr>
      </w:pPr>
      <w:r w:rsidRPr="0089123C">
        <w:rPr>
          <w:szCs w:val="22"/>
        </w:rPr>
        <w:t>Veillez à la bonne exécution de ces activités.</w:t>
      </w:r>
    </w:p>
    <w:p w14:paraId="096D44C4" w14:textId="77777777" w:rsidR="00A5015C" w:rsidRPr="0089123C" w:rsidRDefault="00A5015C" w:rsidP="00A5015C">
      <w:pPr>
        <w:spacing w:after="0"/>
        <w:rPr>
          <w:rFonts w:cs="Arial"/>
          <w:szCs w:val="22"/>
        </w:rPr>
      </w:pPr>
      <w:r w:rsidRPr="0089123C">
        <w:rPr>
          <w:rFonts w:cs="Arial"/>
          <w:szCs w:val="22"/>
        </w:rPr>
        <w:t xml:space="preserve">Ses ressources financières sont </w:t>
      </w:r>
      <w:r w:rsidRPr="0089123C">
        <w:rPr>
          <w:rFonts w:eastAsiaTheme="minorHAnsi" w:cs="Arial"/>
          <w:szCs w:val="22"/>
          <w:lang w:eastAsia="en-US"/>
        </w:rPr>
        <w:t>constituées par :</w:t>
      </w:r>
    </w:p>
    <w:p w14:paraId="3FF3B5F8" w14:textId="77777777" w:rsidR="00A5015C" w:rsidRPr="0089123C" w:rsidRDefault="00A5015C" w:rsidP="008B0EB3">
      <w:pPr>
        <w:pStyle w:val="ListParagraph"/>
        <w:numPr>
          <w:ilvl w:val="0"/>
          <w:numId w:val="16"/>
        </w:numPr>
        <w:autoSpaceDE w:val="0"/>
        <w:autoSpaceDN w:val="0"/>
        <w:adjustRightInd w:val="0"/>
        <w:spacing w:after="0"/>
        <w:jc w:val="left"/>
        <w:rPr>
          <w:rFonts w:eastAsiaTheme="minorHAnsi" w:cs="Arial"/>
          <w:szCs w:val="22"/>
          <w:lang w:eastAsia="en-US"/>
        </w:rPr>
      </w:pPr>
      <w:r>
        <w:rPr>
          <w:rFonts w:eastAsiaTheme="minorHAnsi" w:cs="Arial"/>
          <w:szCs w:val="22"/>
          <w:lang w:eastAsia="en-US"/>
        </w:rPr>
        <w:t>L</w:t>
      </w:r>
      <w:r w:rsidRPr="0089123C">
        <w:rPr>
          <w:rFonts w:eastAsiaTheme="minorHAnsi" w:cs="Arial"/>
          <w:szCs w:val="22"/>
          <w:lang w:eastAsia="en-US"/>
        </w:rPr>
        <w:t>a subvention de l'Etat ;</w:t>
      </w:r>
    </w:p>
    <w:p w14:paraId="0398CFBA" w14:textId="77777777" w:rsidR="00A5015C" w:rsidRPr="0089123C" w:rsidRDefault="00A5015C" w:rsidP="008B0EB3">
      <w:pPr>
        <w:pStyle w:val="ListParagraph"/>
        <w:numPr>
          <w:ilvl w:val="0"/>
          <w:numId w:val="16"/>
        </w:numPr>
        <w:autoSpaceDE w:val="0"/>
        <w:autoSpaceDN w:val="0"/>
        <w:adjustRightInd w:val="0"/>
        <w:spacing w:after="0"/>
        <w:jc w:val="left"/>
        <w:rPr>
          <w:rFonts w:eastAsiaTheme="minorHAnsi" w:cs="Arial"/>
          <w:szCs w:val="22"/>
          <w:lang w:eastAsia="en-US"/>
        </w:rPr>
      </w:pPr>
      <w:r>
        <w:rPr>
          <w:rFonts w:eastAsiaTheme="minorHAnsi" w:cs="Arial"/>
          <w:szCs w:val="22"/>
          <w:lang w:eastAsia="en-US"/>
        </w:rPr>
        <w:t>L</w:t>
      </w:r>
      <w:r w:rsidRPr="0089123C">
        <w:rPr>
          <w:rFonts w:eastAsiaTheme="minorHAnsi" w:cs="Arial"/>
          <w:szCs w:val="22"/>
          <w:lang w:eastAsia="en-US"/>
        </w:rPr>
        <w:t>es produits des placements ;</w:t>
      </w:r>
    </w:p>
    <w:p w14:paraId="1865C3E0" w14:textId="77777777" w:rsidR="00A5015C" w:rsidRPr="0089123C" w:rsidRDefault="00A5015C" w:rsidP="008B0EB3">
      <w:pPr>
        <w:pStyle w:val="ListParagraph"/>
        <w:numPr>
          <w:ilvl w:val="0"/>
          <w:numId w:val="16"/>
        </w:numPr>
        <w:rPr>
          <w:rFonts w:cs="Arial"/>
          <w:szCs w:val="22"/>
        </w:rPr>
      </w:pPr>
      <w:r>
        <w:rPr>
          <w:rFonts w:eastAsiaTheme="minorHAnsi" w:cs="Arial"/>
          <w:szCs w:val="22"/>
          <w:lang w:eastAsia="en-US"/>
        </w:rPr>
        <w:t>L</w:t>
      </w:r>
      <w:r w:rsidRPr="0089123C">
        <w:rPr>
          <w:rFonts w:eastAsiaTheme="minorHAnsi" w:cs="Arial"/>
          <w:szCs w:val="22"/>
          <w:lang w:eastAsia="en-US"/>
        </w:rPr>
        <w:t>es dons et legs.</w:t>
      </w:r>
    </w:p>
    <w:p w14:paraId="13182FC9" w14:textId="44098976" w:rsidR="00A5015C" w:rsidRDefault="00A5015C" w:rsidP="00A5015C">
      <w:pPr>
        <w:rPr>
          <w:rFonts w:cs="Arial"/>
          <w:szCs w:val="22"/>
        </w:rPr>
      </w:pPr>
      <w:r>
        <w:rPr>
          <w:rFonts w:cs="Arial"/>
          <w:szCs w:val="22"/>
        </w:rPr>
        <w:t xml:space="preserve">En l’absence de Banque Agricole, le FSA représente l’une des </w:t>
      </w:r>
      <w:r w:rsidR="00ED26BB">
        <w:rPr>
          <w:rFonts w:cs="Arial"/>
          <w:szCs w:val="22"/>
        </w:rPr>
        <w:t>quelques</w:t>
      </w:r>
      <w:r>
        <w:rPr>
          <w:rFonts w:cs="Arial"/>
          <w:szCs w:val="22"/>
        </w:rPr>
        <w:t xml:space="preserve"> alternatives pour les petits producteurs d’accéder à des prêts pour le financement de leurs activités. </w:t>
      </w:r>
    </w:p>
    <w:p w14:paraId="21EDE978" w14:textId="5ECFB584" w:rsidR="00A5015C" w:rsidRDefault="00A5015C" w:rsidP="00A5015C">
      <w:pPr>
        <w:rPr>
          <w:rFonts w:cs="Arial"/>
          <w:szCs w:val="22"/>
        </w:rPr>
      </w:pPr>
      <w:r>
        <w:rPr>
          <w:rFonts w:cs="Arial"/>
          <w:szCs w:val="22"/>
        </w:rPr>
        <w:t xml:space="preserve">Depuis 2008, le FSA a reçu de la part du gouvernement un budget de fonctionnement moyen de 160 millions de FCFA/an et de d’investissement 1 930 millions de FCFA/an. </w:t>
      </w:r>
      <w:r w:rsidR="00ED26BB">
        <w:rPr>
          <w:rFonts w:cs="Arial"/>
          <w:szCs w:val="22"/>
        </w:rPr>
        <w:t>En 2014,</w:t>
      </w:r>
      <w:r>
        <w:rPr>
          <w:rFonts w:cs="Arial"/>
          <w:szCs w:val="22"/>
        </w:rPr>
        <w:t xml:space="preserve"> le FSA n’a pas reçu de budget d’investissement et</w:t>
      </w:r>
      <w:r w:rsidR="00ED26BB">
        <w:rPr>
          <w:rFonts w:cs="Arial"/>
          <w:szCs w:val="22"/>
        </w:rPr>
        <w:t>,</w:t>
      </w:r>
      <w:r>
        <w:rPr>
          <w:rFonts w:cs="Arial"/>
          <w:szCs w:val="22"/>
        </w:rPr>
        <w:t xml:space="preserve"> </w:t>
      </w:r>
      <w:r w:rsidR="00ED26BB">
        <w:rPr>
          <w:rFonts w:cs="Arial"/>
          <w:szCs w:val="22"/>
        </w:rPr>
        <w:t>en 2015,</w:t>
      </w:r>
      <w:r>
        <w:rPr>
          <w:rFonts w:cs="Arial"/>
          <w:szCs w:val="22"/>
        </w:rPr>
        <w:t xml:space="preserve"> 1 000 millions de FCFA en 2015. De plus, les dépenses de fonctionnement du fonds excèdent largement le budget de fonctionnement prévu (en moyenne 690 millions de FCFA/an entre 2009 et 2014) et sont financées en partie sur le budget d’investissement (source : Direction des Etudes et de la Planification du MAE).</w:t>
      </w:r>
    </w:p>
    <w:p w14:paraId="3F2263F4" w14:textId="77777777" w:rsidR="00A5015C" w:rsidRPr="0089123C" w:rsidRDefault="00A5015C" w:rsidP="00A5015C">
      <w:pPr>
        <w:rPr>
          <w:rFonts w:cs="Arial"/>
          <w:szCs w:val="22"/>
        </w:rPr>
      </w:pPr>
      <w:r>
        <w:rPr>
          <w:rFonts w:cs="Arial"/>
          <w:szCs w:val="22"/>
        </w:rPr>
        <w:t>Selon le personnel de la DEP et du FSA, le FSA est aujourd’hui quasiment à l’arrêt faute de disposer de fonds de roulement. Malgré les appuis en termes de formation du personnel apportés par le projet du Programme d’Appui à la Diversification de l’Economie (PADE) de la Banque Mondiale, il éprouve de nombreuses difficultés de gouvernance et de recouvrement des prêts accordés. Par ailleurs la plupart des projets que le FSA a financés étaient de nature non agricole. La</w:t>
      </w:r>
      <w:r w:rsidRPr="0077105C">
        <w:rPr>
          <w:rFonts w:cs="Arial"/>
          <w:szCs w:val="22"/>
        </w:rPr>
        <w:t xml:space="preserve"> </w:t>
      </w:r>
      <w:r w:rsidRPr="0077105C">
        <w:rPr>
          <w:szCs w:val="22"/>
        </w:rPr>
        <w:t>Banque Commerciale de l’Habitat (</w:t>
      </w:r>
      <w:r w:rsidRPr="0077105C">
        <w:rPr>
          <w:rFonts w:cs="Arial"/>
          <w:szCs w:val="22"/>
        </w:rPr>
        <w:t>BCH) pour</w:t>
      </w:r>
      <w:r>
        <w:rPr>
          <w:rFonts w:cs="Arial"/>
          <w:szCs w:val="22"/>
        </w:rPr>
        <w:t xml:space="preserve"> appuyer le fonds avait hébergé un fonds de garantie de 1 milliard de FCFA qui n’a pas fonctionné. Aujourd’hui, aucun programme de redressement du FSA n’a été planifié.  </w:t>
      </w:r>
    </w:p>
    <w:p w14:paraId="25616CCC" w14:textId="77777777" w:rsidR="00A5015C" w:rsidRPr="00FF33DB" w:rsidRDefault="00A5015C" w:rsidP="00A5015C">
      <w:pPr>
        <w:pStyle w:val="Heading4"/>
        <w:rPr>
          <w:lang w:val="fr-FR"/>
        </w:rPr>
      </w:pPr>
      <w:r w:rsidRPr="00FF33DB">
        <w:rPr>
          <w:lang w:val="fr-FR"/>
        </w:rPr>
        <w:t>Le Fonds de Développement du Secteur de l’Electricité (FDSEL)</w:t>
      </w:r>
    </w:p>
    <w:p w14:paraId="259789D4" w14:textId="77777777" w:rsidR="00A5015C" w:rsidRDefault="00A5015C" w:rsidP="00A5015C">
      <w:r>
        <w:t xml:space="preserve">Le FDSEL a été créé au niveau du Ministère de l’Energie et de l’Hydraulique (MEH) par la loi n°17-2003 du 10 avril 2003 et ses statuts sont régis par le décret n°2008-560 du 28 novembre 2008. </w:t>
      </w:r>
    </w:p>
    <w:p w14:paraId="418F5AF0" w14:textId="77777777" w:rsidR="00A5015C" w:rsidRDefault="00A5015C" w:rsidP="00A5015C">
      <w:pPr>
        <w:spacing w:after="0"/>
      </w:pPr>
      <w:r>
        <w:t>Ce fonds a pour objectif d’assurer le financement :</w:t>
      </w:r>
    </w:p>
    <w:p w14:paraId="33A0899F" w14:textId="77777777" w:rsidR="00A5015C" w:rsidRDefault="00A5015C" w:rsidP="008B0EB3">
      <w:pPr>
        <w:pStyle w:val="ListParagraph"/>
        <w:numPr>
          <w:ilvl w:val="0"/>
          <w:numId w:val="16"/>
        </w:numPr>
      </w:pPr>
      <w:r>
        <w:t>Des opérations d’aménagement intéressant le secteur de l’électricité ;</w:t>
      </w:r>
    </w:p>
    <w:p w14:paraId="30CC69D6" w14:textId="77777777" w:rsidR="00A5015C" w:rsidRDefault="00A5015C" w:rsidP="008B0EB3">
      <w:pPr>
        <w:pStyle w:val="ListParagraph"/>
        <w:numPr>
          <w:ilvl w:val="0"/>
          <w:numId w:val="16"/>
        </w:numPr>
      </w:pPr>
      <w:r>
        <w:t>De développement des capacités en ressources humaines du secteur de l’électricité et des opérations d’éclairage public ;</w:t>
      </w:r>
    </w:p>
    <w:p w14:paraId="2D04FEC0" w14:textId="77777777" w:rsidR="00A5015C" w:rsidRDefault="00A5015C" w:rsidP="008B0EB3">
      <w:pPr>
        <w:pStyle w:val="ListParagraph"/>
        <w:numPr>
          <w:ilvl w:val="0"/>
          <w:numId w:val="16"/>
        </w:numPr>
      </w:pPr>
      <w:r>
        <w:t>Des travaux liés à la promotion des énergies nouvelles et renouvelables dans les communautés rurales ;</w:t>
      </w:r>
    </w:p>
    <w:p w14:paraId="33ADD495" w14:textId="77777777" w:rsidR="00A5015C" w:rsidRDefault="00A5015C" w:rsidP="008B0EB3">
      <w:pPr>
        <w:pStyle w:val="ListParagraph"/>
        <w:numPr>
          <w:ilvl w:val="0"/>
          <w:numId w:val="16"/>
        </w:numPr>
      </w:pPr>
      <w:r>
        <w:t>Des activités de l’agence de régulation du secteur de l’électricité.</w:t>
      </w:r>
    </w:p>
    <w:p w14:paraId="2EC120E3" w14:textId="77777777" w:rsidR="00A5015C" w:rsidRDefault="00A5015C" w:rsidP="00A5015C">
      <w:pPr>
        <w:spacing w:after="0"/>
      </w:pPr>
      <w:r>
        <w:t>Ses ressources financières sont issues de :</w:t>
      </w:r>
    </w:p>
    <w:p w14:paraId="42176641" w14:textId="77777777" w:rsidR="00A5015C" w:rsidRDefault="00A5015C" w:rsidP="008B0EB3">
      <w:pPr>
        <w:pStyle w:val="ListParagraph"/>
        <w:numPr>
          <w:ilvl w:val="0"/>
          <w:numId w:val="16"/>
        </w:numPr>
      </w:pPr>
      <w:r>
        <w:t>Un prélèvement sur la redevance due par les délégations du service public de l’électricité et les taxes à la charge des exploitants,</w:t>
      </w:r>
    </w:p>
    <w:p w14:paraId="16BA9186" w14:textId="77777777" w:rsidR="00A5015C" w:rsidRDefault="00A5015C" w:rsidP="008B0EB3">
      <w:pPr>
        <w:pStyle w:val="ListParagraph"/>
        <w:numPr>
          <w:ilvl w:val="0"/>
          <w:numId w:val="16"/>
        </w:numPr>
      </w:pPr>
      <w:r>
        <w:t>Un prélèvement sur les pénalités liées aux infractions prévues par le code de l’électricité,</w:t>
      </w:r>
    </w:p>
    <w:p w14:paraId="0E6D8737" w14:textId="77777777" w:rsidR="00A5015C" w:rsidRDefault="00A5015C" w:rsidP="008B0EB3">
      <w:pPr>
        <w:pStyle w:val="ListParagraph"/>
        <w:numPr>
          <w:ilvl w:val="0"/>
          <w:numId w:val="16"/>
        </w:numPr>
      </w:pPr>
      <w:r>
        <w:t>Toute autre recette ou dotation qui peut ultérieurement être fixées.</w:t>
      </w:r>
    </w:p>
    <w:p w14:paraId="1AE9120A" w14:textId="3F2304DA" w:rsidR="00A5015C" w:rsidRPr="002427E3" w:rsidRDefault="00A5015C" w:rsidP="00A5015C">
      <w:pPr>
        <w:spacing w:after="0" w:line="276" w:lineRule="auto"/>
        <w:rPr>
          <w:color w:val="FF0000"/>
        </w:rPr>
      </w:pPr>
      <w:r>
        <w:lastRenderedPageBreak/>
        <w:t xml:space="preserve">Selon les entretiens menés </w:t>
      </w:r>
      <w:r w:rsidR="00ED26BB">
        <w:t>avec le personnel du</w:t>
      </w:r>
      <w:r w:rsidRPr="009E1DAA">
        <w:t xml:space="preserve"> MEH </w:t>
      </w:r>
      <w:r w:rsidR="00ED26BB">
        <w:t>et du</w:t>
      </w:r>
      <w:r w:rsidRPr="009E1DAA">
        <w:t xml:space="preserve"> FDSEL</w:t>
      </w:r>
      <w:r>
        <w:t xml:space="preserve">, les interventions du Fonds sont actuellement limitées. En effet, l’autonomie limitée de </w:t>
      </w:r>
      <w:r w:rsidR="00ED26BB">
        <w:t>l’institution</w:t>
      </w:r>
      <w:r>
        <w:t xml:space="preserve"> ne </w:t>
      </w:r>
      <w:r w:rsidR="00ED26BB">
        <w:t xml:space="preserve">lui </w:t>
      </w:r>
      <w:r>
        <w:t>permet pas de lever des fonds autres que ceux versés par le gouvernement. Le FDSEL est toujours</w:t>
      </w:r>
      <w:r w:rsidR="00ED26BB">
        <w:t xml:space="preserve"> actuellement</w:t>
      </w:r>
      <w:r>
        <w:t xml:space="preserve"> en phase d’installation avec des budgets encore non consolidés. </w:t>
      </w:r>
    </w:p>
    <w:p w14:paraId="7A65C0ED" w14:textId="210824B9" w:rsidR="00A5015C" w:rsidRPr="00FF33DB" w:rsidRDefault="00F52467" w:rsidP="00A5015C">
      <w:pPr>
        <w:pStyle w:val="Heading4"/>
        <w:rPr>
          <w:lang w:val="fr-FR"/>
        </w:rPr>
      </w:pPr>
      <w:r>
        <w:rPr>
          <w:lang w:val="fr-FR"/>
        </w:rPr>
        <w:t xml:space="preserve">Le </w:t>
      </w:r>
      <w:r w:rsidR="00A5015C" w:rsidRPr="00FF33DB">
        <w:rPr>
          <w:lang w:val="fr-FR"/>
        </w:rPr>
        <w:t>Fonds National de la Science et de la Technologie</w:t>
      </w:r>
      <w:r w:rsidR="00A5015C">
        <w:rPr>
          <w:lang w:val="fr-FR"/>
        </w:rPr>
        <w:t xml:space="preserve"> (FNST)</w:t>
      </w:r>
    </w:p>
    <w:p w14:paraId="4F097C86" w14:textId="0DC9FC54" w:rsidR="00AC7AF7" w:rsidRDefault="00AC7AF7" w:rsidP="00A5015C">
      <w:pPr>
        <w:rPr>
          <w:rFonts w:ascii="Tw Cen MT" w:hAnsi="Tw Cen MT" w:cs="Arial"/>
        </w:rPr>
      </w:pPr>
      <w:r>
        <w:rPr>
          <w:rFonts w:ascii="Tw Cen MT" w:hAnsi="Tw Cen MT" w:cs="Arial"/>
        </w:rPr>
        <w:t>Le F</w:t>
      </w:r>
      <w:r w:rsidR="00A5015C" w:rsidRPr="00A52926">
        <w:rPr>
          <w:rFonts w:ascii="Tw Cen MT" w:hAnsi="Tw Cen MT" w:cs="Arial"/>
        </w:rPr>
        <w:t xml:space="preserve">onds National de la Science et de la Technologie est actuellement en phase de création et est mis en place en remplacement d’une ligne de crédit de la Direction Générale de la Recherche Scientifique (DGRST) alimentée par le budget du gouvernement. L’objectif de ce fonds </w:t>
      </w:r>
      <w:r w:rsidR="00A5015C">
        <w:rPr>
          <w:rFonts w:ascii="Tw Cen MT" w:hAnsi="Tw Cen MT" w:cs="Arial"/>
        </w:rPr>
        <w:t>sera d’</w:t>
      </w:r>
      <w:r w:rsidR="00A5015C" w:rsidRPr="00A52926">
        <w:rPr>
          <w:rFonts w:ascii="Tw Cen MT" w:hAnsi="Tw Cen MT" w:cs="Arial"/>
        </w:rPr>
        <w:t>appuyer le financement des actions de recherches entreprises par les institutions de r</w:t>
      </w:r>
      <w:r w:rsidR="00A5015C">
        <w:rPr>
          <w:rFonts w:ascii="Tw Cen MT" w:hAnsi="Tw Cen MT" w:cs="Arial"/>
        </w:rPr>
        <w:t>echerche publiques et privées (e</w:t>
      </w:r>
      <w:r w:rsidR="00ED26BB">
        <w:rPr>
          <w:rFonts w:ascii="Tw Cen MT" w:hAnsi="Tw Cen MT" w:cs="Arial"/>
        </w:rPr>
        <w:t>ntreprise, ONG, chercheurs</w:t>
      </w:r>
      <w:r w:rsidR="00A5015C" w:rsidRPr="00A52926">
        <w:rPr>
          <w:rFonts w:ascii="Tw Cen MT" w:hAnsi="Tw Cen MT" w:cs="Arial"/>
        </w:rPr>
        <w:t xml:space="preserve"> indépendants, etc.)</w:t>
      </w:r>
      <w:r w:rsidR="00A5015C">
        <w:rPr>
          <w:rFonts w:ascii="Tw Cen MT" w:hAnsi="Tw Cen MT" w:cs="Arial"/>
        </w:rPr>
        <w:t xml:space="preserve">. </w:t>
      </w:r>
    </w:p>
    <w:p w14:paraId="18E1E14F" w14:textId="50759583" w:rsidR="00AC7AF7" w:rsidRDefault="00F52467" w:rsidP="00AC7AF7">
      <w:pPr>
        <w:pStyle w:val="Heading4"/>
      </w:pPr>
      <w:r>
        <w:t xml:space="preserve">Le </w:t>
      </w:r>
      <w:proofErr w:type="spellStart"/>
      <w:r w:rsidR="00AC7AF7">
        <w:t>Fonds</w:t>
      </w:r>
      <w:proofErr w:type="spellEnd"/>
      <w:r w:rsidR="00AC7AF7">
        <w:t xml:space="preserve"> </w:t>
      </w:r>
      <w:proofErr w:type="spellStart"/>
      <w:r w:rsidR="00AC7AF7">
        <w:t>Routier</w:t>
      </w:r>
      <w:proofErr w:type="spellEnd"/>
    </w:p>
    <w:p w14:paraId="3ACFF6AD" w14:textId="08492714" w:rsidR="00485D7A" w:rsidRPr="00F52467" w:rsidRDefault="00AC7AF7" w:rsidP="00485D7A">
      <w:pPr>
        <w:autoSpaceDE w:val="0"/>
        <w:autoSpaceDN w:val="0"/>
        <w:adjustRightInd w:val="0"/>
        <w:spacing w:after="0"/>
        <w:rPr>
          <w:rFonts w:cs="Arial"/>
          <w:color w:val="2C3033"/>
          <w:shd w:val="clear" w:color="auto" w:fill="FFFFFF"/>
        </w:rPr>
      </w:pPr>
      <w:r w:rsidRPr="00F52467">
        <w:rPr>
          <w:rFonts w:eastAsiaTheme="minorHAnsi" w:cs="Bookman-Light"/>
          <w:szCs w:val="22"/>
          <w:lang w:eastAsia="en-US"/>
        </w:rPr>
        <w:t xml:space="preserve">Le Fonds Routier est </w:t>
      </w:r>
      <w:r w:rsidRPr="00F52467">
        <w:rPr>
          <w:rFonts w:eastAsiaTheme="minorHAnsi" w:cs="BookmanOldStyle"/>
          <w:szCs w:val="22"/>
          <w:lang w:eastAsia="en-US"/>
        </w:rPr>
        <w:t>é</w:t>
      </w:r>
      <w:r w:rsidRPr="00F52467">
        <w:rPr>
          <w:rFonts w:eastAsiaTheme="minorHAnsi" w:cs="Bookman-Light"/>
          <w:szCs w:val="22"/>
          <w:lang w:eastAsia="en-US"/>
        </w:rPr>
        <w:t>tablissement public administratif créé par la loi n</w:t>
      </w:r>
      <w:r w:rsidR="00485D7A" w:rsidRPr="00F52467">
        <w:rPr>
          <w:rFonts w:eastAsiaTheme="minorHAnsi" w:cs="BookmanOldStyle"/>
          <w:szCs w:val="22"/>
          <w:lang w:eastAsia="en-US"/>
        </w:rPr>
        <w:t>°</w:t>
      </w:r>
      <w:r w:rsidRPr="00F52467">
        <w:rPr>
          <w:rFonts w:eastAsiaTheme="minorHAnsi" w:cs="Bookman-Light"/>
          <w:szCs w:val="22"/>
          <w:lang w:eastAsia="en-US"/>
        </w:rPr>
        <w:t>8-2004 du 13 f</w:t>
      </w:r>
      <w:r w:rsidRPr="00F52467">
        <w:rPr>
          <w:rFonts w:eastAsiaTheme="minorHAnsi" w:cs="BookmanOldStyle"/>
          <w:szCs w:val="22"/>
          <w:lang w:eastAsia="en-US"/>
        </w:rPr>
        <w:t>é</w:t>
      </w:r>
      <w:r w:rsidRPr="00F52467">
        <w:rPr>
          <w:rFonts w:eastAsiaTheme="minorHAnsi" w:cs="Bookman-Light"/>
          <w:szCs w:val="22"/>
          <w:lang w:eastAsia="en-US"/>
        </w:rPr>
        <w:t xml:space="preserve">vrier 2004 qui a pour mission </w:t>
      </w:r>
      <w:r w:rsidR="00485D7A" w:rsidRPr="00F52467">
        <w:rPr>
          <w:rFonts w:cs="Arial"/>
          <w:color w:val="2C3033"/>
          <w:shd w:val="clear" w:color="auto" w:fill="FFFFFF"/>
        </w:rPr>
        <w:t>d’assurer le financement et</w:t>
      </w:r>
      <w:r w:rsidRPr="00F52467">
        <w:rPr>
          <w:rFonts w:cs="Arial"/>
          <w:color w:val="2C3033"/>
          <w:shd w:val="clear" w:color="auto" w:fill="FFFFFF"/>
        </w:rPr>
        <w:t xml:space="preserve"> l’entretien des r</w:t>
      </w:r>
      <w:r w:rsidR="00485D7A" w:rsidRPr="00F52467">
        <w:rPr>
          <w:rFonts w:cs="Arial"/>
          <w:color w:val="2C3033"/>
          <w:shd w:val="clear" w:color="auto" w:fill="FFFFFF"/>
        </w:rPr>
        <w:t>outes au niveau national</w:t>
      </w:r>
      <w:r w:rsidRPr="00F52467">
        <w:rPr>
          <w:rFonts w:cs="Arial"/>
          <w:color w:val="2C3033"/>
          <w:shd w:val="clear" w:color="auto" w:fill="FFFFFF"/>
        </w:rPr>
        <w:t>. Il est financé par les subventions de l’Etat et par la redevance d’usage de la route</w:t>
      </w:r>
      <w:r w:rsidR="00485D7A" w:rsidRPr="00F52467">
        <w:rPr>
          <w:rFonts w:cs="Arial"/>
          <w:color w:val="2C3033"/>
          <w:shd w:val="clear" w:color="auto" w:fill="FFFFFF"/>
        </w:rPr>
        <w:t xml:space="preserve">. En lien avec les activités de la Stratégie Nationale REDD+, des financements issus de ce fonds pourraient être mobilisés pour les volets infrastructures routières des activités nécessaires à l’approvisionnement et la commercialisation des produits issus des activités de terrain (distribution et commercialisation des produits agricoles et forestiers, etc.). </w:t>
      </w:r>
    </w:p>
    <w:p w14:paraId="69E8DB45" w14:textId="309CEB95" w:rsidR="00485D7A" w:rsidRPr="00485D7A" w:rsidRDefault="00485D7A" w:rsidP="00485D7A">
      <w:pPr>
        <w:autoSpaceDE w:val="0"/>
        <w:autoSpaceDN w:val="0"/>
        <w:adjustRightInd w:val="0"/>
        <w:spacing w:after="0"/>
        <w:rPr>
          <w:rFonts w:cs="Arial"/>
          <w:color w:val="2C3033"/>
          <w:shd w:val="clear" w:color="auto" w:fill="FFFFFF"/>
        </w:rPr>
      </w:pPr>
      <w:r w:rsidRPr="00F52467">
        <w:rPr>
          <w:rFonts w:cs="Arial"/>
          <w:color w:val="2C3033"/>
          <w:shd w:val="clear" w:color="auto" w:fill="FFFFFF"/>
        </w:rPr>
        <w:t xml:space="preserve">En 2014, le budget du fonds routier était de 61 milliards de FCFA et, en 2015, suite à la chute du prix du baril de pétrole de 50 milliards de FCFA en 2015.  Selon les autorités, étant donné la baisse budgétaire observée en 2015, leurs activités se sont concentrées essentiellement </w:t>
      </w:r>
      <w:r w:rsidRPr="00F52467">
        <w:rPr>
          <w:rFonts w:cs="Arial"/>
          <w:i/>
          <w:color w:val="2C3033"/>
          <w:shd w:val="clear" w:color="auto" w:fill="FFFFFF"/>
        </w:rPr>
        <w:t>s</w:t>
      </w:r>
      <w:r w:rsidRPr="00F52467">
        <w:rPr>
          <w:rStyle w:val="Emphasis"/>
          <w:rFonts w:eastAsiaTheme="majorEastAsia"/>
          <w:i w:val="0"/>
        </w:rPr>
        <w:t>ur les travaux d’ouverture et d’entretien des routes dans le département de la Bouenza. Pour exécuter les travaux e</w:t>
      </w:r>
      <w:r w:rsidR="00F52467" w:rsidRPr="00F52467">
        <w:rPr>
          <w:rStyle w:val="Emphasis"/>
          <w:rFonts w:eastAsiaTheme="majorEastAsia"/>
          <w:i w:val="0"/>
        </w:rPr>
        <w:t>ngagés au niveau national et rembourser les dettes, le fonds devraient pouvoir disposer d’un budget annuel de 100 milliards de FCFA</w:t>
      </w:r>
      <w:r w:rsidR="00F52467" w:rsidRPr="00F52467">
        <w:rPr>
          <w:rStyle w:val="FootnoteReference"/>
          <w:rFonts w:eastAsiaTheme="majorEastAsia"/>
          <w:iCs/>
        </w:rPr>
        <w:footnoteReference w:id="75"/>
      </w:r>
      <w:r w:rsidR="00F52467" w:rsidRPr="00F52467">
        <w:rPr>
          <w:rStyle w:val="Emphasis"/>
          <w:rFonts w:eastAsiaTheme="majorEastAsia"/>
          <w:i w:val="0"/>
        </w:rPr>
        <w:t>.</w:t>
      </w:r>
      <w:r w:rsidR="00F52467">
        <w:rPr>
          <w:rStyle w:val="Emphasis"/>
          <w:rFonts w:eastAsiaTheme="majorEastAsia"/>
          <w:i w:val="0"/>
        </w:rPr>
        <w:t xml:space="preserve"> </w:t>
      </w:r>
    </w:p>
    <w:p w14:paraId="654BF069" w14:textId="55DF59AB" w:rsidR="00AC7AF7" w:rsidRPr="00485D7A" w:rsidRDefault="00AC7AF7" w:rsidP="00485D7A">
      <w:pPr>
        <w:autoSpaceDE w:val="0"/>
        <w:autoSpaceDN w:val="0"/>
        <w:adjustRightInd w:val="0"/>
        <w:spacing w:after="0"/>
        <w:rPr>
          <w:szCs w:val="22"/>
        </w:rPr>
      </w:pPr>
    </w:p>
    <w:p w14:paraId="2CA74640" w14:textId="662202FE" w:rsidR="00A5015C" w:rsidRDefault="00A5015C" w:rsidP="00AC7AF7">
      <w:r>
        <w:br w:type="page"/>
      </w:r>
    </w:p>
    <w:p w14:paraId="283ECC5C" w14:textId="77777777" w:rsidR="00A5015C" w:rsidRPr="00B67EFD" w:rsidRDefault="00A5015C" w:rsidP="00A5015C">
      <w:pPr>
        <w:pStyle w:val="Heading2"/>
      </w:pPr>
      <w:bookmarkStart w:id="55" w:name="_Toc454886795"/>
      <w:r w:rsidRPr="00B67EFD">
        <w:lastRenderedPageBreak/>
        <w:t>Les financements domestiques privés</w:t>
      </w:r>
      <w:bookmarkEnd w:id="55"/>
    </w:p>
    <w:p w14:paraId="0C32A75D" w14:textId="77777777" w:rsidR="00A5015C" w:rsidRDefault="00A5015C" w:rsidP="00A5015C">
      <w:r>
        <w:t>La République du Congo est classée 176</w:t>
      </w:r>
      <w:r w:rsidRPr="0077105C">
        <w:rPr>
          <w:vertAlign w:val="superscript"/>
        </w:rPr>
        <w:t>ème</w:t>
      </w:r>
      <w:r>
        <w:t xml:space="preserve"> sur 189 en 2016 au niveau mondial en termes de facilité de faire des affaires par la Banque Mondiale. Le tableau ci-dessous reprend les indicateurs généraux de la Banque Mondiale en termes de facilité à faire des affaires au Congo :  </w:t>
      </w:r>
    </w:p>
    <w:p w14:paraId="0E4B4845" w14:textId="77777777" w:rsidR="00A5015C" w:rsidRDefault="00A5015C" w:rsidP="00A5015C">
      <w:r>
        <w:rPr>
          <w:noProof/>
          <w:lang w:val="en-US" w:eastAsia="en-US"/>
        </w:rPr>
        <w:drawing>
          <wp:inline distT="0" distB="0" distL="0" distR="0" wp14:anchorId="59E9741C" wp14:editId="6C183B66">
            <wp:extent cx="5866765" cy="2393343"/>
            <wp:effectExtent l="0" t="0" r="63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960" t="50643" r="58665" b="15486"/>
                    <a:stretch/>
                  </pic:blipFill>
                  <pic:spPr bwMode="auto">
                    <a:xfrm>
                      <a:off x="0" y="0"/>
                      <a:ext cx="5882944" cy="2399943"/>
                    </a:xfrm>
                    <a:prstGeom prst="rect">
                      <a:avLst/>
                    </a:prstGeom>
                    <a:ln>
                      <a:noFill/>
                    </a:ln>
                    <a:extLst>
                      <a:ext uri="{53640926-AAD7-44d8-BBD7-CCE9431645EC}">
                        <a14:shadowObscured xmlns:a14="http://schemas.microsoft.com/office/drawing/2010/main"/>
                      </a:ext>
                    </a:extLst>
                  </pic:spPr>
                </pic:pic>
              </a:graphicData>
            </a:graphic>
          </wp:inline>
        </w:drawing>
      </w:r>
    </w:p>
    <w:p w14:paraId="79203C5B" w14:textId="77777777" w:rsidR="00A5015C" w:rsidRPr="009471C7" w:rsidRDefault="00A5015C" w:rsidP="00A5015C">
      <w:pPr>
        <w:pStyle w:val="Caption"/>
      </w:pPr>
      <w:bookmarkStart w:id="56" w:name="_Toc454886807"/>
      <w:r>
        <w:t xml:space="preserve">Tableau </w:t>
      </w:r>
      <w:r>
        <w:fldChar w:fldCharType="begin"/>
      </w:r>
      <w:r>
        <w:instrText xml:space="preserve"> SEQ Tableau \* ARABIC </w:instrText>
      </w:r>
      <w:r>
        <w:fldChar w:fldCharType="separate"/>
      </w:r>
      <w:r w:rsidR="0080491D">
        <w:rPr>
          <w:noProof/>
        </w:rPr>
        <w:t>8</w:t>
      </w:r>
      <w:r>
        <w:fldChar w:fldCharType="end"/>
      </w:r>
      <w:r>
        <w:t> : Indicateurs de la Banque Mondiale de facilité de faire des affaires au Congo en 2015 et 2016</w:t>
      </w:r>
      <w:r>
        <w:rPr>
          <w:rStyle w:val="FootnoteReference"/>
        </w:rPr>
        <w:footnoteReference w:id="76"/>
      </w:r>
      <w:bookmarkEnd w:id="56"/>
    </w:p>
    <w:p w14:paraId="64B85F39" w14:textId="77777777" w:rsidR="00A5015C" w:rsidRDefault="00A5015C" w:rsidP="008B0EB3">
      <w:pPr>
        <w:pStyle w:val="Heading3"/>
        <w:numPr>
          <w:ilvl w:val="1"/>
          <w:numId w:val="26"/>
        </w:numPr>
      </w:pPr>
      <w:bookmarkStart w:id="57" w:name="_Toc454886796"/>
      <w:r w:rsidRPr="005834C5">
        <w:t xml:space="preserve">Le secteur financier de la République </w:t>
      </w:r>
      <w:r>
        <w:t xml:space="preserve">du </w:t>
      </w:r>
      <w:r w:rsidRPr="005834C5">
        <w:t>Congo</w:t>
      </w:r>
      <w:bookmarkEnd w:id="57"/>
    </w:p>
    <w:p w14:paraId="102A0AC4" w14:textId="7C8C75C5" w:rsidR="00A5015C" w:rsidRPr="004C2873" w:rsidRDefault="00A5015C" w:rsidP="00A5015C">
      <w:pPr>
        <w:autoSpaceDE w:val="0"/>
        <w:autoSpaceDN w:val="0"/>
        <w:adjustRightInd w:val="0"/>
        <w:spacing w:after="0"/>
        <w:rPr>
          <w:rFonts w:eastAsiaTheme="minorHAnsi" w:cs="HelveticaNeue-Light"/>
          <w:szCs w:val="22"/>
          <w:lang w:eastAsia="en-US"/>
        </w:rPr>
      </w:pPr>
      <w:r w:rsidRPr="004C2873">
        <w:rPr>
          <w:szCs w:val="22"/>
        </w:rPr>
        <w:t xml:space="preserve">Selon un rapport sur les investissements privés en République du Congo (BAD, 2012), les instruments de financements </w:t>
      </w:r>
      <w:r w:rsidR="00ED26BB">
        <w:rPr>
          <w:szCs w:val="22"/>
        </w:rPr>
        <w:t>sont principalement</w:t>
      </w:r>
      <w:r w:rsidRPr="004C2873">
        <w:rPr>
          <w:szCs w:val="22"/>
        </w:rPr>
        <w:t xml:space="preserve"> ceux qui sont offerts par l</w:t>
      </w:r>
      <w:r w:rsidR="00ED26BB">
        <w:rPr>
          <w:szCs w:val="22"/>
        </w:rPr>
        <w:t>es banques. Le pays ne compte pas de</w:t>
      </w:r>
      <w:r w:rsidRPr="004C2873">
        <w:rPr>
          <w:szCs w:val="22"/>
        </w:rPr>
        <w:t xml:space="preserve"> société de leasing, de société de factoring </w:t>
      </w:r>
      <w:r w:rsidR="00ED26BB">
        <w:rPr>
          <w:szCs w:val="22"/>
        </w:rPr>
        <w:t>et de</w:t>
      </w:r>
      <w:r w:rsidRPr="004C2873">
        <w:rPr>
          <w:szCs w:val="22"/>
        </w:rPr>
        <w:t xml:space="preserve"> capital investissement susceptibles d’accompagner les projets de promoteurs éventuels. </w:t>
      </w:r>
      <w:r w:rsidRPr="004C2873">
        <w:rPr>
          <w:rFonts w:eastAsiaTheme="minorHAnsi" w:cs="HelveticaNeue-Light"/>
          <w:szCs w:val="22"/>
          <w:lang w:eastAsia="en-US"/>
        </w:rPr>
        <w:t>La Société congolaise de financement spécialisée dans le crédit-bail et le factoring en faveur des P</w:t>
      </w:r>
      <w:r>
        <w:rPr>
          <w:rFonts w:eastAsiaTheme="minorHAnsi" w:cs="HelveticaNeue-Light"/>
          <w:szCs w:val="22"/>
          <w:lang w:eastAsia="en-US"/>
        </w:rPr>
        <w:t xml:space="preserve">etites et </w:t>
      </w:r>
      <w:r w:rsidRPr="004C2873">
        <w:rPr>
          <w:rFonts w:eastAsiaTheme="minorHAnsi" w:cs="HelveticaNeue-Light"/>
          <w:szCs w:val="22"/>
          <w:lang w:eastAsia="en-US"/>
        </w:rPr>
        <w:t>M</w:t>
      </w:r>
      <w:r>
        <w:rPr>
          <w:rFonts w:eastAsiaTheme="minorHAnsi" w:cs="HelveticaNeue-Light"/>
          <w:szCs w:val="22"/>
          <w:lang w:eastAsia="en-US"/>
        </w:rPr>
        <w:t xml:space="preserve">oyennes </w:t>
      </w:r>
      <w:r w:rsidRPr="004C2873">
        <w:rPr>
          <w:rFonts w:eastAsiaTheme="minorHAnsi" w:cs="HelveticaNeue-Light"/>
          <w:szCs w:val="22"/>
          <w:lang w:eastAsia="en-US"/>
        </w:rPr>
        <w:t>E</w:t>
      </w:r>
      <w:r>
        <w:rPr>
          <w:rFonts w:eastAsiaTheme="minorHAnsi" w:cs="HelveticaNeue-Light"/>
          <w:szCs w:val="22"/>
          <w:lang w:eastAsia="en-US"/>
        </w:rPr>
        <w:t>ntreprises (PME)</w:t>
      </w:r>
      <w:r w:rsidRPr="004C2873">
        <w:rPr>
          <w:rFonts w:eastAsiaTheme="minorHAnsi" w:cs="HelveticaNeue-Light"/>
          <w:szCs w:val="22"/>
          <w:lang w:eastAsia="en-US"/>
        </w:rPr>
        <w:t xml:space="preserve"> est quasi-inexistante (BAD, 2012). </w:t>
      </w:r>
    </w:p>
    <w:p w14:paraId="37EBBAC0" w14:textId="31056464" w:rsidR="00A5015C" w:rsidRPr="004C2873" w:rsidRDefault="00A5015C" w:rsidP="00A5015C">
      <w:pPr>
        <w:autoSpaceDE w:val="0"/>
        <w:autoSpaceDN w:val="0"/>
        <w:adjustRightInd w:val="0"/>
        <w:spacing w:after="0"/>
        <w:rPr>
          <w:rFonts w:eastAsiaTheme="minorHAnsi" w:cs="HelveticaNeue-Light"/>
          <w:szCs w:val="22"/>
          <w:lang w:eastAsia="en-US"/>
        </w:rPr>
      </w:pPr>
      <w:r w:rsidRPr="004C2873">
        <w:rPr>
          <w:szCs w:val="22"/>
        </w:rPr>
        <w:t xml:space="preserve">Le secteur </w:t>
      </w:r>
      <w:r w:rsidR="00ED26BB">
        <w:rPr>
          <w:szCs w:val="22"/>
        </w:rPr>
        <w:t>de l’assurance est constitué</w:t>
      </w:r>
      <w:r w:rsidRPr="004C2873">
        <w:rPr>
          <w:szCs w:val="22"/>
        </w:rPr>
        <w:t xml:space="preserve"> de deux sociétés d’assurance dont les actifs conjoints représentent tout juste 0,3 pour cent du PIB. Deux caisses de retraite opèrent au Congo : la Caisse nationale de sécurité sociale (CNSS), et la Caisse de retraite des fonctionnaires (CREF). Les deux caisses sont confrontées à des difficultés pour assurer à temps le paiement des prestations.</w:t>
      </w:r>
      <w:r w:rsidRPr="004C2873">
        <w:rPr>
          <w:rStyle w:val="FootnoteReference"/>
          <w:szCs w:val="22"/>
        </w:rPr>
        <w:footnoteReference w:id="77"/>
      </w:r>
    </w:p>
    <w:p w14:paraId="69681E68" w14:textId="77777777" w:rsidR="00A5015C" w:rsidRPr="009B0EC7" w:rsidRDefault="00A5015C" w:rsidP="00A5015C">
      <w:pPr>
        <w:autoSpaceDE w:val="0"/>
        <w:autoSpaceDN w:val="0"/>
        <w:adjustRightInd w:val="0"/>
        <w:spacing w:after="0"/>
        <w:rPr>
          <w:rFonts w:ascii="HelveticaNeue-Light" w:eastAsiaTheme="minorHAnsi" w:hAnsi="HelveticaNeue-Light" w:cs="HelveticaNeue-Light"/>
          <w:sz w:val="12"/>
          <w:szCs w:val="12"/>
          <w:lang w:eastAsia="en-US"/>
        </w:rPr>
      </w:pPr>
    </w:p>
    <w:p w14:paraId="5A6360A2" w14:textId="77777777" w:rsidR="00A5015C" w:rsidRDefault="00A5015C" w:rsidP="00A5015C">
      <w:pPr>
        <w:pStyle w:val="Heading4"/>
      </w:pPr>
      <w:r w:rsidRPr="005834C5">
        <w:t xml:space="preserve">Les </w:t>
      </w:r>
      <w:proofErr w:type="spellStart"/>
      <w:r w:rsidRPr="005834C5">
        <w:t>banques</w:t>
      </w:r>
      <w:proofErr w:type="spellEnd"/>
      <w:r w:rsidRPr="005834C5">
        <w:t xml:space="preserve"> </w:t>
      </w:r>
      <w:proofErr w:type="spellStart"/>
      <w:r w:rsidRPr="005834C5">
        <w:t>commerciales</w:t>
      </w:r>
      <w:proofErr w:type="spellEnd"/>
      <w:r w:rsidRPr="005834C5">
        <w:t xml:space="preserve"> </w:t>
      </w:r>
    </w:p>
    <w:p w14:paraId="1FE12D84" w14:textId="57B3539A" w:rsidR="00A5015C" w:rsidRPr="00313F2C" w:rsidRDefault="00A5015C" w:rsidP="005B5FAB">
      <w:pPr>
        <w:spacing w:after="0"/>
        <w:rPr>
          <w:szCs w:val="22"/>
        </w:rPr>
      </w:pPr>
      <w:r w:rsidRPr="00313F2C">
        <w:rPr>
          <w:szCs w:val="22"/>
        </w:rPr>
        <w:t xml:space="preserve">Le secteur bancaire congolais est restreint et </w:t>
      </w:r>
      <w:r>
        <w:rPr>
          <w:szCs w:val="22"/>
        </w:rPr>
        <w:t>en développement</w:t>
      </w:r>
      <w:r w:rsidRPr="00313F2C">
        <w:rPr>
          <w:szCs w:val="22"/>
        </w:rPr>
        <w:t>. Après de sérieuses difficultés dans les années 90 (</w:t>
      </w:r>
      <w:r w:rsidR="00ED26BB">
        <w:rPr>
          <w:szCs w:val="22"/>
        </w:rPr>
        <w:t>faible performance</w:t>
      </w:r>
      <w:r w:rsidRPr="00313F2C">
        <w:rPr>
          <w:szCs w:val="22"/>
        </w:rPr>
        <w:t xml:space="preserve"> des banques publiques, crises politiques, guerre</w:t>
      </w:r>
      <w:r>
        <w:rPr>
          <w:szCs w:val="22"/>
        </w:rPr>
        <w:t>, etc.</w:t>
      </w:r>
      <w:r w:rsidRPr="00313F2C">
        <w:rPr>
          <w:szCs w:val="22"/>
        </w:rPr>
        <w:t>), la restructuration du secteur à partir de 2000 s’est traduite par une vague de privatisations et d’investissements étrangers</w:t>
      </w:r>
      <w:r>
        <w:rPr>
          <w:rStyle w:val="FootnoteReference"/>
          <w:szCs w:val="22"/>
        </w:rPr>
        <w:footnoteReference w:id="78"/>
      </w:r>
      <w:r w:rsidRPr="00313F2C">
        <w:rPr>
          <w:szCs w:val="22"/>
        </w:rPr>
        <w:t xml:space="preserve">. </w:t>
      </w:r>
      <w:r w:rsidR="005B5FAB">
        <w:rPr>
          <w:szCs w:val="22"/>
        </w:rPr>
        <w:t xml:space="preserve"> </w:t>
      </w:r>
      <w:r w:rsidRPr="00313F2C">
        <w:rPr>
          <w:szCs w:val="22"/>
        </w:rPr>
        <w:t>En 2014, on comptabilise 10 banques agrées en République du Congo :</w:t>
      </w:r>
    </w:p>
    <w:tbl>
      <w:tblPr>
        <w:tblStyle w:val="GridTable4-Accent11"/>
        <w:tblW w:w="0" w:type="auto"/>
        <w:jc w:val="center"/>
        <w:tblLook w:val="04A0" w:firstRow="1" w:lastRow="0" w:firstColumn="1" w:lastColumn="0" w:noHBand="0" w:noVBand="1"/>
      </w:tblPr>
      <w:tblGrid>
        <w:gridCol w:w="3794"/>
        <w:gridCol w:w="1595"/>
      </w:tblGrid>
      <w:tr w:rsidR="00A5015C" w:rsidRPr="003E399A" w14:paraId="7FE3555D" w14:textId="77777777" w:rsidTr="00A93E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1C9BD9D4" w14:textId="77777777" w:rsidR="00A5015C" w:rsidRPr="001F3635" w:rsidRDefault="00A5015C" w:rsidP="00A93E22">
            <w:pPr>
              <w:spacing w:after="0"/>
              <w:rPr>
                <w:sz w:val="20"/>
              </w:rPr>
            </w:pPr>
            <w:r w:rsidRPr="001F3635">
              <w:rPr>
                <w:sz w:val="20"/>
              </w:rPr>
              <w:t>Banque</w:t>
            </w:r>
          </w:p>
        </w:tc>
        <w:tc>
          <w:tcPr>
            <w:tcW w:w="1595" w:type="dxa"/>
          </w:tcPr>
          <w:p w14:paraId="22004853" w14:textId="77777777" w:rsidR="00A5015C" w:rsidRPr="001F3635" w:rsidRDefault="00A5015C" w:rsidP="00A93E22">
            <w:pPr>
              <w:spacing w:after="0"/>
              <w:cnfStyle w:val="100000000000" w:firstRow="1" w:lastRow="0" w:firstColumn="0" w:lastColumn="0" w:oddVBand="0" w:evenVBand="0" w:oddHBand="0" w:evenHBand="0" w:firstRowFirstColumn="0" w:firstRowLastColumn="0" w:lastRowFirstColumn="0" w:lastRowLastColumn="0"/>
              <w:rPr>
                <w:sz w:val="20"/>
              </w:rPr>
            </w:pPr>
            <w:r w:rsidRPr="001F3635">
              <w:rPr>
                <w:sz w:val="20"/>
              </w:rPr>
              <w:t>Capital Social</w:t>
            </w:r>
          </w:p>
        </w:tc>
      </w:tr>
      <w:tr w:rsidR="00A5015C" w:rsidRPr="003E399A" w14:paraId="7727381A" w14:textId="77777777" w:rsidTr="00A93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4F4EE059" w14:textId="77777777" w:rsidR="00A5015C" w:rsidRPr="003E399A" w:rsidRDefault="00A5015C" w:rsidP="00A93E22">
            <w:pPr>
              <w:spacing w:after="0"/>
              <w:rPr>
                <w:b w:val="0"/>
                <w:sz w:val="20"/>
              </w:rPr>
            </w:pPr>
            <w:r w:rsidRPr="003E399A">
              <w:rPr>
                <w:sz w:val="20"/>
              </w:rPr>
              <w:t>Crédit du Congo (CDCO)</w:t>
            </w:r>
          </w:p>
        </w:tc>
        <w:tc>
          <w:tcPr>
            <w:tcW w:w="1595" w:type="dxa"/>
          </w:tcPr>
          <w:p w14:paraId="20019113" w14:textId="77777777" w:rsidR="00A5015C" w:rsidRPr="003E399A" w:rsidRDefault="00A5015C" w:rsidP="00A93E2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3E399A">
              <w:rPr>
                <w:sz w:val="20"/>
              </w:rPr>
              <w:t>10 477</w:t>
            </w:r>
          </w:p>
        </w:tc>
      </w:tr>
      <w:tr w:rsidR="00A5015C" w:rsidRPr="003E399A" w14:paraId="6DA9AEEA" w14:textId="77777777" w:rsidTr="00A93E22">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36A0321C" w14:textId="77777777" w:rsidR="00A5015C" w:rsidRPr="003E399A" w:rsidRDefault="00A5015C" w:rsidP="00A93E22">
            <w:pPr>
              <w:spacing w:after="0"/>
              <w:rPr>
                <w:b w:val="0"/>
                <w:sz w:val="20"/>
              </w:rPr>
            </w:pPr>
            <w:r w:rsidRPr="003E399A">
              <w:rPr>
                <w:sz w:val="20"/>
              </w:rPr>
              <w:t>La Congolaise de Banque (LCB)</w:t>
            </w:r>
          </w:p>
        </w:tc>
        <w:tc>
          <w:tcPr>
            <w:tcW w:w="1595" w:type="dxa"/>
          </w:tcPr>
          <w:p w14:paraId="3AAF2EF8" w14:textId="77777777" w:rsidR="00A5015C" w:rsidRPr="003E399A" w:rsidRDefault="00A5015C" w:rsidP="00A93E2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3E399A">
              <w:rPr>
                <w:sz w:val="20"/>
              </w:rPr>
              <w:t>10 000</w:t>
            </w:r>
          </w:p>
        </w:tc>
      </w:tr>
      <w:tr w:rsidR="00A5015C" w:rsidRPr="003E399A" w14:paraId="22EE6756" w14:textId="77777777" w:rsidTr="00A93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21A84A82" w14:textId="77777777" w:rsidR="00A5015C" w:rsidRPr="003E399A" w:rsidRDefault="00A5015C" w:rsidP="00A93E22">
            <w:pPr>
              <w:spacing w:after="0"/>
              <w:rPr>
                <w:b w:val="0"/>
                <w:sz w:val="20"/>
              </w:rPr>
            </w:pPr>
            <w:r w:rsidRPr="003E399A">
              <w:rPr>
                <w:sz w:val="20"/>
              </w:rPr>
              <w:t>BGFIBANK Congo</w:t>
            </w:r>
          </w:p>
        </w:tc>
        <w:tc>
          <w:tcPr>
            <w:tcW w:w="1595" w:type="dxa"/>
          </w:tcPr>
          <w:p w14:paraId="503F2EAC" w14:textId="77777777" w:rsidR="00A5015C" w:rsidRPr="003E399A" w:rsidRDefault="00A5015C" w:rsidP="00A93E2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3E399A">
              <w:rPr>
                <w:sz w:val="20"/>
              </w:rPr>
              <w:t>10 000</w:t>
            </w:r>
          </w:p>
        </w:tc>
      </w:tr>
      <w:tr w:rsidR="00A5015C" w:rsidRPr="003E399A" w14:paraId="2F59E140" w14:textId="77777777" w:rsidTr="00A93E22">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2EFF0278" w14:textId="77777777" w:rsidR="00A5015C" w:rsidRPr="003E399A" w:rsidRDefault="00A5015C" w:rsidP="00A93E22">
            <w:pPr>
              <w:spacing w:after="0"/>
              <w:rPr>
                <w:b w:val="0"/>
                <w:sz w:val="20"/>
              </w:rPr>
            </w:pPr>
            <w:r w:rsidRPr="003E399A">
              <w:rPr>
                <w:sz w:val="20"/>
              </w:rPr>
              <w:t>Banque Commerciale Internationale</w:t>
            </w:r>
            <w:r>
              <w:rPr>
                <w:sz w:val="20"/>
              </w:rPr>
              <w:t xml:space="preserve"> (BCI)</w:t>
            </w:r>
          </w:p>
        </w:tc>
        <w:tc>
          <w:tcPr>
            <w:tcW w:w="1595" w:type="dxa"/>
          </w:tcPr>
          <w:p w14:paraId="080E803A" w14:textId="77777777" w:rsidR="00A5015C" w:rsidRPr="003E399A" w:rsidRDefault="00A5015C" w:rsidP="00A93E2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3E399A">
              <w:rPr>
                <w:sz w:val="20"/>
              </w:rPr>
              <w:t>10 000</w:t>
            </w:r>
          </w:p>
        </w:tc>
      </w:tr>
      <w:tr w:rsidR="00A5015C" w:rsidRPr="003E399A" w14:paraId="5BC24969" w14:textId="77777777" w:rsidTr="00A93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26232639" w14:textId="77777777" w:rsidR="00A5015C" w:rsidRPr="003E399A" w:rsidRDefault="00A5015C" w:rsidP="00A93E22">
            <w:pPr>
              <w:spacing w:after="0"/>
              <w:rPr>
                <w:b w:val="0"/>
                <w:sz w:val="20"/>
              </w:rPr>
            </w:pPr>
            <w:proofErr w:type="spellStart"/>
            <w:r w:rsidRPr="003E399A">
              <w:rPr>
                <w:sz w:val="20"/>
              </w:rPr>
              <w:t>Ecobank</w:t>
            </w:r>
            <w:proofErr w:type="spellEnd"/>
          </w:p>
        </w:tc>
        <w:tc>
          <w:tcPr>
            <w:tcW w:w="1595" w:type="dxa"/>
          </w:tcPr>
          <w:p w14:paraId="2D7E279C" w14:textId="77777777" w:rsidR="00A5015C" w:rsidRPr="003E399A" w:rsidRDefault="00A5015C" w:rsidP="00A93E2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3E399A">
              <w:rPr>
                <w:sz w:val="20"/>
              </w:rPr>
              <w:t>10 000</w:t>
            </w:r>
          </w:p>
        </w:tc>
      </w:tr>
      <w:tr w:rsidR="00A5015C" w:rsidRPr="003E399A" w14:paraId="7A77131E" w14:textId="77777777" w:rsidTr="00A93E22">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478734C2" w14:textId="77777777" w:rsidR="00A5015C" w:rsidRPr="003E399A" w:rsidRDefault="00A5015C" w:rsidP="00A93E22">
            <w:pPr>
              <w:spacing w:after="0"/>
              <w:rPr>
                <w:b w:val="0"/>
                <w:sz w:val="20"/>
              </w:rPr>
            </w:pPr>
            <w:r w:rsidRPr="003E399A">
              <w:rPr>
                <w:sz w:val="20"/>
              </w:rPr>
              <w:t>Banque Commerciale de l’Habitat (BCH)</w:t>
            </w:r>
          </w:p>
        </w:tc>
        <w:tc>
          <w:tcPr>
            <w:tcW w:w="1595" w:type="dxa"/>
          </w:tcPr>
          <w:p w14:paraId="28FFDABB" w14:textId="77777777" w:rsidR="00A5015C" w:rsidRPr="003E399A" w:rsidRDefault="00A5015C" w:rsidP="00A93E22">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20 000</w:t>
            </w:r>
          </w:p>
        </w:tc>
      </w:tr>
      <w:tr w:rsidR="00A5015C" w:rsidRPr="003E399A" w14:paraId="69F2E81D" w14:textId="77777777" w:rsidTr="00A93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45256846" w14:textId="77777777" w:rsidR="00A5015C" w:rsidRPr="003E399A" w:rsidRDefault="00A5015C" w:rsidP="00A93E22">
            <w:pPr>
              <w:spacing w:after="0"/>
              <w:rPr>
                <w:b w:val="0"/>
                <w:sz w:val="20"/>
                <w:lang w:val="en-US"/>
              </w:rPr>
            </w:pPr>
            <w:r w:rsidRPr="003E399A">
              <w:rPr>
                <w:sz w:val="20"/>
                <w:lang w:val="en-US"/>
              </w:rPr>
              <w:t>United Bank for Africa Congo SA (UBA)</w:t>
            </w:r>
          </w:p>
        </w:tc>
        <w:tc>
          <w:tcPr>
            <w:tcW w:w="1595" w:type="dxa"/>
          </w:tcPr>
          <w:p w14:paraId="471E215E" w14:textId="77777777" w:rsidR="00A5015C" w:rsidRPr="003E399A" w:rsidRDefault="00A5015C" w:rsidP="00A93E22">
            <w:pPr>
              <w:spacing w:after="0"/>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10 000</w:t>
            </w:r>
          </w:p>
        </w:tc>
      </w:tr>
      <w:tr w:rsidR="00A5015C" w:rsidRPr="003E399A" w14:paraId="0B38275E" w14:textId="77777777" w:rsidTr="00A93E22">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26BF9FFD" w14:textId="77777777" w:rsidR="00A5015C" w:rsidRPr="003E399A" w:rsidRDefault="00A5015C" w:rsidP="00A93E22">
            <w:pPr>
              <w:spacing w:after="0"/>
              <w:rPr>
                <w:b w:val="0"/>
                <w:sz w:val="20"/>
                <w:lang w:val="en-US"/>
              </w:rPr>
            </w:pPr>
            <w:proofErr w:type="spellStart"/>
            <w:r w:rsidRPr="003E399A">
              <w:rPr>
                <w:sz w:val="20"/>
                <w:lang w:val="en-US"/>
              </w:rPr>
              <w:t>Banque</w:t>
            </w:r>
            <w:proofErr w:type="spellEnd"/>
            <w:r w:rsidRPr="003E399A">
              <w:rPr>
                <w:sz w:val="20"/>
                <w:lang w:val="en-US"/>
              </w:rPr>
              <w:t xml:space="preserve"> </w:t>
            </w:r>
            <w:proofErr w:type="spellStart"/>
            <w:r w:rsidRPr="003E399A">
              <w:rPr>
                <w:sz w:val="20"/>
                <w:lang w:val="en-US"/>
              </w:rPr>
              <w:t>Espirito</w:t>
            </w:r>
            <w:proofErr w:type="spellEnd"/>
            <w:r w:rsidRPr="003E399A">
              <w:rPr>
                <w:sz w:val="20"/>
                <w:lang w:val="en-US"/>
              </w:rPr>
              <w:t xml:space="preserve"> Santo Congo (BESCO)</w:t>
            </w:r>
          </w:p>
        </w:tc>
        <w:tc>
          <w:tcPr>
            <w:tcW w:w="1595" w:type="dxa"/>
          </w:tcPr>
          <w:p w14:paraId="206985A1" w14:textId="77777777" w:rsidR="00A5015C" w:rsidRPr="003E399A" w:rsidRDefault="00A5015C" w:rsidP="00A93E22">
            <w:pPr>
              <w:spacing w:after="0"/>
              <w:jc w:val="center"/>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7 500</w:t>
            </w:r>
          </w:p>
        </w:tc>
      </w:tr>
      <w:tr w:rsidR="00A5015C" w:rsidRPr="003E399A" w14:paraId="6045F2E9" w14:textId="77777777" w:rsidTr="00A93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044AE545" w14:textId="77777777" w:rsidR="00A5015C" w:rsidRPr="003E399A" w:rsidRDefault="00A5015C" w:rsidP="00A93E22">
            <w:pPr>
              <w:spacing w:after="0"/>
              <w:rPr>
                <w:b w:val="0"/>
                <w:sz w:val="20"/>
                <w:lang w:val="en-US"/>
              </w:rPr>
            </w:pPr>
            <w:proofErr w:type="spellStart"/>
            <w:r w:rsidRPr="003E399A">
              <w:rPr>
                <w:sz w:val="20"/>
                <w:lang w:val="en-US"/>
              </w:rPr>
              <w:t>Société</w:t>
            </w:r>
            <w:proofErr w:type="spellEnd"/>
            <w:r w:rsidRPr="003E399A">
              <w:rPr>
                <w:sz w:val="20"/>
                <w:lang w:val="en-US"/>
              </w:rPr>
              <w:t xml:space="preserve"> </w:t>
            </w:r>
            <w:proofErr w:type="spellStart"/>
            <w:r w:rsidRPr="003E399A">
              <w:rPr>
                <w:sz w:val="20"/>
                <w:lang w:val="en-US"/>
              </w:rPr>
              <w:t>Général</w:t>
            </w:r>
            <w:proofErr w:type="spellEnd"/>
            <w:r w:rsidRPr="003E399A">
              <w:rPr>
                <w:sz w:val="20"/>
                <w:lang w:val="en-US"/>
              </w:rPr>
              <w:t xml:space="preserve"> Congo (SGC)</w:t>
            </w:r>
          </w:p>
        </w:tc>
        <w:tc>
          <w:tcPr>
            <w:tcW w:w="1595" w:type="dxa"/>
          </w:tcPr>
          <w:p w14:paraId="484A2A4F" w14:textId="77777777" w:rsidR="00A5015C" w:rsidRPr="003E399A" w:rsidRDefault="00A5015C" w:rsidP="00A93E22">
            <w:pPr>
              <w:spacing w:after="0"/>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13 500</w:t>
            </w:r>
          </w:p>
        </w:tc>
      </w:tr>
      <w:tr w:rsidR="00A5015C" w:rsidRPr="003E399A" w14:paraId="4D425975" w14:textId="77777777" w:rsidTr="00A93E22">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7684C928" w14:textId="77777777" w:rsidR="00A5015C" w:rsidRPr="003E399A" w:rsidRDefault="00A5015C" w:rsidP="00A93E22">
            <w:pPr>
              <w:spacing w:after="0"/>
              <w:rPr>
                <w:b w:val="0"/>
                <w:sz w:val="20"/>
              </w:rPr>
            </w:pPr>
            <w:r w:rsidRPr="003E399A">
              <w:rPr>
                <w:sz w:val="20"/>
              </w:rPr>
              <w:t>Banque Postale du Congo (BPC)</w:t>
            </w:r>
          </w:p>
        </w:tc>
        <w:tc>
          <w:tcPr>
            <w:tcW w:w="1595" w:type="dxa"/>
          </w:tcPr>
          <w:p w14:paraId="5F25EEAD" w14:textId="77777777" w:rsidR="00A5015C" w:rsidRPr="003E399A" w:rsidRDefault="00A5015C" w:rsidP="00A93E2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3E399A">
              <w:rPr>
                <w:sz w:val="20"/>
              </w:rPr>
              <w:t>10 000</w:t>
            </w:r>
          </w:p>
        </w:tc>
      </w:tr>
    </w:tbl>
    <w:p w14:paraId="056ECBF4" w14:textId="77777777" w:rsidR="00A5015C" w:rsidRPr="00187D3C" w:rsidRDefault="00A5015C" w:rsidP="00A5015C">
      <w:pPr>
        <w:pStyle w:val="Caption"/>
      </w:pPr>
      <w:bookmarkStart w:id="58" w:name="_Toc454886808"/>
      <w:r w:rsidRPr="00187D3C">
        <w:t xml:space="preserve">Tableau </w:t>
      </w:r>
      <w:r w:rsidRPr="00187D3C">
        <w:fldChar w:fldCharType="begin"/>
      </w:r>
      <w:r w:rsidRPr="00187D3C">
        <w:instrText xml:space="preserve"> SEQ Tableau \* ARABIC </w:instrText>
      </w:r>
      <w:r w:rsidRPr="00187D3C">
        <w:fldChar w:fldCharType="separate"/>
      </w:r>
      <w:r w:rsidR="0080491D">
        <w:rPr>
          <w:noProof/>
        </w:rPr>
        <w:t>9</w:t>
      </w:r>
      <w:r w:rsidRPr="00187D3C">
        <w:fldChar w:fldCharType="end"/>
      </w:r>
      <w:r w:rsidRPr="00187D3C">
        <w:t>: Banques agrées au Congo au 28/09/2014</w:t>
      </w:r>
      <w:r w:rsidRPr="00187D3C">
        <w:rPr>
          <w:rStyle w:val="FootnoteReference"/>
        </w:rPr>
        <w:footnoteReference w:id="79"/>
      </w:r>
      <w:bookmarkEnd w:id="58"/>
    </w:p>
    <w:p w14:paraId="0692F914" w14:textId="68DFA1A7" w:rsidR="00A5015C" w:rsidRDefault="00A5015C" w:rsidP="00A5015C">
      <w:r>
        <w:lastRenderedPageBreak/>
        <w:t>Les circuits financiers sont encore peu développés, en effet, en 2015, le taux de bancarisation se situe autour de 9%</w:t>
      </w:r>
      <w:r w:rsidR="00267D50">
        <w:t xml:space="preserve"> </w:t>
      </w:r>
      <w:r>
        <w:t xml:space="preserve">et le ratio crédit privé/Produit Intérieur Brut (PIB) se situe à 15% (FMI, 2015). Selon </w:t>
      </w:r>
      <w:r w:rsidR="007265CA">
        <w:t>Monsieur le ministre en charge de l’économie, des finances, du budget et du portefeuille public dans un article de presse</w:t>
      </w:r>
      <w:r>
        <w:t xml:space="preserve"> « cela tient pour l’essentiel à trois raisons, notamment le faible niveau de revenu national et du PIB réel par habitant, le sous-développement des services financiers et les difficultés d’accès aux services bancaires »</w:t>
      </w:r>
      <w:r w:rsidR="007265CA">
        <w:rPr>
          <w:rStyle w:val="FootnoteReference"/>
        </w:rPr>
        <w:footnoteReference w:id="80"/>
      </w:r>
      <w:r>
        <w:t xml:space="preserve">. </w:t>
      </w:r>
    </w:p>
    <w:p w14:paraId="4F6A38E6" w14:textId="3B3B3150" w:rsidR="00A5015C" w:rsidRPr="00334A83" w:rsidRDefault="00A5015C" w:rsidP="00A5015C">
      <w:pPr>
        <w:spacing w:after="0"/>
        <w:rPr>
          <w:szCs w:val="22"/>
        </w:rPr>
      </w:pPr>
      <w:r w:rsidRPr="00334A83">
        <w:t xml:space="preserve">Selon </w:t>
      </w:r>
      <w:r w:rsidR="00267D50">
        <w:t>la Direction</w:t>
      </w:r>
      <w:r w:rsidRPr="00334A83">
        <w:t xml:space="preserve"> des Etablissements de Crédit et Assimilés à la Direction Générale</w:t>
      </w:r>
      <w:r>
        <w:t xml:space="preserve"> de la Monnaie et du Cré</w:t>
      </w:r>
      <w:r w:rsidRPr="00334A83">
        <w:t>dit, en 2014 le montant total des crédits accordés au Congo s’élève à 1</w:t>
      </w:r>
      <w:r>
        <w:t xml:space="preserve"> </w:t>
      </w:r>
      <w:r w:rsidRPr="00334A83">
        <w:t>035 Milliards FCFA contre 1</w:t>
      </w:r>
      <w:r>
        <w:t xml:space="preserve"> </w:t>
      </w:r>
      <w:r w:rsidRPr="00334A83">
        <w:t>052 Milliards FCFA en 2013. Ces crédits sont repartis de la manière suivante :</w:t>
      </w:r>
    </w:p>
    <w:p w14:paraId="3915B815" w14:textId="77777777" w:rsidR="00A5015C" w:rsidRPr="00334A83" w:rsidRDefault="00A5015C" w:rsidP="008B0EB3">
      <w:pPr>
        <w:pStyle w:val="ListParagraph"/>
        <w:numPr>
          <w:ilvl w:val="0"/>
          <w:numId w:val="15"/>
        </w:numPr>
        <w:spacing w:after="160" w:line="256" w:lineRule="auto"/>
        <w:jc w:val="left"/>
      </w:pPr>
      <w:r w:rsidRPr="00334A83">
        <w:t>59% de crédits à court terme</w:t>
      </w:r>
    </w:p>
    <w:p w14:paraId="1143C005" w14:textId="77777777" w:rsidR="00A5015C" w:rsidRPr="00334A83" w:rsidRDefault="00A5015C" w:rsidP="008B0EB3">
      <w:pPr>
        <w:pStyle w:val="ListParagraph"/>
        <w:numPr>
          <w:ilvl w:val="0"/>
          <w:numId w:val="15"/>
        </w:numPr>
        <w:spacing w:after="160" w:line="256" w:lineRule="auto"/>
        <w:jc w:val="left"/>
      </w:pPr>
      <w:r w:rsidRPr="00334A83">
        <w:t>30,5% de crédits à moyen terme</w:t>
      </w:r>
    </w:p>
    <w:p w14:paraId="6F2A30BE" w14:textId="77777777" w:rsidR="00A5015C" w:rsidRPr="00334A83" w:rsidRDefault="00A5015C" w:rsidP="008B0EB3">
      <w:pPr>
        <w:pStyle w:val="ListParagraph"/>
        <w:numPr>
          <w:ilvl w:val="0"/>
          <w:numId w:val="15"/>
        </w:numPr>
        <w:spacing w:line="257" w:lineRule="auto"/>
        <w:ind w:left="714" w:hanging="357"/>
        <w:jc w:val="left"/>
      </w:pPr>
      <w:r w:rsidRPr="00334A83">
        <w:t>10,5% de crédits à long terme</w:t>
      </w:r>
    </w:p>
    <w:p w14:paraId="409CDA51" w14:textId="29865F87" w:rsidR="00A5015C" w:rsidRPr="00334A83" w:rsidRDefault="00A5015C" w:rsidP="00A5015C">
      <w:r w:rsidRPr="00334A83">
        <w:t xml:space="preserve">Ces crédits sont accordés principalement aux secteurs du </w:t>
      </w:r>
      <w:r>
        <w:t>bâtiment et des travaux publics (</w:t>
      </w:r>
      <w:r w:rsidRPr="00334A83">
        <w:t>BTP</w:t>
      </w:r>
      <w:r>
        <w:t>)</w:t>
      </w:r>
      <w:r w:rsidRPr="00334A83">
        <w:t>, du transport, de l’hôtellerie et de l’industrie pour les crédits à long et moyen terme et aux commerces pour les crédits court-terme. Les taux effectifs globaux observés au Congo sont</w:t>
      </w:r>
      <w:r w:rsidR="00267D50">
        <w:t xml:space="preserve"> </w:t>
      </w:r>
      <w:r w:rsidRPr="00334A83">
        <w:t xml:space="preserve">compris généralement entre 7 et 12%. </w:t>
      </w:r>
    </w:p>
    <w:p w14:paraId="5C70217A" w14:textId="77777777" w:rsidR="00A5015C" w:rsidRDefault="00A5015C" w:rsidP="00A5015C">
      <w:r w:rsidRPr="00334A83">
        <w:t>En 2010, 52% du montant total des crédits étaient accordés aux grandes entreprises, 26% aux PME et 21% a</w:t>
      </w:r>
      <w:r>
        <w:t xml:space="preserve">ux particuliers (COBAC, 2010). </w:t>
      </w:r>
    </w:p>
    <w:p w14:paraId="54C12D2C" w14:textId="573282D4" w:rsidR="00A5015C" w:rsidRPr="00A850D2" w:rsidRDefault="00A5015C" w:rsidP="00A5015C">
      <w:pPr>
        <w:pStyle w:val="NormalWeb"/>
        <w:jc w:val="both"/>
        <w:rPr>
          <w:rFonts w:ascii="Tw Cen MT" w:hAnsi="Tw Cen MT"/>
          <w:sz w:val="22"/>
          <w:szCs w:val="22"/>
        </w:rPr>
      </w:pPr>
      <w:r>
        <w:rPr>
          <w:rFonts w:ascii="Tw Cen MT" w:hAnsi="Tw Cen MT"/>
          <w:sz w:val="22"/>
          <w:szCs w:val="22"/>
        </w:rPr>
        <w:t>On notera que, e</w:t>
      </w:r>
      <w:r w:rsidRPr="000333BF">
        <w:rPr>
          <w:rFonts w:ascii="Tw Cen MT" w:hAnsi="Tw Cen MT"/>
          <w:sz w:val="22"/>
          <w:szCs w:val="22"/>
        </w:rPr>
        <w:t>n 2015, l’Agricultural Bank of China, l’une des plus importantes institutions bancaires chinoises, s’est installée au Congo-Brazzaville, via une filiale nouvellement constituée la Banque sino-congolaise pour l’Afrique (BSCA Bank). Dotée d’</w:t>
      </w:r>
      <w:r w:rsidR="007265CA">
        <w:rPr>
          <w:rFonts w:ascii="Tw Cen MT" w:hAnsi="Tw Cen MT"/>
          <w:sz w:val="22"/>
          <w:szCs w:val="22"/>
        </w:rPr>
        <w:t>un capital de 53 milliards de F</w:t>
      </w:r>
      <w:r w:rsidRPr="000333BF">
        <w:rPr>
          <w:rFonts w:ascii="Tw Cen MT" w:hAnsi="Tw Cen MT"/>
          <w:sz w:val="22"/>
          <w:szCs w:val="22"/>
        </w:rPr>
        <w:t>CFA (80,8 millions d’euros), BSCA est détenue à 50 % par Agricultural Bank of China, aux côtés de l’État congolais (21,5 %), d’opérateurs privés congolais (12 %), de la Société nationale des pétroles du Congo (15 %) et du groupe chin</w:t>
      </w:r>
      <w:r w:rsidR="007265CA">
        <w:rPr>
          <w:rFonts w:ascii="Tw Cen MT" w:hAnsi="Tw Cen MT"/>
          <w:sz w:val="22"/>
          <w:szCs w:val="22"/>
        </w:rPr>
        <w:t xml:space="preserve">ois </w:t>
      </w:r>
      <w:proofErr w:type="spellStart"/>
      <w:r w:rsidR="007265CA">
        <w:rPr>
          <w:rFonts w:ascii="Tw Cen MT" w:hAnsi="Tw Cen MT"/>
          <w:sz w:val="22"/>
          <w:szCs w:val="22"/>
        </w:rPr>
        <w:t>Magminerals</w:t>
      </w:r>
      <w:proofErr w:type="spellEnd"/>
      <w:r w:rsidR="007265CA">
        <w:rPr>
          <w:rFonts w:ascii="Tw Cen MT" w:hAnsi="Tw Cen MT"/>
          <w:sz w:val="22"/>
          <w:szCs w:val="22"/>
        </w:rPr>
        <w:t xml:space="preserve"> Potasse Congo </w:t>
      </w:r>
      <w:r w:rsidRPr="000333BF">
        <w:rPr>
          <w:rFonts w:ascii="Tw Cen MT" w:hAnsi="Tw Cen MT"/>
          <w:sz w:val="22"/>
          <w:szCs w:val="22"/>
        </w:rPr>
        <w:t xml:space="preserve">(1,5 %). L’achèvement des travaux pour la construction du siège </w:t>
      </w:r>
      <w:r w:rsidR="007265CA">
        <w:rPr>
          <w:rFonts w:ascii="Tw Cen MT" w:hAnsi="Tw Cen MT"/>
          <w:sz w:val="22"/>
          <w:szCs w:val="22"/>
        </w:rPr>
        <w:t>est</w:t>
      </w:r>
      <w:r w:rsidRPr="000333BF">
        <w:rPr>
          <w:rFonts w:ascii="Tw Cen MT" w:hAnsi="Tw Cen MT"/>
          <w:sz w:val="22"/>
          <w:szCs w:val="22"/>
        </w:rPr>
        <w:t xml:space="preserve"> </w:t>
      </w:r>
      <w:r w:rsidR="007265CA">
        <w:rPr>
          <w:rFonts w:ascii="Tw Cen MT" w:hAnsi="Tw Cen MT"/>
          <w:sz w:val="22"/>
          <w:szCs w:val="22"/>
        </w:rPr>
        <w:t xml:space="preserve">prévue </w:t>
      </w:r>
      <w:r w:rsidRPr="000333BF">
        <w:rPr>
          <w:rFonts w:ascii="Tw Cen MT" w:hAnsi="Tw Cen MT"/>
          <w:sz w:val="22"/>
          <w:szCs w:val="22"/>
        </w:rPr>
        <w:t xml:space="preserve">pour </w:t>
      </w:r>
      <w:proofErr w:type="gramStart"/>
      <w:r w:rsidRPr="000333BF">
        <w:rPr>
          <w:rFonts w:ascii="Tw Cen MT" w:hAnsi="Tw Cen MT"/>
          <w:sz w:val="22"/>
          <w:szCs w:val="22"/>
        </w:rPr>
        <w:t>2017</w:t>
      </w:r>
      <w:r w:rsidR="007265CA">
        <w:rPr>
          <w:rFonts w:ascii="Tw Cen MT" w:hAnsi="Tw Cen MT"/>
          <w:sz w:val="22"/>
          <w:szCs w:val="22"/>
        </w:rPr>
        <w:t xml:space="preserve"> </w:t>
      </w:r>
      <w:proofErr w:type="gramEnd"/>
      <w:r>
        <w:rPr>
          <w:rStyle w:val="FootnoteReference"/>
          <w:rFonts w:ascii="Tw Cen MT" w:hAnsi="Tw Cen MT"/>
          <w:sz w:val="22"/>
          <w:szCs w:val="22"/>
        </w:rPr>
        <w:footnoteReference w:id="81"/>
      </w:r>
      <w:r>
        <w:rPr>
          <w:rFonts w:ascii="Tw Cen MT" w:hAnsi="Tw Cen MT"/>
          <w:sz w:val="22"/>
          <w:szCs w:val="22"/>
        </w:rPr>
        <w:t>.</w:t>
      </w:r>
    </w:p>
    <w:tbl>
      <w:tblPr>
        <w:tblW w:w="9153"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E5DA" w:themeFill="accent2" w:themeFillTint="33"/>
        <w:tblCellMar>
          <w:left w:w="70" w:type="dxa"/>
          <w:right w:w="70" w:type="dxa"/>
        </w:tblCellMar>
        <w:tblLook w:val="0000" w:firstRow="0" w:lastRow="0" w:firstColumn="0" w:lastColumn="0" w:noHBand="0" w:noVBand="0"/>
      </w:tblPr>
      <w:tblGrid>
        <w:gridCol w:w="9153"/>
      </w:tblGrid>
      <w:tr w:rsidR="00A5015C" w14:paraId="2075C023" w14:textId="77777777" w:rsidTr="00A93E22">
        <w:trPr>
          <w:trHeight w:val="530"/>
        </w:trPr>
        <w:tc>
          <w:tcPr>
            <w:tcW w:w="9153" w:type="dxa"/>
            <w:shd w:val="clear" w:color="auto" w:fill="F8E5DA" w:themeFill="accent2" w:themeFillTint="33"/>
          </w:tcPr>
          <w:p w14:paraId="11EEC163" w14:textId="77777777" w:rsidR="00A5015C" w:rsidRDefault="00A5015C" w:rsidP="00A93E22">
            <w:pPr>
              <w:pStyle w:val="Caption"/>
            </w:pPr>
            <w:r>
              <w:t xml:space="preserve">Encadré </w:t>
            </w:r>
            <w:r>
              <w:fldChar w:fldCharType="begin"/>
            </w:r>
            <w:r>
              <w:instrText xml:space="preserve"> SEQ Encadré \* ARABIC </w:instrText>
            </w:r>
            <w:r>
              <w:fldChar w:fldCharType="separate"/>
            </w:r>
            <w:r w:rsidR="0080491D">
              <w:rPr>
                <w:noProof/>
              </w:rPr>
              <w:t>3</w:t>
            </w:r>
            <w:r>
              <w:fldChar w:fldCharType="end"/>
            </w:r>
            <w:r>
              <w:t>: Projet FINFORTROP pour l'</w:t>
            </w:r>
            <w:r w:rsidRPr="00077E83">
              <w:t>appui technique aux banques de la Région du Bassin du Congo pour favoriser le financement des initiatives en faveur de la gestion durable des forêts tropicales humides</w:t>
            </w:r>
            <w:r>
              <w:t xml:space="preserve"> (source : AFD)</w:t>
            </w:r>
          </w:p>
          <w:p w14:paraId="0F7DA29F" w14:textId="77777777" w:rsidR="00A5015C" w:rsidRPr="00E03F07" w:rsidRDefault="00A5015C" w:rsidP="00A93E22">
            <w:pPr>
              <w:rPr>
                <w:sz w:val="20"/>
                <w:szCs w:val="20"/>
              </w:rPr>
            </w:pPr>
            <w:r w:rsidRPr="00E03F07">
              <w:rPr>
                <w:sz w:val="20"/>
                <w:szCs w:val="20"/>
              </w:rPr>
              <w:t>Financé par une subvention de 2,7 millions d'euros du F</w:t>
            </w:r>
            <w:r>
              <w:rPr>
                <w:sz w:val="20"/>
                <w:szCs w:val="20"/>
              </w:rPr>
              <w:t>onds Français pour l’</w:t>
            </w:r>
            <w:r w:rsidRPr="00E03F07">
              <w:rPr>
                <w:sz w:val="20"/>
                <w:szCs w:val="20"/>
              </w:rPr>
              <w:t>E</w:t>
            </w:r>
            <w:r>
              <w:rPr>
                <w:sz w:val="20"/>
                <w:szCs w:val="20"/>
              </w:rPr>
              <w:t xml:space="preserve">nvironnement </w:t>
            </w:r>
            <w:r w:rsidRPr="00E03F07">
              <w:rPr>
                <w:sz w:val="20"/>
                <w:szCs w:val="20"/>
              </w:rPr>
              <w:t>M</w:t>
            </w:r>
            <w:r>
              <w:rPr>
                <w:sz w:val="20"/>
                <w:szCs w:val="20"/>
              </w:rPr>
              <w:t>ondial (FFEM)</w:t>
            </w:r>
            <w:r w:rsidRPr="00E03F07">
              <w:rPr>
                <w:sz w:val="20"/>
                <w:szCs w:val="20"/>
              </w:rPr>
              <w:t xml:space="preserve">, </w:t>
            </w:r>
            <w:r>
              <w:rPr>
                <w:sz w:val="20"/>
                <w:szCs w:val="20"/>
              </w:rPr>
              <w:t xml:space="preserve">l'Agence Française de Développement (AFD) vise à </w:t>
            </w:r>
            <w:r w:rsidRPr="00E03F07">
              <w:rPr>
                <w:sz w:val="20"/>
                <w:szCs w:val="20"/>
              </w:rPr>
              <w:t>appuye</w:t>
            </w:r>
            <w:r>
              <w:rPr>
                <w:sz w:val="20"/>
                <w:szCs w:val="20"/>
              </w:rPr>
              <w:t>r</w:t>
            </w:r>
            <w:r w:rsidRPr="00E03F07">
              <w:rPr>
                <w:sz w:val="20"/>
                <w:szCs w:val="20"/>
              </w:rPr>
              <w:t xml:space="preserve"> le développement des financements de projets de gestion durable des forêts tropicales humides</w:t>
            </w:r>
            <w:r>
              <w:rPr>
                <w:sz w:val="20"/>
                <w:szCs w:val="20"/>
              </w:rPr>
              <w:t xml:space="preserve"> au travers de la mise en œuvre du projet FINFORTROP</w:t>
            </w:r>
            <w:r w:rsidRPr="00E03F07">
              <w:rPr>
                <w:sz w:val="20"/>
                <w:szCs w:val="20"/>
              </w:rPr>
              <w:t xml:space="preserve">. </w:t>
            </w:r>
          </w:p>
          <w:p w14:paraId="61D47551" w14:textId="77777777" w:rsidR="00A5015C" w:rsidRDefault="00A5015C" w:rsidP="00A93E22">
            <w:pPr>
              <w:rPr>
                <w:sz w:val="20"/>
                <w:szCs w:val="20"/>
              </w:rPr>
            </w:pPr>
            <w:r>
              <w:rPr>
                <w:sz w:val="20"/>
                <w:szCs w:val="20"/>
              </w:rPr>
              <w:t>C</w:t>
            </w:r>
            <w:r w:rsidRPr="00E03F07">
              <w:rPr>
                <w:sz w:val="20"/>
                <w:szCs w:val="20"/>
              </w:rPr>
              <w:t>e projet d’appui opérationnel aux banques volontaires qui financent le secteur productif dans le Bassin du Congo vise (i) l’introduction d’une démarche RSE</w:t>
            </w:r>
            <w:r>
              <w:rPr>
                <w:sz w:val="20"/>
                <w:szCs w:val="20"/>
              </w:rPr>
              <w:t xml:space="preserve"> (Responsabilité Sociale et Environnementale)</w:t>
            </w:r>
            <w:r w:rsidRPr="00E03F07">
              <w:rPr>
                <w:sz w:val="20"/>
                <w:szCs w:val="20"/>
              </w:rPr>
              <w:t xml:space="preserve"> au sein des banques participantes, (ii) l’acquisition par ces banques d’une meilleure connaissance des problématiques de l’exploitation forestière durable et de l’industrialisation de la filière bois, (iii) une meilleure intégration dans leur démarche de la finance carbone forestière et (iv) une amélioration de la capacité  des opérateurs de la filière à préparer des dossiers de qualité, et des banques à les instruire et financer.</w:t>
            </w:r>
          </w:p>
          <w:p w14:paraId="2EA5902D" w14:textId="77777777" w:rsidR="00A5015C" w:rsidRDefault="00A5015C" w:rsidP="00A93E22">
            <w:pPr>
              <w:rPr>
                <w:sz w:val="20"/>
                <w:szCs w:val="20"/>
              </w:rPr>
            </w:pPr>
            <w:r w:rsidRPr="00E03F07">
              <w:rPr>
                <w:sz w:val="20"/>
                <w:szCs w:val="20"/>
              </w:rPr>
              <w:t xml:space="preserve">Ce projet, mis en œuvre par la Banque de Développement des Etats d'Afrique Centrale (BDEAC), s'étend à tous les pays de la Communauté économique </w:t>
            </w:r>
            <w:r>
              <w:rPr>
                <w:sz w:val="20"/>
                <w:szCs w:val="20"/>
              </w:rPr>
              <w:t>et monétaire d'Afrique Centrale (CEMAC)</w:t>
            </w:r>
            <w:r w:rsidRPr="00E03F07">
              <w:rPr>
                <w:sz w:val="20"/>
                <w:szCs w:val="20"/>
              </w:rPr>
              <w:t> et à la République Démocratique du Congo. L’objectif est, à terme, de favoriser l’accès au crédit des entreprises du secteur forestier engagées dans des pratiques de gestion durable, et de dépasser l’inadéquation entre les nouveaux besoins du secteur et les modalités usuelles de financement des banques de la sous-région.</w:t>
            </w:r>
          </w:p>
          <w:p w14:paraId="2098C978" w14:textId="77777777" w:rsidR="00A5015C" w:rsidRPr="00E03F07" w:rsidRDefault="00A5015C" w:rsidP="00A93E22">
            <w:pPr>
              <w:rPr>
                <w:sz w:val="20"/>
                <w:szCs w:val="20"/>
              </w:rPr>
            </w:pPr>
            <w:r>
              <w:rPr>
                <w:sz w:val="20"/>
                <w:szCs w:val="20"/>
              </w:rPr>
              <w:t>La convention de subvention a été signée en 2013 et le projet devrait démarrer très prochainement.</w:t>
            </w:r>
          </w:p>
        </w:tc>
      </w:tr>
    </w:tbl>
    <w:p w14:paraId="6058B363" w14:textId="77777777" w:rsidR="00A5015C" w:rsidRDefault="00A5015C" w:rsidP="00A5015C"/>
    <w:p w14:paraId="45E6D167" w14:textId="77777777" w:rsidR="00A5015C" w:rsidRDefault="00A5015C" w:rsidP="00A5015C"/>
    <w:p w14:paraId="42FC4099" w14:textId="77777777" w:rsidR="00A5015C" w:rsidRDefault="00A5015C" w:rsidP="00A5015C"/>
    <w:p w14:paraId="624701CD" w14:textId="77777777" w:rsidR="00A5015C" w:rsidRDefault="00A5015C" w:rsidP="00A5015C"/>
    <w:p w14:paraId="591CF59B" w14:textId="77777777" w:rsidR="00A5015C" w:rsidRDefault="00A5015C" w:rsidP="00A5015C"/>
    <w:p w14:paraId="470716DF" w14:textId="77777777" w:rsidR="00A5015C" w:rsidRDefault="00A5015C" w:rsidP="00A5015C">
      <w:pPr>
        <w:pStyle w:val="Heading4"/>
        <w:rPr>
          <w:lang w:val="fr-FR"/>
        </w:rPr>
      </w:pPr>
      <w:r w:rsidRPr="002B33C2">
        <w:rPr>
          <w:lang w:val="fr-FR"/>
        </w:rPr>
        <w:lastRenderedPageBreak/>
        <w:t>L’inclusion financière et la microfinance</w:t>
      </w:r>
    </w:p>
    <w:p w14:paraId="76054180" w14:textId="6BF8D19F" w:rsidR="00A5015C" w:rsidRDefault="00A5015C" w:rsidP="00A5015C">
      <w:r>
        <w:t xml:space="preserve">Selon le </w:t>
      </w:r>
      <w:r w:rsidRPr="00C50525">
        <w:rPr>
          <w:bCs/>
        </w:rPr>
        <w:t>Groupe consultatif pour l'aide aux plus pauvres (CGAP)</w:t>
      </w:r>
      <w:r>
        <w:rPr>
          <w:bCs/>
        </w:rPr>
        <w:t>,</w:t>
      </w:r>
      <w:r>
        <w:t xml:space="preserve"> le paysage de la microfinance au Congo se forme principalement d’établissements de microfinance (EMF) implantés en zones urbaines (dans 71% des cas), </w:t>
      </w:r>
      <w:r w:rsidR="00267D50">
        <w:t>principalement</w:t>
      </w:r>
      <w:r>
        <w:t xml:space="preserve"> </w:t>
      </w:r>
      <w:r w:rsidR="00267D50">
        <w:t>à</w:t>
      </w:r>
      <w:r>
        <w:t xml:space="preserve"> Brazzaville et Pointe Noire</w:t>
      </w:r>
      <w:r>
        <w:rPr>
          <w:rStyle w:val="FootnoteReference"/>
        </w:rPr>
        <w:footnoteReference w:id="82"/>
      </w:r>
      <w:r>
        <w:t xml:space="preserve">. Le milieu rural est desservi par les caisses des </w:t>
      </w:r>
      <w:r w:rsidRPr="00A30CE9">
        <w:rPr>
          <w:rFonts w:eastAsiaTheme="majorEastAsia"/>
        </w:rPr>
        <w:t>MUCODEC</w:t>
      </w:r>
      <w:r>
        <w:rPr>
          <w:rFonts w:eastAsiaTheme="majorEastAsia"/>
        </w:rPr>
        <w:t xml:space="preserve"> qui, en 2015, comptabilise </w:t>
      </w:r>
      <w:r>
        <w:t>38 caisses locales et 14 points de vente</w:t>
      </w:r>
      <w:r>
        <w:rPr>
          <w:rStyle w:val="FootnoteReference"/>
        </w:rPr>
        <w:footnoteReference w:id="83"/>
      </w:r>
      <w:r>
        <w:t xml:space="preserve"> et </w:t>
      </w:r>
      <w:r w:rsidR="00267D50">
        <w:t xml:space="preserve">des </w:t>
      </w:r>
      <w:r>
        <w:t xml:space="preserve">projets à volet microfinance comme notamment les Projets de Développement Rural (PRODER) 1 et 2 qui ont permis de créer 8 caisses dans le nord du pays et 20 caisses dans le sud (FIDA, 2012). </w:t>
      </w:r>
    </w:p>
    <w:p w14:paraId="42AEB932" w14:textId="554E181E" w:rsidR="00A5015C" w:rsidRDefault="00A5015C" w:rsidP="00A5015C">
      <w:r>
        <w:t>Selon la CGAP et la Direction Générale des Institutions Financières Nationales (DGIFN), au sein du Ministère de  l’Economie et des Finances, en 2013, sur les 30 EMF agréés (contre 83 identifiés en 2003) dans le pays, on compte 20 EMF qui appartiennent à la catégorie 1 (collectent l'épargne et accordent des crédits uniquement à leurs membres) et 10 à la catégorie 2 (collectent l'épargne et accordent des crédits aux tiers).</w:t>
      </w:r>
    </w:p>
    <w:p w14:paraId="44038A02" w14:textId="77777777" w:rsidR="00A5015C" w:rsidRDefault="00A5015C" w:rsidP="00A5015C">
      <w:r>
        <w:t>D’après la même source, la MUCODEC représente la première institution du pays. Fin 2012, elle dessert 275 000 membres, son encours d’épargne s’élève à 191 millions FCFA pour un encours de crédit de 46 millions FCFA. Sur l’ensemble des dépôts collectés en 2012, la part du réseau MUCODEC est de 84 %, contre 16% pour les EMF indépendants. Sur la totalité des crédits octroyés par les EMF en 2012, 87% proviennent du réseau MUCODEC et 13% des EMF indépendants (source : CGAP).</w:t>
      </w:r>
    </w:p>
    <w:p w14:paraId="56D23635" w14:textId="1EA8581C" w:rsidR="00A5015C" w:rsidRPr="00C50525" w:rsidRDefault="00A5015C" w:rsidP="00A5015C">
      <w:pPr>
        <w:rPr>
          <w:lang w:eastAsia="en-US"/>
        </w:rPr>
      </w:pPr>
      <w:r>
        <w:rPr>
          <w:lang w:eastAsia="en-US"/>
        </w:rPr>
        <w:t>Selon les résultats observés sur les 20 caisses du PRODER Sud, les secteurs d’activités majoritairement représentés sont le commerce pour 72% des demandes et 21% pour les activités de production et commercialisation agricoles (</w:t>
      </w:r>
      <w:r w:rsidR="00BA6569">
        <w:rPr>
          <w:rFonts w:eastAsiaTheme="minorHAnsi" w:cs="ArialNarrow,Bold"/>
          <w:bCs/>
          <w:lang w:eastAsia="en-US"/>
        </w:rPr>
        <w:t>FIDA</w:t>
      </w:r>
      <w:r>
        <w:rPr>
          <w:lang w:eastAsia="en-US"/>
        </w:rPr>
        <w:t xml:space="preserve">, 2013).  </w:t>
      </w:r>
    </w:p>
    <w:p w14:paraId="59767408" w14:textId="77777777" w:rsidR="00A5015C" w:rsidRDefault="00A5015C" w:rsidP="008B0EB3">
      <w:pPr>
        <w:pStyle w:val="Heading3"/>
        <w:numPr>
          <w:ilvl w:val="1"/>
          <w:numId w:val="26"/>
        </w:numPr>
      </w:pPr>
      <w:bookmarkStart w:id="59" w:name="_Toc454886797"/>
      <w:r>
        <w:t>Le secteur des entreprises privés</w:t>
      </w:r>
      <w:bookmarkEnd w:id="59"/>
      <w:r>
        <w:t xml:space="preserve"> </w:t>
      </w:r>
    </w:p>
    <w:p w14:paraId="304E3C83" w14:textId="77777777" w:rsidR="00A5015C" w:rsidRPr="00B67EFD" w:rsidRDefault="00A5015C" w:rsidP="00A5015C">
      <w:pPr>
        <w:pStyle w:val="Heading4"/>
      </w:pPr>
      <w:proofErr w:type="spellStart"/>
      <w:r w:rsidRPr="00B67EFD">
        <w:t>Vue</w:t>
      </w:r>
      <w:proofErr w:type="spellEnd"/>
      <w:r w:rsidRPr="00B67EFD">
        <w:t xml:space="preserve"> </w:t>
      </w:r>
      <w:proofErr w:type="spellStart"/>
      <w:r w:rsidRPr="00B67EFD">
        <w:t>d’ensemble</w:t>
      </w:r>
      <w:proofErr w:type="spellEnd"/>
    </w:p>
    <w:p w14:paraId="44742CC1" w14:textId="30002C76" w:rsidR="00A5015C" w:rsidRPr="007958D9" w:rsidRDefault="00A5015C" w:rsidP="00A5015C">
      <w:pPr>
        <w:pStyle w:val="ListParagraph"/>
        <w:autoSpaceDE w:val="0"/>
        <w:autoSpaceDN w:val="0"/>
        <w:adjustRightInd w:val="0"/>
        <w:ind w:left="0"/>
        <w:rPr>
          <w:rFonts w:eastAsiaTheme="minorHAnsi" w:cs="HelveticaNeue-Light"/>
          <w:szCs w:val="22"/>
          <w:lang w:eastAsia="en-US"/>
        </w:rPr>
      </w:pPr>
      <w:r w:rsidRPr="007958D9">
        <w:rPr>
          <w:rFonts w:eastAsiaTheme="minorHAnsi" w:cs="HelveticaNeue-Medium"/>
          <w:szCs w:val="22"/>
          <w:lang w:eastAsia="en-US"/>
        </w:rPr>
        <w:t>Selon la B</w:t>
      </w:r>
      <w:r>
        <w:rPr>
          <w:rFonts w:eastAsiaTheme="minorHAnsi" w:cs="HelveticaNeue-Medium"/>
          <w:szCs w:val="22"/>
          <w:lang w:eastAsia="en-US"/>
        </w:rPr>
        <w:t xml:space="preserve">anque Africaine de Développement (BAD, </w:t>
      </w:r>
      <w:r w:rsidRPr="007958D9">
        <w:rPr>
          <w:rFonts w:eastAsiaTheme="minorHAnsi" w:cs="HelveticaNeue-Medium"/>
          <w:szCs w:val="22"/>
          <w:lang w:eastAsia="en-US"/>
        </w:rPr>
        <w:t xml:space="preserve">2012), </w:t>
      </w:r>
      <w:r w:rsidRPr="007958D9">
        <w:rPr>
          <w:rFonts w:eastAsiaTheme="minorHAnsi" w:cs="HelveticaNeue-Light"/>
          <w:szCs w:val="22"/>
          <w:lang w:eastAsia="en-US"/>
        </w:rPr>
        <w:t>le secteur privé formel est constitué pour l’essentiel de petites unités, opérant dans le commerce et les services</w:t>
      </w:r>
      <w:r>
        <w:rPr>
          <w:rFonts w:eastAsiaTheme="minorHAnsi" w:cs="HelveticaNeue-Light"/>
          <w:szCs w:val="22"/>
          <w:lang w:eastAsia="en-US"/>
        </w:rPr>
        <w:t>. Ces entités sont</w:t>
      </w:r>
      <w:r w:rsidRPr="007958D9">
        <w:rPr>
          <w:rFonts w:eastAsiaTheme="minorHAnsi" w:cs="HelveticaNeue-Light"/>
          <w:szCs w:val="22"/>
          <w:lang w:eastAsia="en-US"/>
        </w:rPr>
        <w:t xml:space="preserve"> faiblement présentes dans le secteur industriel ou agricole et souffre</w:t>
      </w:r>
      <w:r>
        <w:rPr>
          <w:rFonts w:eastAsiaTheme="minorHAnsi" w:cs="HelveticaNeue-Light"/>
          <w:szCs w:val="22"/>
          <w:lang w:eastAsia="en-US"/>
        </w:rPr>
        <w:t>nt</w:t>
      </w:r>
      <w:r w:rsidRPr="007958D9">
        <w:rPr>
          <w:rFonts w:eastAsiaTheme="minorHAnsi" w:cs="HelveticaNeue-Light"/>
          <w:szCs w:val="22"/>
          <w:lang w:eastAsia="en-US"/>
        </w:rPr>
        <w:t xml:space="preserve"> de la</w:t>
      </w:r>
      <w:r>
        <w:rPr>
          <w:rFonts w:eastAsiaTheme="minorHAnsi" w:cs="HelveticaNeue-Light"/>
          <w:szCs w:val="22"/>
          <w:lang w:eastAsia="en-US"/>
        </w:rPr>
        <w:t xml:space="preserve"> </w:t>
      </w:r>
      <w:r w:rsidRPr="007958D9">
        <w:rPr>
          <w:rFonts w:eastAsiaTheme="minorHAnsi" w:cs="HelveticaNeue-Light"/>
          <w:szCs w:val="22"/>
          <w:lang w:eastAsia="en-US"/>
        </w:rPr>
        <w:t>concurrence important</w:t>
      </w:r>
      <w:r>
        <w:rPr>
          <w:rFonts w:eastAsiaTheme="minorHAnsi" w:cs="HelveticaNeue-Light"/>
          <w:szCs w:val="22"/>
          <w:lang w:eastAsia="en-US"/>
        </w:rPr>
        <w:t>e</w:t>
      </w:r>
      <w:r w:rsidRPr="007958D9">
        <w:rPr>
          <w:rFonts w:eastAsiaTheme="minorHAnsi" w:cs="HelveticaNeue-Light"/>
          <w:szCs w:val="22"/>
          <w:lang w:eastAsia="en-US"/>
        </w:rPr>
        <w:t xml:space="preserve"> </w:t>
      </w:r>
      <w:r>
        <w:rPr>
          <w:rFonts w:eastAsiaTheme="minorHAnsi" w:cs="HelveticaNeue-Light"/>
          <w:szCs w:val="22"/>
          <w:lang w:eastAsia="en-US"/>
        </w:rPr>
        <w:t>du</w:t>
      </w:r>
      <w:r w:rsidRPr="007958D9">
        <w:rPr>
          <w:rFonts w:eastAsiaTheme="minorHAnsi" w:cs="HelveticaNeue-Light"/>
          <w:szCs w:val="22"/>
          <w:lang w:eastAsia="en-US"/>
        </w:rPr>
        <w:t xml:space="preserve"> secteur informel qui contribuait à hauteur de 40 % à la formation du PIB en 2004. </w:t>
      </w:r>
      <w:r>
        <w:rPr>
          <w:rFonts w:eastAsiaTheme="minorHAnsi" w:cs="HelveticaNeue-Light"/>
          <w:szCs w:val="22"/>
          <w:lang w:eastAsia="en-US"/>
        </w:rPr>
        <w:t xml:space="preserve">Entre </w:t>
      </w:r>
      <w:r w:rsidRPr="007958D9">
        <w:rPr>
          <w:rFonts w:eastAsiaTheme="minorHAnsi" w:cs="HelveticaNeue-Light"/>
          <w:szCs w:val="22"/>
          <w:lang w:eastAsia="en-US"/>
        </w:rPr>
        <w:t>1996 et 2006, il y aurait près de 22 500 entreprises dont 98 % très petites (moins de cinq salariés) pour l’essentiel dans le commerce (80 %) et 15 000 informelles, 2% de PME et une douzaine de grandes entreprises.</w:t>
      </w:r>
      <w:r>
        <w:rPr>
          <w:rFonts w:eastAsiaTheme="minorHAnsi" w:cs="HelveticaNeue-Light"/>
          <w:szCs w:val="22"/>
          <w:lang w:eastAsia="en-US"/>
        </w:rPr>
        <w:t xml:space="preserve"> </w:t>
      </w:r>
      <w:r w:rsidRPr="007958D9">
        <w:rPr>
          <w:rFonts w:eastAsiaTheme="minorHAnsi" w:cs="HelveticaNeue-Light"/>
          <w:szCs w:val="22"/>
          <w:lang w:eastAsia="en-US"/>
        </w:rPr>
        <w:t>Le nombre des</w:t>
      </w:r>
      <w:r>
        <w:rPr>
          <w:rFonts w:eastAsiaTheme="minorHAnsi" w:cs="HelveticaNeue-Light"/>
          <w:szCs w:val="22"/>
          <w:lang w:eastAsia="en-US"/>
        </w:rPr>
        <w:t xml:space="preserve"> </w:t>
      </w:r>
      <w:r w:rsidRPr="007958D9">
        <w:rPr>
          <w:rFonts w:eastAsiaTheme="minorHAnsi" w:cs="HelveticaNeue-Light"/>
          <w:szCs w:val="22"/>
          <w:lang w:eastAsia="en-US"/>
        </w:rPr>
        <w:t xml:space="preserve">grandes </w:t>
      </w:r>
      <w:r>
        <w:rPr>
          <w:rFonts w:eastAsiaTheme="minorHAnsi" w:cs="HelveticaNeue-Light"/>
          <w:szCs w:val="22"/>
          <w:lang w:eastAsia="en-US"/>
        </w:rPr>
        <w:t xml:space="preserve">et moyennes </w:t>
      </w:r>
      <w:r w:rsidRPr="007958D9">
        <w:rPr>
          <w:rFonts w:eastAsiaTheme="minorHAnsi" w:cs="HelveticaNeue-Light"/>
          <w:szCs w:val="22"/>
          <w:lang w:eastAsia="en-US"/>
        </w:rPr>
        <w:t xml:space="preserve">entreprises </w:t>
      </w:r>
      <w:r>
        <w:rPr>
          <w:rFonts w:eastAsiaTheme="minorHAnsi" w:cs="HelveticaNeue-Light"/>
          <w:szCs w:val="22"/>
          <w:lang w:eastAsia="en-US"/>
        </w:rPr>
        <w:t>était estimé à</w:t>
      </w:r>
      <w:r w:rsidRPr="007958D9">
        <w:rPr>
          <w:rFonts w:eastAsiaTheme="minorHAnsi" w:cs="HelveticaNeue-Light"/>
          <w:szCs w:val="22"/>
          <w:lang w:eastAsia="en-US"/>
        </w:rPr>
        <w:t xml:space="preserve"> 200 regroupant les entreprises multinationales et étrangères, ainsi que quelques entreprises nationales publiques et privées d’envergure. </w:t>
      </w:r>
    </w:p>
    <w:p w14:paraId="37E5C6AC" w14:textId="2B7891A0" w:rsidR="00A5015C" w:rsidRPr="007958D9" w:rsidRDefault="00A5015C" w:rsidP="00A5015C">
      <w:pPr>
        <w:autoSpaceDE w:val="0"/>
        <w:autoSpaceDN w:val="0"/>
        <w:adjustRightInd w:val="0"/>
        <w:rPr>
          <w:rFonts w:eastAsiaTheme="minorHAnsi" w:cs="HelveticaNeue-Light"/>
          <w:szCs w:val="22"/>
          <w:lang w:eastAsia="en-US"/>
        </w:rPr>
      </w:pPr>
      <w:r w:rsidRPr="007958D9">
        <w:rPr>
          <w:rFonts w:eastAsiaTheme="minorHAnsi" w:cs="HelveticaNeue-Light"/>
          <w:szCs w:val="22"/>
          <w:lang w:eastAsia="en-US"/>
        </w:rPr>
        <w:t xml:space="preserve">Selon les données du </w:t>
      </w:r>
      <w:bookmarkStart w:id="60" w:name="OLE_LINK1"/>
      <w:bookmarkStart w:id="61" w:name="OLE_LINK2"/>
      <w:r w:rsidRPr="007958D9">
        <w:rPr>
          <w:rFonts w:eastAsiaTheme="minorHAnsi" w:cs="HelveticaNeue-Light"/>
          <w:szCs w:val="22"/>
          <w:lang w:eastAsia="en-US"/>
        </w:rPr>
        <w:t xml:space="preserve">Centre des formalités administratives des entreprises </w:t>
      </w:r>
      <w:bookmarkEnd w:id="60"/>
      <w:bookmarkEnd w:id="61"/>
      <w:r w:rsidRPr="007958D9">
        <w:rPr>
          <w:rFonts w:eastAsiaTheme="minorHAnsi" w:cs="HelveticaNeue-Light"/>
          <w:szCs w:val="22"/>
          <w:lang w:eastAsia="en-US"/>
        </w:rPr>
        <w:t>(CFE), plus de 25 000 nouvelles entreprises ont vu le jour entre 2006 et 2012. La majorité des entités nouvellement créées sont</w:t>
      </w:r>
      <w:r>
        <w:rPr>
          <w:rFonts w:eastAsiaTheme="minorHAnsi" w:cs="HelveticaNeue-Light"/>
          <w:szCs w:val="22"/>
          <w:lang w:eastAsia="en-US"/>
        </w:rPr>
        <w:t xml:space="preserve"> </w:t>
      </w:r>
      <w:r w:rsidRPr="007958D9">
        <w:rPr>
          <w:rFonts w:eastAsiaTheme="minorHAnsi" w:cs="HelveticaNeue-Light"/>
          <w:szCs w:val="22"/>
          <w:lang w:eastAsia="en-US"/>
        </w:rPr>
        <w:t xml:space="preserve">unipersonnelles (+75 %) pour l’essentiel dans le commerce (alimentation et habillement) et </w:t>
      </w:r>
      <w:r w:rsidR="005D2ABC">
        <w:rPr>
          <w:rFonts w:eastAsiaTheme="minorHAnsi" w:cs="HelveticaNeue-Light"/>
          <w:szCs w:val="22"/>
          <w:lang w:eastAsia="en-US"/>
        </w:rPr>
        <w:t>plus</w:t>
      </w:r>
      <w:r w:rsidRPr="007958D9">
        <w:rPr>
          <w:rFonts w:eastAsiaTheme="minorHAnsi" w:cs="HelveticaNeue-Light"/>
          <w:szCs w:val="22"/>
          <w:lang w:eastAsia="en-US"/>
        </w:rPr>
        <w:t xml:space="preserve"> faiblement dans les secteurs secondaire et primaire (en 2010, sur 6 093 entreprises crées, 84% étaient dans le secteur du commerce et des services, 9% dans le domaine du pétrole et des mines, 5% dans le BTP et 1% dans l’industrie</w:t>
      </w:r>
      <w:r>
        <w:rPr>
          <w:rFonts w:eastAsiaTheme="minorHAnsi" w:cs="HelveticaNeue-Light"/>
          <w:szCs w:val="22"/>
          <w:lang w:eastAsia="en-US"/>
        </w:rPr>
        <w:t>)</w:t>
      </w:r>
      <w:r w:rsidRPr="007958D9">
        <w:rPr>
          <w:rFonts w:eastAsiaTheme="minorHAnsi" w:cs="HelveticaNeue-Light"/>
          <w:szCs w:val="22"/>
          <w:lang w:eastAsia="en-US"/>
        </w:rPr>
        <w:t>.</w:t>
      </w:r>
    </w:p>
    <w:p w14:paraId="0503972B" w14:textId="62DC20EC" w:rsidR="00A5015C" w:rsidRPr="007958D9" w:rsidRDefault="00A5015C" w:rsidP="00A5015C">
      <w:pPr>
        <w:autoSpaceDE w:val="0"/>
        <w:autoSpaceDN w:val="0"/>
        <w:adjustRightInd w:val="0"/>
        <w:rPr>
          <w:rFonts w:eastAsiaTheme="minorHAnsi" w:cs="HelveticaNeue-Light"/>
          <w:szCs w:val="22"/>
          <w:lang w:eastAsia="en-US"/>
        </w:rPr>
      </w:pPr>
      <w:r w:rsidRPr="007958D9">
        <w:rPr>
          <w:rFonts w:eastAsiaTheme="minorHAnsi" w:cs="HelveticaNeue-Light"/>
          <w:szCs w:val="22"/>
          <w:lang w:eastAsia="en-US"/>
        </w:rPr>
        <w:t xml:space="preserve">Ces chiffres sont à relativiser car le taux de mortalité des PME est élevé et le CFE ne dispose </w:t>
      </w:r>
      <w:r w:rsidR="005D2ABC">
        <w:rPr>
          <w:rFonts w:eastAsiaTheme="minorHAnsi" w:cs="HelveticaNeue-Light"/>
          <w:szCs w:val="22"/>
          <w:lang w:eastAsia="en-US"/>
        </w:rPr>
        <w:t>pas de</w:t>
      </w:r>
      <w:r w:rsidRPr="007958D9">
        <w:rPr>
          <w:rFonts w:eastAsiaTheme="minorHAnsi" w:cs="HelveticaNeue-Light"/>
          <w:szCs w:val="22"/>
          <w:lang w:eastAsia="en-US"/>
        </w:rPr>
        <w:t xml:space="preserve"> moyen</w:t>
      </w:r>
      <w:r w:rsidR="005D2ABC">
        <w:rPr>
          <w:rFonts w:eastAsiaTheme="minorHAnsi" w:cs="HelveticaNeue-Light"/>
          <w:szCs w:val="22"/>
          <w:lang w:eastAsia="en-US"/>
        </w:rPr>
        <w:t>s</w:t>
      </w:r>
      <w:r w:rsidRPr="007958D9">
        <w:rPr>
          <w:rFonts w:eastAsiaTheme="minorHAnsi" w:cs="HelveticaNeue-Light"/>
          <w:szCs w:val="22"/>
          <w:lang w:eastAsia="en-US"/>
        </w:rPr>
        <w:t xml:space="preserve"> pour vérifier si l’entreprise créée est opérationnelle ou non (BAD,</w:t>
      </w:r>
      <w:r>
        <w:rPr>
          <w:rFonts w:eastAsiaTheme="minorHAnsi" w:cs="HelveticaNeue-Light"/>
          <w:szCs w:val="22"/>
          <w:lang w:eastAsia="en-US"/>
        </w:rPr>
        <w:t xml:space="preserve"> </w:t>
      </w:r>
      <w:r w:rsidRPr="007958D9">
        <w:rPr>
          <w:rFonts w:eastAsiaTheme="minorHAnsi" w:cs="HelveticaNeue-Light"/>
          <w:szCs w:val="22"/>
          <w:lang w:eastAsia="en-US"/>
        </w:rPr>
        <w:t>2012). Selon la BAD</w:t>
      </w:r>
      <w:r>
        <w:rPr>
          <w:rFonts w:eastAsiaTheme="minorHAnsi" w:cs="HelveticaNeue-Light"/>
          <w:szCs w:val="22"/>
          <w:lang w:eastAsia="en-US"/>
        </w:rPr>
        <w:t xml:space="preserve"> (2012)</w:t>
      </w:r>
      <w:r w:rsidRPr="007958D9">
        <w:rPr>
          <w:rFonts w:eastAsiaTheme="minorHAnsi" w:cs="HelveticaNeue-Light"/>
          <w:szCs w:val="22"/>
          <w:lang w:eastAsia="en-US"/>
        </w:rPr>
        <w:t xml:space="preserve">, ces créations entrent souvent dans une stratégie de captation de facilités et d’avantages accordés par l’État dans le cadre de ses programmes d’investissement, ou ont été effectuées pour tirer profit de la privatisation d’une partie des entités publiques au cours des dernières années. Certaines entreprises bénéficiaires des marchés publics disparaissent dès l’exécution du contrat. </w:t>
      </w:r>
    </w:p>
    <w:p w14:paraId="09146225" w14:textId="77777777" w:rsidR="00A5015C" w:rsidRDefault="00A5015C" w:rsidP="00A5015C">
      <w:r>
        <w:t>Une enquête menée par la Banque Mondiale en 2009 a montré que les activités des entreprises étaient financée à plus de 84% sur fonds propres et moins de 13% des entreprises concernées par l’enquête ont eu recours à un prêt ou à ne ligne de crédit :</w:t>
      </w:r>
    </w:p>
    <w:p w14:paraId="159B208D" w14:textId="77777777" w:rsidR="005B5FAB" w:rsidRDefault="005B5FAB" w:rsidP="00A5015C"/>
    <w:p w14:paraId="7B3C8062" w14:textId="77777777" w:rsidR="005B5FAB" w:rsidRDefault="005B5FAB" w:rsidP="00A5015C"/>
    <w:tbl>
      <w:tblPr>
        <w:tblStyle w:val="GridTable4-Accent11"/>
        <w:tblW w:w="0" w:type="auto"/>
        <w:tblLayout w:type="fixed"/>
        <w:tblLook w:val="04A0" w:firstRow="1" w:lastRow="0" w:firstColumn="1" w:lastColumn="0" w:noHBand="0" w:noVBand="1"/>
      </w:tblPr>
      <w:tblGrid>
        <w:gridCol w:w="5778"/>
        <w:gridCol w:w="1418"/>
        <w:gridCol w:w="1984"/>
      </w:tblGrid>
      <w:tr w:rsidR="00A5015C" w14:paraId="60D10098" w14:textId="77777777" w:rsidTr="00DD7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E05D338" w14:textId="77777777" w:rsidR="00A5015C" w:rsidRPr="00187D3C" w:rsidRDefault="00A5015C" w:rsidP="00A93E22">
            <w:pPr>
              <w:spacing w:after="0"/>
              <w:rPr>
                <w:sz w:val="20"/>
              </w:rPr>
            </w:pPr>
          </w:p>
        </w:tc>
        <w:tc>
          <w:tcPr>
            <w:tcW w:w="1418" w:type="dxa"/>
            <w:vAlign w:val="center"/>
          </w:tcPr>
          <w:p w14:paraId="70850ADE" w14:textId="77777777" w:rsidR="00A5015C" w:rsidRPr="00187D3C" w:rsidRDefault="00A5015C" w:rsidP="00A93E22">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187D3C">
              <w:rPr>
                <w:sz w:val="20"/>
              </w:rPr>
              <w:t>Congo (%)</w:t>
            </w:r>
          </w:p>
        </w:tc>
        <w:tc>
          <w:tcPr>
            <w:tcW w:w="1984" w:type="dxa"/>
            <w:vAlign w:val="center"/>
          </w:tcPr>
          <w:p w14:paraId="3AFEECD8" w14:textId="77777777" w:rsidR="00A5015C" w:rsidRPr="00187D3C" w:rsidRDefault="00A5015C" w:rsidP="00A93E22">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187D3C">
              <w:rPr>
                <w:sz w:val="20"/>
              </w:rPr>
              <w:t>Afrique subsaharienne (%)</w:t>
            </w:r>
          </w:p>
        </w:tc>
      </w:tr>
      <w:tr w:rsidR="00A5015C" w14:paraId="15A184B6" w14:textId="77777777" w:rsidTr="00DD7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D10B729" w14:textId="77777777" w:rsidR="00A5015C" w:rsidRPr="00187D3C" w:rsidRDefault="00A5015C" w:rsidP="00A93E22">
            <w:pPr>
              <w:spacing w:after="0"/>
              <w:rPr>
                <w:sz w:val="20"/>
              </w:rPr>
            </w:pPr>
            <w:r w:rsidRPr="00187D3C">
              <w:rPr>
                <w:sz w:val="20"/>
              </w:rPr>
              <w:t>Entreprise avec un prêt ou une ligne de crédit bancaire</w:t>
            </w:r>
          </w:p>
        </w:tc>
        <w:tc>
          <w:tcPr>
            <w:tcW w:w="1418" w:type="dxa"/>
            <w:vAlign w:val="center"/>
          </w:tcPr>
          <w:p w14:paraId="154F87F9" w14:textId="77777777" w:rsidR="00A5015C" w:rsidRPr="00187D3C" w:rsidRDefault="00A5015C" w:rsidP="00A93E2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187D3C">
              <w:rPr>
                <w:sz w:val="20"/>
              </w:rPr>
              <w:t>12,8</w:t>
            </w:r>
          </w:p>
        </w:tc>
        <w:tc>
          <w:tcPr>
            <w:tcW w:w="1984" w:type="dxa"/>
            <w:vAlign w:val="center"/>
          </w:tcPr>
          <w:p w14:paraId="27201A66" w14:textId="77777777" w:rsidR="00A5015C" w:rsidRPr="00187D3C" w:rsidRDefault="00A5015C" w:rsidP="00A93E2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187D3C">
              <w:rPr>
                <w:sz w:val="20"/>
              </w:rPr>
              <w:t>22,5</w:t>
            </w:r>
          </w:p>
        </w:tc>
      </w:tr>
      <w:tr w:rsidR="00A5015C" w14:paraId="16EBFF06" w14:textId="77777777" w:rsidTr="00DD7F2D">
        <w:tc>
          <w:tcPr>
            <w:cnfStyle w:val="001000000000" w:firstRow="0" w:lastRow="0" w:firstColumn="1" w:lastColumn="0" w:oddVBand="0" w:evenVBand="0" w:oddHBand="0" w:evenHBand="0" w:firstRowFirstColumn="0" w:firstRowLastColumn="0" w:lastRowFirstColumn="0" w:lastRowLastColumn="0"/>
            <w:tcW w:w="5778" w:type="dxa"/>
          </w:tcPr>
          <w:p w14:paraId="3DEEEF1C" w14:textId="77777777" w:rsidR="00A5015C" w:rsidRPr="00187D3C" w:rsidRDefault="00A5015C" w:rsidP="00A93E22">
            <w:pPr>
              <w:spacing w:after="0"/>
              <w:rPr>
                <w:sz w:val="20"/>
              </w:rPr>
            </w:pPr>
            <w:r w:rsidRPr="00187D3C">
              <w:rPr>
                <w:sz w:val="20"/>
              </w:rPr>
              <w:t xml:space="preserve">Pourcentage des investissements autofinancés par les entreprises </w:t>
            </w:r>
          </w:p>
        </w:tc>
        <w:tc>
          <w:tcPr>
            <w:tcW w:w="1418" w:type="dxa"/>
            <w:vAlign w:val="center"/>
          </w:tcPr>
          <w:p w14:paraId="1257D174" w14:textId="77777777" w:rsidR="00A5015C" w:rsidRPr="00187D3C" w:rsidRDefault="00A5015C" w:rsidP="00A93E2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187D3C">
              <w:rPr>
                <w:sz w:val="20"/>
              </w:rPr>
              <w:t>84,6</w:t>
            </w:r>
          </w:p>
        </w:tc>
        <w:tc>
          <w:tcPr>
            <w:tcW w:w="1984" w:type="dxa"/>
            <w:vAlign w:val="center"/>
          </w:tcPr>
          <w:p w14:paraId="4E0AFF2B" w14:textId="77777777" w:rsidR="00A5015C" w:rsidRPr="00187D3C" w:rsidRDefault="00A5015C" w:rsidP="00A93E2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187D3C">
              <w:rPr>
                <w:sz w:val="20"/>
              </w:rPr>
              <w:t>79,3</w:t>
            </w:r>
          </w:p>
        </w:tc>
      </w:tr>
      <w:tr w:rsidR="00A5015C" w14:paraId="16832367" w14:textId="77777777" w:rsidTr="00DD7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6A339F4" w14:textId="77777777" w:rsidR="00A5015C" w:rsidRPr="00187D3C" w:rsidRDefault="00A5015C" w:rsidP="00A93E22">
            <w:pPr>
              <w:spacing w:after="0"/>
              <w:rPr>
                <w:sz w:val="20"/>
              </w:rPr>
            </w:pPr>
            <w:r w:rsidRPr="00187D3C">
              <w:rPr>
                <w:sz w:val="20"/>
              </w:rPr>
              <w:t>Pourcentage des investissements financés par le système bancaire</w:t>
            </w:r>
          </w:p>
        </w:tc>
        <w:tc>
          <w:tcPr>
            <w:tcW w:w="1418" w:type="dxa"/>
            <w:vAlign w:val="center"/>
          </w:tcPr>
          <w:p w14:paraId="6EF34F5B" w14:textId="77777777" w:rsidR="00A5015C" w:rsidRPr="00187D3C" w:rsidRDefault="00A5015C" w:rsidP="00A93E2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187D3C">
              <w:rPr>
                <w:sz w:val="20"/>
              </w:rPr>
              <w:t>4,0</w:t>
            </w:r>
          </w:p>
        </w:tc>
        <w:tc>
          <w:tcPr>
            <w:tcW w:w="1984" w:type="dxa"/>
            <w:vAlign w:val="center"/>
          </w:tcPr>
          <w:p w14:paraId="073850DF" w14:textId="77777777" w:rsidR="00A5015C" w:rsidRPr="00187D3C" w:rsidRDefault="00A5015C" w:rsidP="00A93E2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187D3C">
              <w:rPr>
                <w:sz w:val="20"/>
              </w:rPr>
              <w:t>10,0</w:t>
            </w:r>
          </w:p>
        </w:tc>
      </w:tr>
      <w:tr w:rsidR="00A5015C" w14:paraId="3A450B23" w14:textId="77777777" w:rsidTr="00DD7F2D">
        <w:tc>
          <w:tcPr>
            <w:cnfStyle w:val="001000000000" w:firstRow="0" w:lastRow="0" w:firstColumn="1" w:lastColumn="0" w:oddVBand="0" w:evenVBand="0" w:oddHBand="0" w:evenHBand="0" w:firstRowFirstColumn="0" w:firstRowLastColumn="0" w:lastRowFirstColumn="0" w:lastRowLastColumn="0"/>
            <w:tcW w:w="5778" w:type="dxa"/>
          </w:tcPr>
          <w:p w14:paraId="3FF1D639" w14:textId="77777777" w:rsidR="00A5015C" w:rsidRPr="00187D3C" w:rsidRDefault="00A5015C" w:rsidP="00A93E22">
            <w:pPr>
              <w:spacing w:after="0"/>
              <w:rPr>
                <w:sz w:val="20"/>
              </w:rPr>
            </w:pPr>
            <w:r w:rsidRPr="00187D3C">
              <w:rPr>
                <w:sz w:val="20"/>
              </w:rPr>
              <w:t xml:space="preserve">Entreprises finançant l’investissement par le crédit fournisseur </w:t>
            </w:r>
          </w:p>
        </w:tc>
        <w:tc>
          <w:tcPr>
            <w:tcW w:w="1418" w:type="dxa"/>
            <w:vAlign w:val="center"/>
          </w:tcPr>
          <w:p w14:paraId="3BB41E33" w14:textId="77777777" w:rsidR="00A5015C" w:rsidRPr="00187D3C" w:rsidRDefault="00A5015C" w:rsidP="00A93E2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187D3C">
              <w:rPr>
                <w:sz w:val="20"/>
              </w:rPr>
              <w:t>6,6</w:t>
            </w:r>
          </w:p>
        </w:tc>
        <w:tc>
          <w:tcPr>
            <w:tcW w:w="1984" w:type="dxa"/>
            <w:vAlign w:val="center"/>
          </w:tcPr>
          <w:p w14:paraId="07F76E09" w14:textId="77777777" w:rsidR="00A5015C" w:rsidRPr="00187D3C" w:rsidRDefault="00A5015C" w:rsidP="00A93E2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187D3C">
              <w:rPr>
                <w:sz w:val="20"/>
              </w:rPr>
              <w:t>3,4</w:t>
            </w:r>
          </w:p>
        </w:tc>
      </w:tr>
    </w:tbl>
    <w:p w14:paraId="05C91C94" w14:textId="77777777" w:rsidR="00A5015C" w:rsidRDefault="00A5015C" w:rsidP="00A5015C">
      <w:pPr>
        <w:pStyle w:val="Caption"/>
      </w:pPr>
      <w:bookmarkStart w:id="62" w:name="_Toc454886809"/>
      <w:r>
        <w:t xml:space="preserve">Tableau </w:t>
      </w:r>
      <w:r>
        <w:fldChar w:fldCharType="begin"/>
      </w:r>
      <w:r>
        <w:instrText xml:space="preserve"> SEQ Tableau \* ARABIC </w:instrText>
      </w:r>
      <w:r>
        <w:fldChar w:fldCharType="separate"/>
      </w:r>
      <w:r w:rsidR="0080491D">
        <w:rPr>
          <w:noProof/>
        </w:rPr>
        <w:t>10</w:t>
      </w:r>
      <w:r>
        <w:fldChar w:fldCharType="end"/>
      </w:r>
      <w:r>
        <w:t>: Accès au financement des entreprises en 2009 (BAD, 2012)</w:t>
      </w:r>
      <w:bookmarkEnd w:id="62"/>
    </w:p>
    <w:p w14:paraId="0F5A0B99" w14:textId="77777777" w:rsidR="00A5015C" w:rsidRDefault="00A5015C" w:rsidP="00A5015C">
      <w:pPr>
        <w:autoSpaceDE w:val="0"/>
        <w:autoSpaceDN w:val="0"/>
        <w:adjustRightInd w:val="0"/>
        <w:rPr>
          <w:rFonts w:eastAsiaTheme="minorHAnsi" w:cs="HelveticaNeue-Light"/>
          <w:szCs w:val="22"/>
          <w:lang w:eastAsia="en-US"/>
        </w:rPr>
      </w:pPr>
      <w:r w:rsidRPr="002854C4">
        <w:rPr>
          <w:rFonts w:eastAsiaTheme="minorHAnsi" w:cs="HelveticaNeue-Light"/>
          <w:szCs w:val="22"/>
          <w:lang w:eastAsia="en-US"/>
        </w:rPr>
        <w:t>Le financement de l’investissement et de l’activité productive ou de services ne s’appuie que faiblement sur le système bancaire. Selon la BAD (2012), les très grandes entreprises, pour l’essentiel étrangères, n’y ont qu’un recours limité et les banques se livrent une rude concurrence pour les attirer. Les PME et les entreprises locales ne présentent pas selon les banques les garanties nécessaires pour avoir accès au financement.</w:t>
      </w:r>
    </w:p>
    <w:p w14:paraId="0C7B980B" w14:textId="77777777" w:rsidR="00A5015C" w:rsidRDefault="00A5015C" w:rsidP="00A5015C">
      <w:pPr>
        <w:pStyle w:val="Heading4"/>
        <w:rPr>
          <w:lang w:val="fr-FR"/>
        </w:rPr>
      </w:pPr>
      <w:r w:rsidRPr="00B67EFD">
        <w:rPr>
          <w:lang w:val="fr-FR"/>
        </w:rPr>
        <w:t xml:space="preserve">La participation des grandes entreprises au développement local </w:t>
      </w:r>
    </w:p>
    <w:p w14:paraId="7C849EF5" w14:textId="77777777" w:rsidR="00A5015C" w:rsidRPr="000A49D1" w:rsidRDefault="00A5015C" w:rsidP="00A5015C">
      <w:pPr>
        <w:autoSpaceDE w:val="0"/>
        <w:autoSpaceDN w:val="0"/>
        <w:adjustRightInd w:val="0"/>
        <w:spacing w:after="0"/>
        <w:rPr>
          <w:rFonts w:eastAsiaTheme="minorHAnsi" w:cs="Calibri"/>
          <w:szCs w:val="18"/>
          <w:lang w:eastAsia="en-US"/>
        </w:rPr>
      </w:pPr>
      <w:r w:rsidRPr="000A49D1">
        <w:rPr>
          <w:rFonts w:eastAsiaTheme="minorHAnsi" w:cs="Calibri"/>
          <w:szCs w:val="18"/>
          <w:lang w:eastAsia="en-US"/>
        </w:rPr>
        <w:t>Les grandes entreprises des secteurs de production tels que les hydrocarbures, les mines ou encore la forêt participe</w:t>
      </w:r>
      <w:r>
        <w:rPr>
          <w:rFonts w:eastAsiaTheme="minorHAnsi" w:cs="Calibri"/>
          <w:szCs w:val="18"/>
          <w:lang w:eastAsia="en-US"/>
        </w:rPr>
        <w:t>nt</w:t>
      </w:r>
      <w:r w:rsidRPr="000A49D1">
        <w:rPr>
          <w:rFonts w:eastAsiaTheme="minorHAnsi" w:cs="Calibri"/>
          <w:szCs w:val="18"/>
          <w:lang w:eastAsia="en-US"/>
        </w:rPr>
        <w:t xml:space="preserve"> aux financements de projets de développement économique et social des communautés locales par le biais de contributions </w:t>
      </w:r>
      <w:r w:rsidRPr="000A49D1">
        <w:rPr>
          <w:rFonts w:eastAsiaTheme="minorHAnsi" w:cs="Calibri"/>
          <w:i/>
          <w:szCs w:val="18"/>
          <w:lang w:eastAsia="en-US"/>
        </w:rPr>
        <w:t>ad-hoc</w:t>
      </w:r>
      <w:r>
        <w:rPr>
          <w:rFonts w:eastAsiaTheme="minorHAnsi" w:cs="Calibri"/>
          <w:szCs w:val="18"/>
          <w:lang w:eastAsia="en-US"/>
        </w:rPr>
        <w:t xml:space="preserve"> versées à des tiers qui ne sont ni comptabilisées dans le budget de l’Etat ni reprises dans le TOFE</w:t>
      </w:r>
      <w:r w:rsidRPr="000A49D1">
        <w:rPr>
          <w:rFonts w:eastAsiaTheme="minorHAnsi" w:cs="Calibri"/>
          <w:szCs w:val="18"/>
          <w:lang w:eastAsia="en-US"/>
        </w:rPr>
        <w:t xml:space="preserve">. </w:t>
      </w:r>
    </w:p>
    <w:p w14:paraId="06D3095B" w14:textId="77777777" w:rsidR="00A5015C" w:rsidRDefault="00A5015C" w:rsidP="00A5015C">
      <w:pPr>
        <w:autoSpaceDE w:val="0"/>
        <w:autoSpaceDN w:val="0"/>
        <w:adjustRightInd w:val="0"/>
        <w:spacing w:after="0"/>
        <w:rPr>
          <w:rFonts w:eastAsiaTheme="minorHAnsi" w:cs="Calibri"/>
          <w:szCs w:val="18"/>
          <w:lang w:eastAsia="en-US"/>
        </w:rPr>
      </w:pPr>
    </w:p>
    <w:p w14:paraId="691A8E58" w14:textId="77777777" w:rsidR="00A5015C" w:rsidRPr="000A49D1" w:rsidRDefault="00A5015C" w:rsidP="00A5015C">
      <w:pPr>
        <w:autoSpaceDE w:val="0"/>
        <w:autoSpaceDN w:val="0"/>
        <w:adjustRightInd w:val="0"/>
        <w:spacing w:after="0"/>
        <w:rPr>
          <w:rFonts w:eastAsiaTheme="minorHAnsi" w:cs="Calibri"/>
          <w:szCs w:val="18"/>
          <w:lang w:eastAsia="en-US"/>
        </w:rPr>
      </w:pPr>
      <w:r>
        <w:rPr>
          <w:rFonts w:eastAsiaTheme="minorHAnsi" w:cs="Calibri"/>
          <w:szCs w:val="18"/>
          <w:lang w:eastAsia="en-US"/>
        </w:rPr>
        <w:t>Au niveau des industries extractives, en 2013</w:t>
      </w:r>
      <w:r w:rsidRPr="000A49D1">
        <w:rPr>
          <w:rFonts w:eastAsiaTheme="minorHAnsi" w:cs="Calibri"/>
          <w:szCs w:val="18"/>
          <w:lang w:eastAsia="en-US"/>
        </w:rPr>
        <w:t xml:space="preserve">, ces contributions se sont élevées à 13,7 et 0,24 millions </w:t>
      </w:r>
      <w:r>
        <w:rPr>
          <w:rFonts w:eastAsiaTheme="minorHAnsi" w:cs="Calibri"/>
          <w:szCs w:val="18"/>
          <w:lang w:eastAsia="en-US"/>
        </w:rPr>
        <w:t>d’USD</w:t>
      </w:r>
      <w:r w:rsidRPr="000A49D1">
        <w:rPr>
          <w:rFonts w:eastAsiaTheme="minorHAnsi" w:cs="Calibri"/>
          <w:szCs w:val="18"/>
          <w:lang w:eastAsia="en-US"/>
        </w:rPr>
        <w:t xml:space="preserve"> pour, respectivement, le secteur des hydrocarbures et  le secteur des mines</w:t>
      </w:r>
      <w:r>
        <w:rPr>
          <w:rFonts w:eastAsiaTheme="minorHAnsi" w:cs="Calibri"/>
          <w:szCs w:val="18"/>
          <w:lang w:eastAsia="en-US"/>
        </w:rPr>
        <w:t xml:space="preserve"> (ITIE, 2014)</w:t>
      </w:r>
      <w:r w:rsidRPr="000A49D1">
        <w:rPr>
          <w:rFonts w:eastAsiaTheme="minorHAnsi" w:cs="Calibri"/>
          <w:szCs w:val="18"/>
          <w:lang w:eastAsia="en-US"/>
        </w:rPr>
        <w:t xml:space="preserve">. </w:t>
      </w:r>
    </w:p>
    <w:p w14:paraId="3AD3BF34" w14:textId="77777777" w:rsidR="00A5015C" w:rsidRDefault="00A5015C" w:rsidP="00A5015C">
      <w:pPr>
        <w:autoSpaceDE w:val="0"/>
        <w:autoSpaceDN w:val="0"/>
        <w:adjustRightInd w:val="0"/>
        <w:spacing w:after="0"/>
        <w:jc w:val="left"/>
        <w:rPr>
          <w:rFonts w:ascii="Calibri" w:eastAsiaTheme="minorHAnsi" w:hAnsi="Calibri" w:cs="Calibri"/>
          <w:sz w:val="18"/>
          <w:szCs w:val="18"/>
          <w:lang w:eastAsia="en-US"/>
        </w:rPr>
      </w:pPr>
    </w:p>
    <w:p w14:paraId="685B03AE" w14:textId="77777777" w:rsidR="00A5015C" w:rsidRPr="003E47B5" w:rsidRDefault="00A5015C" w:rsidP="00A5015C">
      <w:pPr>
        <w:autoSpaceDE w:val="0"/>
        <w:autoSpaceDN w:val="0"/>
        <w:adjustRightInd w:val="0"/>
        <w:spacing w:after="0"/>
        <w:rPr>
          <w:rFonts w:eastAsiaTheme="minorHAnsi" w:cs="Calibri"/>
          <w:szCs w:val="22"/>
          <w:lang w:eastAsia="en-US"/>
        </w:rPr>
      </w:pPr>
      <w:r w:rsidRPr="003E47B5">
        <w:rPr>
          <w:rFonts w:eastAsiaTheme="minorHAnsi" w:cs="Calibri"/>
          <w:szCs w:val="22"/>
          <w:lang w:eastAsia="en-US"/>
        </w:rPr>
        <w:t xml:space="preserve">Au niveau du secteur forestier, avec le projet de nouveau code forestier, les entreprises auront l’obligation de mettre en place chacune un </w:t>
      </w:r>
      <w:bookmarkStart w:id="63" w:name="OLE_LINK3"/>
      <w:bookmarkStart w:id="64" w:name="OLE_LINK4"/>
      <w:r w:rsidRPr="003E47B5">
        <w:rPr>
          <w:rFonts w:eastAsiaTheme="minorHAnsi" w:cs="Calibri"/>
          <w:szCs w:val="22"/>
          <w:lang w:eastAsia="en-US"/>
        </w:rPr>
        <w:t xml:space="preserve">Fonds de Développement Local </w:t>
      </w:r>
      <w:bookmarkEnd w:id="63"/>
      <w:bookmarkEnd w:id="64"/>
      <w:r w:rsidRPr="003E47B5">
        <w:rPr>
          <w:rFonts w:eastAsiaTheme="minorHAnsi" w:cs="Calibri"/>
          <w:szCs w:val="22"/>
          <w:lang w:eastAsia="en-US"/>
        </w:rPr>
        <w:t>(FDL) destiné à financer des microprojets d’intérêt communautaire pour les populations en marge de ses autres obligations de type infrastructures socio-économiques</w:t>
      </w:r>
      <w:r>
        <w:rPr>
          <w:rFonts w:eastAsiaTheme="minorHAnsi" w:cs="Calibri"/>
          <w:szCs w:val="22"/>
          <w:lang w:eastAsia="en-US"/>
        </w:rPr>
        <w:t xml:space="preserve"> (IDL, 2015)</w:t>
      </w:r>
      <w:r w:rsidRPr="003E47B5">
        <w:rPr>
          <w:rFonts w:eastAsiaTheme="minorHAnsi" w:cs="Calibri"/>
          <w:szCs w:val="22"/>
          <w:lang w:eastAsia="en-US"/>
        </w:rPr>
        <w:t>. Les FDL sont créés par arrêtés</w:t>
      </w:r>
      <w:r w:rsidRPr="003E47B5">
        <w:rPr>
          <w:rFonts w:eastAsiaTheme="minorHAnsi" w:cs="Calibri"/>
          <w:sz w:val="14"/>
          <w:szCs w:val="14"/>
          <w:lang w:eastAsia="en-US"/>
        </w:rPr>
        <w:t xml:space="preserve"> </w:t>
      </w:r>
      <w:r w:rsidRPr="003E47B5">
        <w:rPr>
          <w:rFonts w:eastAsiaTheme="minorHAnsi" w:cs="Calibri"/>
          <w:szCs w:val="22"/>
          <w:lang w:eastAsia="en-US"/>
        </w:rPr>
        <w:t>et leur fonctionnement est précisé par un règlement intérieur. Ils sont alimentés par une redevance de 200 FCFA par m</w:t>
      </w:r>
      <w:r w:rsidRPr="003E47B5">
        <w:rPr>
          <w:rFonts w:eastAsiaTheme="minorHAnsi" w:cs="Calibri"/>
          <w:szCs w:val="22"/>
          <w:vertAlign w:val="superscript"/>
          <w:lang w:eastAsia="en-US"/>
        </w:rPr>
        <w:t>3</w:t>
      </w:r>
      <w:r>
        <w:rPr>
          <w:rFonts w:eastAsiaTheme="minorHAnsi" w:cs="Calibri"/>
          <w:szCs w:val="22"/>
          <w:vertAlign w:val="superscript"/>
          <w:lang w:eastAsia="en-US"/>
        </w:rPr>
        <w:t xml:space="preserve"> </w:t>
      </w:r>
      <w:r w:rsidRPr="003E47B5">
        <w:rPr>
          <w:rFonts w:eastAsiaTheme="minorHAnsi" w:cs="Calibri"/>
          <w:szCs w:val="22"/>
          <w:lang w:eastAsia="en-US"/>
        </w:rPr>
        <w:t>de bois commercialisable qui est exploité annuellement par les sociétés forestières, ainsi que des subventions du conseil départemental, des dons et des legs</w:t>
      </w:r>
      <w:r>
        <w:rPr>
          <w:rFonts w:eastAsiaTheme="minorHAnsi" w:cs="Calibri"/>
          <w:szCs w:val="22"/>
          <w:lang w:eastAsia="en-US"/>
        </w:rPr>
        <w:t xml:space="preserve"> (IDL, 2015)</w:t>
      </w:r>
      <w:r w:rsidRPr="003E47B5">
        <w:rPr>
          <w:rFonts w:eastAsiaTheme="minorHAnsi" w:cs="Calibri"/>
          <w:szCs w:val="22"/>
          <w:lang w:eastAsia="en-US"/>
        </w:rPr>
        <w:t>.</w:t>
      </w:r>
    </w:p>
    <w:p w14:paraId="067EFF6A" w14:textId="770DF093" w:rsidR="00A5015C" w:rsidRPr="00DD7F2D" w:rsidRDefault="00A5015C" w:rsidP="00DD7F2D">
      <w:pPr>
        <w:autoSpaceDE w:val="0"/>
        <w:autoSpaceDN w:val="0"/>
        <w:adjustRightInd w:val="0"/>
        <w:rPr>
          <w:rFonts w:eastAsiaTheme="minorHAnsi" w:cs="Calibri"/>
          <w:szCs w:val="22"/>
          <w:lang w:eastAsia="en-US"/>
        </w:rPr>
      </w:pPr>
      <w:r w:rsidRPr="003E47B5">
        <w:rPr>
          <w:rFonts w:eastAsiaTheme="minorHAnsi" w:cs="Calibri"/>
          <w:szCs w:val="22"/>
          <w:lang w:eastAsia="en-US"/>
        </w:rPr>
        <w:t>En considérant un volume total estimé à 2,8 millions de m</w:t>
      </w:r>
      <w:r w:rsidRPr="007C3BC9">
        <w:rPr>
          <w:rFonts w:eastAsiaTheme="minorHAnsi" w:cs="Calibri"/>
          <w:szCs w:val="22"/>
          <w:vertAlign w:val="superscript"/>
          <w:lang w:eastAsia="en-US"/>
        </w:rPr>
        <w:t>3</w:t>
      </w:r>
      <w:r w:rsidRPr="003E47B5">
        <w:rPr>
          <w:rFonts w:eastAsiaTheme="minorHAnsi" w:cs="Calibri"/>
          <w:szCs w:val="22"/>
          <w:lang w:eastAsia="en-US"/>
        </w:rPr>
        <w:t xml:space="preserve"> en 2013 (MEFDD, 2014), on peut</w:t>
      </w:r>
      <w:r>
        <w:rPr>
          <w:rFonts w:eastAsiaTheme="minorHAnsi" w:cs="Calibri"/>
          <w:szCs w:val="22"/>
          <w:lang w:eastAsia="en-US"/>
        </w:rPr>
        <w:t>,</w:t>
      </w:r>
      <w:r w:rsidRPr="003E47B5">
        <w:rPr>
          <w:rFonts w:eastAsiaTheme="minorHAnsi" w:cs="Calibri"/>
          <w:szCs w:val="22"/>
          <w:lang w:eastAsia="en-US"/>
        </w:rPr>
        <w:t xml:space="preserve"> en première estimation</w:t>
      </w:r>
      <w:r>
        <w:rPr>
          <w:rFonts w:eastAsiaTheme="minorHAnsi" w:cs="Calibri"/>
          <w:szCs w:val="22"/>
          <w:lang w:eastAsia="en-US"/>
        </w:rPr>
        <w:t>, considérer</w:t>
      </w:r>
      <w:r w:rsidRPr="003E47B5">
        <w:rPr>
          <w:rFonts w:eastAsiaTheme="minorHAnsi" w:cs="Calibri"/>
          <w:szCs w:val="22"/>
          <w:lang w:eastAsia="en-US"/>
        </w:rPr>
        <w:t xml:space="preserve"> un montant de 560 m</w:t>
      </w:r>
      <w:r>
        <w:rPr>
          <w:rFonts w:eastAsiaTheme="minorHAnsi" w:cs="Calibri"/>
          <w:szCs w:val="22"/>
          <w:lang w:eastAsia="en-US"/>
        </w:rPr>
        <w:t>illions de FCFA qui permettrai</w:t>
      </w:r>
      <w:r w:rsidRPr="003E47B5">
        <w:rPr>
          <w:rFonts w:eastAsiaTheme="minorHAnsi" w:cs="Calibri"/>
          <w:szCs w:val="22"/>
          <w:lang w:eastAsia="en-US"/>
        </w:rPr>
        <w:t xml:space="preserve">t d’alimenter </w:t>
      </w:r>
      <w:r w:rsidR="00DD7F2D">
        <w:rPr>
          <w:rFonts w:eastAsiaTheme="minorHAnsi" w:cs="Calibri"/>
          <w:szCs w:val="22"/>
          <w:lang w:eastAsia="en-US"/>
        </w:rPr>
        <w:t xml:space="preserve">les FDL à l’échelle nationale. </w:t>
      </w:r>
    </w:p>
    <w:tbl>
      <w:tblPr>
        <w:tblStyle w:val="TableGrid"/>
        <w:tblW w:w="0" w:type="auto"/>
        <w:tblLook w:val="04A0" w:firstRow="1" w:lastRow="0" w:firstColumn="1" w:lastColumn="0" w:noHBand="0" w:noVBand="1"/>
      </w:tblPr>
      <w:tblGrid>
        <w:gridCol w:w="9212"/>
      </w:tblGrid>
      <w:tr w:rsidR="00615549" w14:paraId="723F3505" w14:textId="77777777" w:rsidTr="00537D86">
        <w:tc>
          <w:tcPr>
            <w:tcW w:w="9212" w:type="dxa"/>
            <w:shd w:val="clear" w:color="auto" w:fill="F8E5DA" w:themeFill="accent2" w:themeFillTint="33"/>
          </w:tcPr>
          <w:p w14:paraId="0D3201D9" w14:textId="37A5C3D6" w:rsidR="00615549" w:rsidRDefault="00615549" w:rsidP="00187D3C">
            <w:pPr>
              <w:pStyle w:val="Caption"/>
            </w:pPr>
            <w:r>
              <w:t xml:space="preserve">Encadré </w:t>
            </w:r>
            <w:r>
              <w:fldChar w:fldCharType="begin"/>
            </w:r>
            <w:r>
              <w:instrText xml:space="preserve"> SEQ Encadré \* ARABIC </w:instrText>
            </w:r>
            <w:r>
              <w:fldChar w:fldCharType="separate"/>
            </w:r>
            <w:r w:rsidR="0080491D">
              <w:rPr>
                <w:noProof/>
              </w:rPr>
              <w:t>4</w:t>
            </w:r>
            <w:r>
              <w:fldChar w:fldCharType="end"/>
            </w:r>
            <w:r>
              <w:t>: Les partenariats Public Privés (PPP)</w:t>
            </w:r>
          </w:p>
          <w:p w14:paraId="688F7AAB" w14:textId="1C67C5C5" w:rsidR="00615549" w:rsidRDefault="00615549" w:rsidP="00383791">
            <w:pPr>
              <w:keepNext/>
            </w:pPr>
            <w:r>
              <w:t xml:space="preserve">Dans le cadre du PND 2012-2016, la République du Congo a affirmé son intérêt </w:t>
            </w:r>
            <w:r w:rsidR="00383791">
              <w:t>pour le développement des partenariats publics-privés considéré</w:t>
            </w:r>
            <w:r w:rsidR="00492F5A">
              <w:t>s</w:t>
            </w:r>
            <w:r w:rsidR="00383791">
              <w:t xml:space="preserve"> comme un instrument de financement incontournable pour le développement économique du pays notamment dans le domaine des infrastructures</w:t>
            </w:r>
            <w:r w:rsidR="000923E0">
              <w:t xml:space="preserve"> </w:t>
            </w:r>
            <w:r w:rsidR="000923E0" w:rsidRPr="000923E0">
              <w:t>(CPCMB, 2012)</w:t>
            </w:r>
            <w:r w:rsidR="00383791" w:rsidRPr="000923E0">
              <w:t>.</w:t>
            </w:r>
            <w:r w:rsidR="00383791">
              <w:t xml:space="preserve"> </w:t>
            </w:r>
          </w:p>
          <w:p w14:paraId="4670AF78" w14:textId="70882674" w:rsidR="00383791" w:rsidRDefault="00383791" w:rsidP="00383791">
            <w:pPr>
              <w:keepNext/>
            </w:pPr>
            <w:r>
              <w:t>Dans cet objectif, le gouvernement du Congo an partenariat avec la société Congo Capital Entreprise SA met en place un large programme de privatisation partielle de 46 entreprises publiques réparties dans 6 secteurs dont l’agro-industrie, l’hôtellerie et tourisme, la foresterie, le commerce, l’eau et l’électricité</w:t>
            </w:r>
            <w:r w:rsidR="00451756">
              <w:rPr>
                <w:rStyle w:val="FootnoteReference"/>
              </w:rPr>
              <w:footnoteReference w:id="84"/>
            </w:r>
            <w:r>
              <w:t xml:space="preserve">. </w:t>
            </w:r>
          </w:p>
          <w:p w14:paraId="41B8AF3D" w14:textId="635FCE05" w:rsidR="00492F5A" w:rsidRDefault="00492F5A" w:rsidP="00492F5A">
            <w:pPr>
              <w:keepNext/>
            </w:pPr>
            <w:r>
              <w:rPr>
                <w:szCs w:val="22"/>
              </w:rPr>
              <w:t>En 2012, l</w:t>
            </w:r>
            <w:r w:rsidRPr="00881AB2">
              <w:rPr>
                <w:szCs w:val="22"/>
              </w:rPr>
              <w:t>a République du Congo a signé avec la société CIB-OLAM</w:t>
            </w:r>
            <w:r>
              <w:rPr>
                <w:szCs w:val="22"/>
              </w:rPr>
              <w:t xml:space="preserve"> </w:t>
            </w:r>
            <w:r w:rsidRPr="00881AB2">
              <w:rPr>
                <w:szCs w:val="22"/>
              </w:rPr>
              <w:t>un protocole de partenariat technique par lequel la société</w:t>
            </w:r>
            <w:r>
              <w:rPr>
                <w:szCs w:val="22"/>
              </w:rPr>
              <w:t xml:space="preserve"> est mandatée</w:t>
            </w:r>
            <w:r w:rsidRPr="00881AB2">
              <w:rPr>
                <w:szCs w:val="22"/>
              </w:rPr>
              <w:t xml:space="preserve"> pour appuyer </w:t>
            </w:r>
            <w:r w:rsidR="00C64F62">
              <w:rPr>
                <w:szCs w:val="22"/>
              </w:rPr>
              <w:t>l’Etat dans la conduite d’un programme national de d</w:t>
            </w:r>
            <w:r w:rsidRPr="00881AB2">
              <w:rPr>
                <w:szCs w:val="22"/>
              </w:rPr>
              <w:t>éveloppement de la filière cacao planifié. Ce protocole a été amendé en mars 2014 de façon à proroger ce protocole sur 5 ans et à étendre les activités du partenariat à la production</w:t>
            </w:r>
            <w:r>
              <w:rPr>
                <w:szCs w:val="22"/>
              </w:rPr>
              <w:t>, la</w:t>
            </w:r>
            <w:r w:rsidRPr="00881AB2">
              <w:rPr>
                <w:szCs w:val="22"/>
              </w:rPr>
              <w:t xml:space="preserve"> distribution du matériel végétal et à la formation des planteurs.</w:t>
            </w:r>
            <w:r>
              <w:rPr>
                <w:szCs w:val="22"/>
              </w:rPr>
              <w:t xml:space="preserve"> </w:t>
            </w:r>
            <w:r>
              <w:t xml:space="preserve">Dans ce </w:t>
            </w:r>
            <w:r w:rsidR="00C64F62">
              <w:t>PPP</w:t>
            </w:r>
            <w:r>
              <w:t xml:space="preserve">, </w:t>
            </w:r>
            <w:proofErr w:type="spellStart"/>
            <w:r>
              <w:t>Olam</w:t>
            </w:r>
            <w:proofErr w:type="spellEnd"/>
            <w:r>
              <w:t xml:space="preserve"> va commercialiser le cacao issu des plantations des petits producteurs et l’État congolais va diversifier les bases de l’économie du pays. Des appuis de l’AFD et de la Banque Mondiale via le projet PFDE sont également attendus pour cette initiative. </w:t>
            </w:r>
          </w:p>
          <w:p w14:paraId="0DD9A943" w14:textId="70C747FE" w:rsidR="00F97686" w:rsidRDefault="00F337F7" w:rsidP="00C64F62">
            <w:pPr>
              <w:keepNext/>
            </w:pPr>
            <w:r>
              <w:t>On note qu’il existe aujourd’hui une initiative France-Banque Mondiale pour la promotion des PPP</w:t>
            </w:r>
            <w:r w:rsidR="00C64F62">
              <w:t xml:space="preserve"> dans les pays de la zone franc. </w:t>
            </w:r>
            <w:r>
              <w:t>Cette initiative vise à appuyer les pays dans </w:t>
            </w:r>
            <w:r w:rsidR="00F97686">
              <w:t xml:space="preserve">la sélection des projets, la mise en place du cadre juridique et le renforcement des capacités des administrations.  </w:t>
            </w:r>
          </w:p>
        </w:tc>
      </w:tr>
    </w:tbl>
    <w:p w14:paraId="794ADD9D" w14:textId="7F7F1F05" w:rsidR="00FB4D8F" w:rsidRDefault="00D3496F" w:rsidP="001E7D72">
      <w:pPr>
        <w:pStyle w:val="Heading1"/>
      </w:pPr>
      <w:bookmarkStart w:id="65" w:name="_Toc454886798"/>
      <w:r>
        <w:lastRenderedPageBreak/>
        <w:t xml:space="preserve">III – Bilan : Les </w:t>
      </w:r>
      <w:r w:rsidR="001E7D72">
        <w:t>Opportunités de financement des activités REDD+</w:t>
      </w:r>
      <w:bookmarkEnd w:id="65"/>
    </w:p>
    <w:p w14:paraId="2DEA9DAD" w14:textId="2CA30B82" w:rsidR="00F54C3B" w:rsidRPr="00FD34B8" w:rsidRDefault="00F54C3B" w:rsidP="00643127">
      <w:r w:rsidRPr="00FD34B8">
        <w:t>Les sources d’investissement potentielles pour la mise en œuvre des activités de la stratégie nationale REDD+ les plus importantes sont, pour l’ensemble des activités, les investissements directs de la part du gouvernement et les financements internationaux publics (notamment issus de l’APD) et les I</w:t>
      </w:r>
      <w:r w:rsidR="00BA65C9">
        <w:t>ED</w:t>
      </w:r>
      <w:r w:rsidRPr="00FD34B8">
        <w:t xml:space="preserve"> en ce qui concerne les activités productives. Le secteur financier domestique est </w:t>
      </w:r>
      <w:r w:rsidR="007265CA">
        <w:t>actuellement en développement</w:t>
      </w:r>
      <w:r w:rsidRPr="00FD34B8">
        <w:t xml:space="preserve"> et les PME disposent </w:t>
      </w:r>
      <w:r w:rsidR="007265CA">
        <w:t xml:space="preserve">aujourd’hui </w:t>
      </w:r>
      <w:r w:rsidRPr="00FD34B8">
        <w:t xml:space="preserve">de peu de capacités pour participer de manière effective au financement des activités. Aussi, pour être prises en compte, il est nécessaire qu’un programme de structuration et d’appui au développement du secteur financier (notamment la microfinance) et aux PME dans les domaines forestiers, agricoles et énergétiques soit mis en place.  </w:t>
      </w:r>
    </w:p>
    <w:p w14:paraId="49E684B3" w14:textId="044E8933" w:rsidR="00F54C3B" w:rsidRPr="00FD34B8" w:rsidRDefault="00F54C3B" w:rsidP="00643127">
      <w:r w:rsidRPr="00FD34B8">
        <w:t xml:space="preserve">Le tableau ci-dessous reprend les sources de financements potentiels identifiées pour les différentes activités de la stratégie nationale REDD+. Ces sources potentielles sont données de manière </w:t>
      </w:r>
      <w:r w:rsidRPr="00A5015C">
        <w:t xml:space="preserve">indicative </w:t>
      </w:r>
      <w:r w:rsidRPr="00FD34B8">
        <w:t xml:space="preserve"> sur la base du travail de collecte de données sur les financements domestiques et internationaux. </w:t>
      </w:r>
    </w:p>
    <w:p w14:paraId="06B4DCFA" w14:textId="1FE2F8BC" w:rsidR="00F54C3B" w:rsidRDefault="00F54C3B" w:rsidP="00643127">
      <w:r w:rsidRPr="00FD34B8">
        <w:t>On note que les financements pour le paiement aux résultats REDD+ ne sont pas repris dans le tableau étant donné que ceux-ci sont attribués sur la base d’initiatives combinées à une</w:t>
      </w:r>
      <w:r w:rsidR="006E7F1E" w:rsidRPr="00FD34B8">
        <w:t xml:space="preserve"> échelle régionale ou nationale. Il s’agit notamment du fonds carbone qui bénéficiera à la République du Congo dans le cadre de son projet de réduction d’émissions au Nord Congo et des autres fonds tels que le programme </w:t>
      </w:r>
      <w:proofErr w:type="spellStart"/>
      <w:r w:rsidR="006E7F1E" w:rsidRPr="00085470">
        <w:rPr>
          <w:i/>
        </w:rPr>
        <w:t>Early</w:t>
      </w:r>
      <w:proofErr w:type="spellEnd"/>
      <w:r w:rsidR="006E7F1E" w:rsidRPr="00085470">
        <w:rPr>
          <w:i/>
        </w:rPr>
        <w:t xml:space="preserve"> </w:t>
      </w:r>
      <w:proofErr w:type="spellStart"/>
      <w:r w:rsidR="006E7F1E" w:rsidRPr="00085470">
        <w:rPr>
          <w:i/>
        </w:rPr>
        <w:t>Mover</w:t>
      </w:r>
      <w:proofErr w:type="spellEnd"/>
      <w:r w:rsidR="006E7F1E" w:rsidRPr="00FD34B8">
        <w:t xml:space="preserve">, le </w:t>
      </w:r>
      <w:proofErr w:type="spellStart"/>
      <w:r w:rsidR="006E7F1E" w:rsidRPr="00085470">
        <w:rPr>
          <w:i/>
        </w:rPr>
        <w:t>Biocarbon</w:t>
      </w:r>
      <w:proofErr w:type="spellEnd"/>
      <w:r w:rsidR="006E7F1E" w:rsidRPr="00085470">
        <w:rPr>
          <w:i/>
        </w:rPr>
        <w:t xml:space="preserve"> </w:t>
      </w:r>
      <w:proofErr w:type="spellStart"/>
      <w:r w:rsidR="006E7F1E" w:rsidRPr="00085470">
        <w:rPr>
          <w:i/>
        </w:rPr>
        <w:t>fund</w:t>
      </w:r>
      <w:proofErr w:type="spellEnd"/>
      <w:r w:rsidR="006E7F1E" w:rsidRPr="00085470">
        <w:rPr>
          <w:i/>
        </w:rPr>
        <w:t xml:space="preserve"> </w:t>
      </w:r>
      <w:r w:rsidR="006E7F1E" w:rsidRPr="00FD34B8">
        <w:t xml:space="preserve">et le PMR. </w:t>
      </w:r>
    </w:p>
    <w:p w14:paraId="6BA8D8AE" w14:textId="77777777" w:rsidR="00685322" w:rsidRDefault="00685322" w:rsidP="00643127"/>
    <w:p w14:paraId="11116F19" w14:textId="77777777" w:rsidR="00685322" w:rsidRDefault="00685322" w:rsidP="00685322">
      <w:pPr>
        <w:rPr>
          <w:b/>
          <w:i/>
          <w:szCs w:val="23"/>
        </w:rPr>
      </w:pPr>
      <w:r>
        <w:rPr>
          <w:b/>
          <w:i/>
        </w:rPr>
        <w:t>Légende du tableau :</w:t>
      </w:r>
    </w:p>
    <w:tbl>
      <w:tblPr>
        <w:tblStyle w:val="TableGrid"/>
        <w:tblW w:w="0" w:type="auto"/>
        <w:tblLook w:val="04A0" w:firstRow="1" w:lastRow="0" w:firstColumn="1" w:lastColumn="0" w:noHBand="0" w:noVBand="1"/>
      </w:tblPr>
      <w:tblGrid>
        <w:gridCol w:w="1526"/>
        <w:gridCol w:w="7686"/>
      </w:tblGrid>
      <w:tr w:rsidR="00685322" w14:paraId="166BED6D" w14:textId="77777777" w:rsidTr="00685322">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64DFD691" w14:textId="77777777" w:rsidR="00685322" w:rsidRPr="00685322" w:rsidRDefault="00685322">
            <w:pPr>
              <w:spacing w:after="0"/>
              <w:jc w:val="left"/>
            </w:pPr>
            <w:r w:rsidRPr="00685322">
              <w:rPr>
                <w:color w:val="808080" w:themeColor="background1" w:themeShade="80"/>
              </w:rPr>
              <w:t>Activités grisées</w:t>
            </w:r>
          </w:p>
        </w:tc>
        <w:tc>
          <w:tcPr>
            <w:tcW w:w="7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822255" w14:textId="637DDD62" w:rsidR="00685322" w:rsidRPr="00685322" w:rsidRDefault="00685322">
            <w:pPr>
              <w:spacing w:after="0"/>
              <w:jc w:val="left"/>
            </w:pPr>
            <w:r w:rsidRPr="00685322">
              <w:t>L’activité identifiée est en lien étroit avec une autre activité de la stratégie. Aussi, les sources de financement identifiées sont indiquées dans la ligne des activités auxquelles elles font référence.</w:t>
            </w:r>
          </w:p>
        </w:tc>
      </w:tr>
      <w:tr w:rsidR="00685322" w14:paraId="10E2E646" w14:textId="77777777" w:rsidTr="00685322">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5801A35" w14:textId="0B96C203" w:rsidR="00685322" w:rsidRPr="00685322" w:rsidRDefault="00685322">
            <w:pPr>
              <w:spacing w:after="0"/>
              <w:jc w:val="left"/>
            </w:pPr>
            <w:r w:rsidRPr="00685322">
              <w:t>Activités hachurées</w:t>
            </w:r>
          </w:p>
        </w:tc>
        <w:tc>
          <w:tcPr>
            <w:tcW w:w="7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7A3227" w14:textId="62844B02" w:rsidR="00685322" w:rsidRPr="00685322" w:rsidRDefault="00685322" w:rsidP="00685322">
            <w:pPr>
              <w:spacing w:after="0"/>
              <w:jc w:val="left"/>
            </w:pPr>
            <w:r w:rsidRPr="00685322">
              <w:t xml:space="preserve">Les activités ont déjà été réalisées. </w:t>
            </w:r>
          </w:p>
        </w:tc>
      </w:tr>
      <w:tr w:rsidR="00685322" w14:paraId="589C04D5" w14:textId="77777777" w:rsidTr="00E746D3">
        <w:tc>
          <w:tcPr>
            <w:tcW w:w="92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985905" w14:textId="7B642BE0" w:rsidR="00685322" w:rsidRPr="00685322" w:rsidRDefault="00685322" w:rsidP="005F4572">
            <w:pPr>
              <w:spacing w:after="0"/>
              <w:rPr>
                <w:i/>
              </w:rPr>
            </w:pPr>
            <w:r w:rsidRPr="00685322">
              <w:rPr>
                <w:i/>
              </w:rPr>
              <w:t>Les sources potentielles de financements en</w:t>
            </w:r>
            <w:r w:rsidR="005F4572">
              <w:rPr>
                <w:i/>
              </w:rPr>
              <w:t xml:space="preserve"> bleu-</w:t>
            </w:r>
            <w:r w:rsidRPr="00685322">
              <w:rPr>
                <w:i/>
              </w:rPr>
              <w:t>italique correspondent à des sources de financements encore non existantes (fonds en phase de création) ou pour lesquelles la République du Congo ne figure actuellem</w:t>
            </w:r>
            <w:r w:rsidR="005F4572">
              <w:rPr>
                <w:i/>
              </w:rPr>
              <w:t>ent pas parmi les bénéficiaires.</w:t>
            </w:r>
          </w:p>
        </w:tc>
      </w:tr>
    </w:tbl>
    <w:p w14:paraId="333A4B06" w14:textId="77777777" w:rsidR="00685322" w:rsidRDefault="00685322" w:rsidP="00643127"/>
    <w:p w14:paraId="5BFBBA9F" w14:textId="77777777" w:rsidR="00685322" w:rsidRDefault="00685322" w:rsidP="00643127">
      <w:pPr>
        <w:rPr>
          <w:highlight w:val="yellow"/>
        </w:rPr>
      </w:pPr>
    </w:p>
    <w:p w14:paraId="223D0378" w14:textId="77777777" w:rsidR="00BB6FAD" w:rsidRDefault="00BB6FAD" w:rsidP="00643127">
      <w:pPr>
        <w:rPr>
          <w:highlight w:val="yellow"/>
        </w:rPr>
      </w:pPr>
    </w:p>
    <w:p w14:paraId="27B36B2A" w14:textId="77777777" w:rsidR="004421EA" w:rsidRDefault="004421EA" w:rsidP="00643127">
      <w:pPr>
        <w:rPr>
          <w:highlight w:val="yellow"/>
        </w:rPr>
        <w:sectPr w:rsidR="004421EA" w:rsidSect="00F974C5">
          <w:pgSz w:w="11906" w:h="16838"/>
          <w:pgMar w:top="1417" w:right="1417" w:bottom="1417" w:left="1417" w:header="708" w:footer="708" w:gutter="0"/>
          <w:cols w:space="708"/>
          <w:docGrid w:linePitch="360"/>
        </w:sectPr>
      </w:pPr>
      <w:r>
        <w:rPr>
          <w:highlight w:val="yellow"/>
        </w:rPr>
        <w:br w:type="page"/>
      </w:r>
    </w:p>
    <w:tbl>
      <w:tblPr>
        <w:tblW w:w="13608" w:type="dxa"/>
        <w:tblInd w:w="70" w:type="dxa"/>
        <w:tblCellMar>
          <w:left w:w="70" w:type="dxa"/>
          <w:right w:w="70" w:type="dxa"/>
        </w:tblCellMar>
        <w:tblLook w:val="04A0" w:firstRow="1" w:lastRow="0" w:firstColumn="1" w:lastColumn="0" w:noHBand="0" w:noVBand="1"/>
      </w:tblPr>
      <w:tblGrid>
        <w:gridCol w:w="1007"/>
        <w:gridCol w:w="492"/>
        <w:gridCol w:w="3748"/>
        <w:gridCol w:w="4392"/>
        <w:gridCol w:w="1985"/>
        <w:gridCol w:w="1984"/>
      </w:tblGrid>
      <w:tr w:rsidR="000904F0" w:rsidRPr="000904F0" w14:paraId="1A245249" w14:textId="77777777" w:rsidTr="000904F0">
        <w:trPr>
          <w:trHeight w:val="285"/>
        </w:trPr>
        <w:tc>
          <w:tcPr>
            <w:tcW w:w="9639" w:type="dxa"/>
            <w:gridSpan w:val="4"/>
            <w:tcBorders>
              <w:top w:val="single" w:sz="4" w:space="0" w:color="auto"/>
              <w:left w:val="single" w:sz="4" w:space="0" w:color="auto"/>
            </w:tcBorders>
            <w:shd w:val="clear" w:color="000000" w:fill="F79646"/>
            <w:noWrap/>
            <w:vAlign w:val="bottom"/>
            <w:hideMark/>
          </w:tcPr>
          <w:p w14:paraId="214A0A3C" w14:textId="77777777" w:rsidR="000904F0" w:rsidRPr="000904F0" w:rsidRDefault="000904F0" w:rsidP="000904F0">
            <w:pPr>
              <w:spacing w:after="0"/>
              <w:jc w:val="left"/>
              <w:rPr>
                <w:rFonts w:ascii="Tw Cen MT" w:hAnsi="Tw Cen MT"/>
                <w:b/>
                <w:bCs/>
                <w:sz w:val="20"/>
                <w:szCs w:val="20"/>
              </w:rPr>
            </w:pPr>
            <w:r w:rsidRPr="000904F0">
              <w:rPr>
                <w:rFonts w:ascii="Tw Cen MT" w:hAnsi="Tw Cen MT"/>
                <w:b/>
                <w:bCs/>
                <w:sz w:val="20"/>
                <w:szCs w:val="20"/>
              </w:rPr>
              <w:lastRenderedPageBreak/>
              <w:t>OPTION 1: Renforcement de la gouvernance et mise en œuvre des mécanismes de financement durable</w:t>
            </w:r>
          </w:p>
        </w:tc>
        <w:tc>
          <w:tcPr>
            <w:tcW w:w="1985" w:type="dxa"/>
            <w:tcBorders>
              <w:top w:val="single" w:sz="4" w:space="0" w:color="auto"/>
            </w:tcBorders>
            <w:shd w:val="clear" w:color="000000" w:fill="F79646"/>
            <w:noWrap/>
            <w:vAlign w:val="bottom"/>
            <w:hideMark/>
          </w:tcPr>
          <w:p w14:paraId="30776AF4" w14:textId="77777777" w:rsidR="000904F0" w:rsidRPr="000904F0" w:rsidRDefault="000904F0" w:rsidP="000904F0">
            <w:pPr>
              <w:spacing w:after="0"/>
              <w:jc w:val="left"/>
              <w:rPr>
                <w:rFonts w:ascii="Tw Cen MT" w:hAnsi="Tw Cen MT"/>
                <w:b/>
                <w:bCs/>
                <w:sz w:val="20"/>
                <w:szCs w:val="20"/>
              </w:rPr>
            </w:pPr>
            <w:r w:rsidRPr="000904F0">
              <w:rPr>
                <w:rFonts w:ascii="Tw Cen MT" w:hAnsi="Tw Cen MT"/>
                <w:b/>
                <w:bCs/>
                <w:sz w:val="20"/>
                <w:szCs w:val="20"/>
              </w:rPr>
              <w:t> </w:t>
            </w:r>
          </w:p>
        </w:tc>
        <w:tc>
          <w:tcPr>
            <w:tcW w:w="1984" w:type="dxa"/>
            <w:tcBorders>
              <w:top w:val="single" w:sz="4" w:space="0" w:color="auto"/>
              <w:right w:val="single" w:sz="4" w:space="0" w:color="auto"/>
            </w:tcBorders>
            <w:shd w:val="clear" w:color="000000" w:fill="F79646"/>
            <w:noWrap/>
            <w:vAlign w:val="center"/>
            <w:hideMark/>
          </w:tcPr>
          <w:p w14:paraId="704ECD3B" w14:textId="77777777" w:rsidR="000904F0" w:rsidRPr="000904F0" w:rsidRDefault="000904F0" w:rsidP="000904F0">
            <w:pPr>
              <w:spacing w:after="0"/>
              <w:jc w:val="center"/>
              <w:rPr>
                <w:rFonts w:ascii="Tw Cen MT" w:hAnsi="Tw Cen MT"/>
                <w:b/>
                <w:bCs/>
                <w:sz w:val="20"/>
                <w:szCs w:val="20"/>
              </w:rPr>
            </w:pPr>
            <w:r w:rsidRPr="000904F0">
              <w:rPr>
                <w:rFonts w:ascii="Tw Cen MT" w:hAnsi="Tw Cen MT"/>
                <w:b/>
                <w:bCs/>
                <w:sz w:val="20"/>
                <w:szCs w:val="20"/>
              </w:rPr>
              <w:t> </w:t>
            </w:r>
          </w:p>
        </w:tc>
      </w:tr>
      <w:tr w:rsidR="000904F0" w:rsidRPr="000904F0" w14:paraId="2D69C717" w14:textId="77777777" w:rsidTr="000904F0">
        <w:trPr>
          <w:trHeight w:val="300"/>
        </w:trPr>
        <w:tc>
          <w:tcPr>
            <w:tcW w:w="1007" w:type="dxa"/>
            <w:vMerge w:val="restart"/>
            <w:tcBorders>
              <w:left w:val="single" w:sz="4" w:space="0" w:color="auto"/>
            </w:tcBorders>
            <w:shd w:val="clear" w:color="000000" w:fill="B8CCE4"/>
            <w:vAlign w:val="center"/>
            <w:hideMark/>
          </w:tcPr>
          <w:p w14:paraId="7E758C1D" w14:textId="77777777" w:rsidR="000904F0" w:rsidRPr="000904F0" w:rsidRDefault="000904F0" w:rsidP="000904F0">
            <w:pPr>
              <w:spacing w:after="0"/>
              <w:jc w:val="center"/>
              <w:rPr>
                <w:rFonts w:ascii="Tw Cen MT" w:hAnsi="Tw Cen MT"/>
                <w:b/>
                <w:bCs/>
                <w:color w:val="000000"/>
                <w:sz w:val="20"/>
                <w:szCs w:val="20"/>
              </w:rPr>
            </w:pPr>
            <w:r w:rsidRPr="000904F0">
              <w:rPr>
                <w:rFonts w:ascii="Tw Cen MT" w:hAnsi="Tw Cen MT"/>
                <w:b/>
                <w:bCs/>
                <w:color w:val="000000"/>
                <w:sz w:val="20"/>
                <w:szCs w:val="20"/>
              </w:rPr>
              <w:t>Sous Option</w:t>
            </w:r>
          </w:p>
        </w:tc>
        <w:tc>
          <w:tcPr>
            <w:tcW w:w="4240" w:type="dxa"/>
            <w:gridSpan w:val="2"/>
            <w:vMerge w:val="restart"/>
            <w:shd w:val="clear" w:color="000000" w:fill="B8CCE4"/>
            <w:vAlign w:val="center"/>
            <w:hideMark/>
          </w:tcPr>
          <w:p w14:paraId="7E8D2D51" w14:textId="77777777" w:rsidR="000904F0" w:rsidRPr="000904F0" w:rsidRDefault="000904F0" w:rsidP="000904F0">
            <w:pPr>
              <w:spacing w:after="0"/>
              <w:jc w:val="center"/>
              <w:rPr>
                <w:rFonts w:ascii="Tw Cen MT" w:hAnsi="Tw Cen MT"/>
                <w:b/>
                <w:bCs/>
                <w:color w:val="000000"/>
                <w:sz w:val="20"/>
                <w:szCs w:val="20"/>
              </w:rPr>
            </w:pPr>
            <w:r w:rsidRPr="000904F0">
              <w:rPr>
                <w:rFonts w:ascii="Tw Cen MT" w:hAnsi="Tw Cen MT"/>
                <w:b/>
                <w:bCs/>
                <w:color w:val="000000"/>
                <w:sz w:val="20"/>
                <w:szCs w:val="20"/>
              </w:rPr>
              <w:t xml:space="preserve">Activité </w:t>
            </w:r>
          </w:p>
        </w:tc>
        <w:tc>
          <w:tcPr>
            <w:tcW w:w="4392" w:type="dxa"/>
            <w:vMerge w:val="restart"/>
            <w:shd w:val="clear" w:color="000000" w:fill="B8CCE4"/>
            <w:vAlign w:val="center"/>
            <w:hideMark/>
          </w:tcPr>
          <w:p w14:paraId="09107524" w14:textId="77777777" w:rsidR="000904F0" w:rsidRPr="000904F0" w:rsidRDefault="000904F0" w:rsidP="000904F0">
            <w:pPr>
              <w:spacing w:after="0"/>
              <w:jc w:val="center"/>
              <w:rPr>
                <w:rFonts w:ascii="Tw Cen MT" w:hAnsi="Tw Cen MT"/>
                <w:b/>
                <w:bCs/>
                <w:color w:val="000000"/>
                <w:sz w:val="20"/>
                <w:szCs w:val="20"/>
              </w:rPr>
            </w:pPr>
            <w:r w:rsidRPr="000904F0">
              <w:rPr>
                <w:rFonts w:ascii="Tw Cen MT" w:hAnsi="Tw Cen MT"/>
                <w:b/>
                <w:bCs/>
                <w:color w:val="000000"/>
                <w:sz w:val="20"/>
                <w:szCs w:val="20"/>
              </w:rPr>
              <w:t>Sous-activité</w:t>
            </w:r>
          </w:p>
        </w:tc>
        <w:tc>
          <w:tcPr>
            <w:tcW w:w="3969" w:type="dxa"/>
            <w:gridSpan w:val="2"/>
            <w:tcBorders>
              <w:right w:val="single" w:sz="4" w:space="0" w:color="auto"/>
            </w:tcBorders>
            <w:shd w:val="clear" w:color="000000" w:fill="B8CCE4"/>
            <w:noWrap/>
            <w:vAlign w:val="bottom"/>
            <w:hideMark/>
          </w:tcPr>
          <w:p w14:paraId="576A8B2B" w14:textId="77777777" w:rsidR="000904F0" w:rsidRPr="000904F0" w:rsidRDefault="000904F0" w:rsidP="000904F0">
            <w:pPr>
              <w:spacing w:after="0"/>
              <w:jc w:val="center"/>
              <w:rPr>
                <w:rFonts w:ascii="Tw Cen MT" w:hAnsi="Tw Cen MT"/>
                <w:b/>
                <w:bCs/>
                <w:sz w:val="20"/>
                <w:szCs w:val="20"/>
              </w:rPr>
            </w:pPr>
            <w:r w:rsidRPr="000904F0">
              <w:rPr>
                <w:rFonts w:ascii="Tw Cen MT" w:hAnsi="Tw Cen MT"/>
                <w:b/>
                <w:bCs/>
                <w:sz w:val="20"/>
                <w:szCs w:val="20"/>
              </w:rPr>
              <w:t>Sources de financement potentielles</w:t>
            </w:r>
          </w:p>
        </w:tc>
      </w:tr>
      <w:tr w:rsidR="000904F0" w:rsidRPr="000904F0" w14:paraId="244FE6D2" w14:textId="77777777" w:rsidTr="000904F0">
        <w:trPr>
          <w:trHeight w:val="285"/>
        </w:trPr>
        <w:tc>
          <w:tcPr>
            <w:tcW w:w="1007" w:type="dxa"/>
            <w:vMerge/>
            <w:tcBorders>
              <w:top w:val="nil"/>
              <w:left w:val="single" w:sz="4" w:space="0" w:color="auto"/>
              <w:bottom w:val="single" w:sz="4" w:space="0" w:color="auto"/>
            </w:tcBorders>
            <w:vAlign w:val="center"/>
            <w:hideMark/>
          </w:tcPr>
          <w:p w14:paraId="4E07885C" w14:textId="77777777" w:rsidR="000904F0" w:rsidRPr="000904F0" w:rsidRDefault="000904F0" w:rsidP="000904F0">
            <w:pPr>
              <w:spacing w:after="0"/>
              <w:jc w:val="left"/>
              <w:rPr>
                <w:rFonts w:ascii="Tw Cen MT" w:hAnsi="Tw Cen MT"/>
                <w:b/>
                <w:bCs/>
                <w:color w:val="000000"/>
                <w:sz w:val="20"/>
                <w:szCs w:val="20"/>
              </w:rPr>
            </w:pPr>
          </w:p>
        </w:tc>
        <w:tc>
          <w:tcPr>
            <w:tcW w:w="4240" w:type="dxa"/>
            <w:gridSpan w:val="2"/>
            <w:vMerge/>
            <w:tcBorders>
              <w:bottom w:val="single" w:sz="4" w:space="0" w:color="auto"/>
            </w:tcBorders>
            <w:vAlign w:val="center"/>
            <w:hideMark/>
          </w:tcPr>
          <w:p w14:paraId="12070472" w14:textId="77777777" w:rsidR="000904F0" w:rsidRPr="000904F0" w:rsidRDefault="000904F0" w:rsidP="000904F0">
            <w:pPr>
              <w:spacing w:after="0"/>
              <w:jc w:val="left"/>
              <w:rPr>
                <w:rFonts w:ascii="Tw Cen MT" w:hAnsi="Tw Cen MT"/>
                <w:b/>
                <w:bCs/>
                <w:color w:val="000000"/>
                <w:sz w:val="20"/>
                <w:szCs w:val="20"/>
              </w:rPr>
            </w:pPr>
          </w:p>
        </w:tc>
        <w:tc>
          <w:tcPr>
            <w:tcW w:w="4392" w:type="dxa"/>
            <w:vMerge/>
            <w:tcBorders>
              <w:bottom w:val="single" w:sz="4" w:space="0" w:color="auto"/>
            </w:tcBorders>
            <w:vAlign w:val="center"/>
            <w:hideMark/>
          </w:tcPr>
          <w:p w14:paraId="324246C8" w14:textId="77777777" w:rsidR="000904F0" w:rsidRPr="000904F0" w:rsidRDefault="000904F0" w:rsidP="000904F0">
            <w:pPr>
              <w:spacing w:after="0"/>
              <w:jc w:val="left"/>
              <w:rPr>
                <w:rFonts w:ascii="Tw Cen MT" w:hAnsi="Tw Cen MT"/>
                <w:b/>
                <w:bCs/>
                <w:color w:val="000000"/>
                <w:sz w:val="20"/>
                <w:szCs w:val="20"/>
              </w:rPr>
            </w:pPr>
          </w:p>
        </w:tc>
        <w:tc>
          <w:tcPr>
            <w:tcW w:w="1985" w:type="dxa"/>
            <w:tcBorders>
              <w:bottom w:val="single" w:sz="4" w:space="0" w:color="auto"/>
            </w:tcBorders>
            <w:shd w:val="clear" w:color="000000" w:fill="B8CCE4"/>
            <w:vAlign w:val="center"/>
            <w:hideMark/>
          </w:tcPr>
          <w:p w14:paraId="33A2376E" w14:textId="77777777" w:rsidR="000904F0" w:rsidRPr="000904F0" w:rsidRDefault="000904F0" w:rsidP="000904F0">
            <w:pPr>
              <w:spacing w:after="0"/>
              <w:jc w:val="center"/>
              <w:rPr>
                <w:rFonts w:ascii="Tw Cen MT" w:hAnsi="Tw Cen MT"/>
                <w:b/>
                <w:bCs/>
                <w:color w:val="000000"/>
                <w:sz w:val="20"/>
                <w:szCs w:val="20"/>
              </w:rPr>
            </w:pPr>
            <w:r w:rsidRPr="000904F0">
              <w:rPr>
                <w:rFonts w:ascii="Tw Cen MT" w:hAnsi="Tw Cen MT"/>
                <w:b/>
                <w:bCs/>
                <w:color w:val="000000"/>
                <w:sz w:val="20"/>
                <w:szCs w:val="20"/>
              </w:rPr>
              <w:t>Domestique</w:t>
            </w:r>
          </w:p>
        </w:tc>
        <w:tc>
          <w:tcPr>
            <w:tcW w:w="1984" w:type="dxa"/>
            <w:tcBorders>
              <w:bottom w:val="single" w:sz="4" w:space="0" w:color="auto"/>
              <w:right w:val="single" w:sz="4" w:space="0" w:color="auto"/>
            </w:tcBorders>
            <w:shd w:val="clear" w:color="000000" w:fill="B8CCE4"/>
            <w:vAlign w:val="center"/>
            <w:hideMark/>
          </w:tcPr>
          <w:p w14:paraId="71354974" w14:textId="77777777" w:rsidR="000904F0" w:rsidRPr="000904F0" w:rsidRDefault="000904F0" w:rsidP="000904F0">
            <w:pPr>
              <w:spacing w:after="0"/>
              <w:jc w:val="center"/>
              <w:rPr>
                <w:rFonts w:ascii="Tw Cen MT" w:hAnsi="Tw Cen MT"/>
                <w:b/>
                <w:bCs/>
                <w:color w:val="000000"/>
                <w:sz w:val="20"/>
                <w:szCs w:val="20"/>
              </w:rPr>
            </w:pPr>
            <w:r w:rsidRPr="000904F0">
              <w:rPr>
                <w:rFonts w:ascii="Tw Cen MT" w:hAnsi="Tw Cen MT"/>
                <w:b/>
                <w:bCs/>
                <w:color w:val="000000"/>
                <w:sz w:val="20"/>
                <w:szCs w:val="20"/>
              </w:rPr>
              <w:t>Internationale</w:t>
            </w:r>
          </w:p>
        </w:tc>
      </w:tr>
      <w:tr w:rsidR="000904F0" w:rsidRPr="000904F0" w14:paraId="3374952A" w14:textId="77777777" w:rsidTr="000904F0">
        <w:trPr>
          <w:trHeight w:val="285"/>
        </w:trPr>
        <w:tc>
          <w:tcPr>
            <w:tcW w:w="1007" w:type="dxa"/>
            <w:vMerge w:val="restart"/>
            <w:tcBorders>
              <w:top w:val="single" w:sz="4" w:space="0" w:color="auto"/>
              <w:left w:val="single" w:sz="4" w:space="0" w:color="auto"/>
              <w:bottom w:val="single" w:sz="4" w:space="0" w:color="auto"/>
              <w:right w:val="nil"/>
            </w:tcBorders>
            <w:shd w:val="clear" w:color="000000" w:fill="B8CCE4"/>
            <w:textDirection w:val="btLr"/>
            <w:vAlign w:val="center"/>
            <w:hideMark/>
          </w:tcPr>
          <w:p w14:paraId="2856CD8C" w14:textId="77777777" w:rsidR="000904F0" w:rsidRPr="000904F0" w:rsidRDefault="000904F0" w:rsidP="000904F0">
            <w:pPr>
              <w:spacing w:after="0"/>
              <w:jc w:val="center"/>
              <w:rPr>
                <w:rFonts w:ascii="Tw Cen MT" w:hAnsi="Tw Cen MT"/>
                <w:b/>
                <w:bCs/>
                <w:color w:val="000000"/>
                <w:sz w:val="20"/>
                <w:szCs w:val="20"/>
              </w:rPr>
            </w:pPr>
            <w:r w:rsidRPr="000904F0">
              <w:rPr>
                <w:rFonts w:ascii="Tw Cen MT" w:hAnsi="Tw Cen MT"/>
                <w:b/>
                <w:bCs/>
                <w:color w:val="000000"/>
                <w:sz w:val="20"/>
                <w:szCs w:val="20"/>
              </w:rPr>
              <w:t>SO 1.1 Renforcement des aspects de gouvernance</w:t>
            </w:r>
          </w:p>
        </w:tc>
        <w:tc>
          <w:tcPr>
            <w:tcW w:w="492"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251843BC" w14:textId="77777777" w:rsidR="000904F0" w:rsidRPr="000904F0" w:rsidRDefault="000904F0" w:rsidP="000904F0">
            <w:pPr>
              <w:spacing w:after="0"/>
              <w:jc w:val="center"/>
              <w:rPr>
                <w:rFonts w:ascii="Tw Cen MT" w:hAnsi="Tw Cen MT"/>
                <w:sz w:val="20"/>
                <w:szCs w:val="20"/>
              </w:rPr>
            </w:pPr>
            <w:r w:rsidRPr="000904F0">
              <w:rPr>
                <w:rFonts w:ascii="Tw Cen MT" w:hAnsi="Tw Cen MT"/>
                <w:sz w:val="20"/>
                <w:szCs w:val="20"/>
              </w:rPr>
              <w:t>111</w:t>
            </w:r>
          </w:p>
        </w:tc>
        <w:tc>
          <w:tcPr>
            <w:tcW w:w="3748" w:type="dxa"/>
            <w:vMerge w:val="restart"/>
            <w:tcBorders>
              <w:top w:val="single" w:sz="4" w:space="0" w:color="auto"/>
              <w:left w:val="nil"/>
              <w:bottom w:val="single" w:sz="4" w:space="0" w:color="000000"/>
              <w:right w:val="nil"/>
            </w:tcBorders>
            <w:shd w:val="clear" w:color="auto" w:fill="auto"/>
            <w:vAlign w:val="center"/>
            <w:hideMark/>
          </w:tcPr>
          <w:p w14:paraId="2EEB4EE7"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Finalisation du processus de révision du cadre juridique en cours dans les secteurs forêts environnement</w:t>
            </w:r>
          </w:p>
        </w:tc>
        <w:tc>
          <w:tcPr>
            <w:tcW w:w="4392" w:type="dxa"/>
            <w:tcBorders>
              <w:top w:val="single" w:sz="4" w:space="0" w:color="auto"/>
              <w:left w:val="nil"/>
              <w:bottom w:val="nil"/>
              <w:right w:val="nil"/>
            </w:tcBorders>
            <w:shd w:val="clear" w:color="auto" w:fill="auto"/>
            <w:vAlign w:val="center"/>
            <w:hideMark/>
          </w:tcPr>
          <w:p w14:paraId="143EB1F6"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Amender / Adopter le nouveau code forestier</w:t>
            </w:r>
          </w:p>
        </w:tc>
        <w:tc>
          <w:tcPr>
            <w:tcW w:w="1985" w:type="dxa"/>
            <w:tcBorders>
              <w:top w:val="single" w:sz="4" w:space="0" w:color="auto"/>
              <w:left w:val="nil"/>
              <w:bottom w:val="nil"/>
              <w:right w:val="nil"/>
            </w:tcBorders>
            <w:shd w:val="thinDiagStripe" w:color="BFBFBF" w:fill="FFFFFF"/>
            <w:vAlign w:val="center"/>
            <w:hideMark/>
          </w:tcPr>
          <w:p w14:paraId="443DED21"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 </w:t>
            </w:r>
          </w:p>
        </w:tc>
        <w:tc>
          <w:tcPr>
            <w:tcW w:w="1984" w:type="dxa"/>
            <w:tcBorders>
              <w:top w:val="single" w:sz="4" w:space="0" w:color="auto"/>
              <w:left w:val="nil"/>
              <w:bottom w:val="nil"/>
              <w:right w:val="single" w:sz="4" w:space="0" w:color="auto"/>
            </w:tcBorders>
            <w:shd w:val="thinDiagStripe" w:color="BFBFBF" w:fill="FFFFFF"/>
            <w:vAlign w:val="center"/>
            <w:hideMark/>
          </w:tcPr>
          <w:p w14:paraId="16BEDEC3" w14:textId="77777777" w:rsidR="000904F0" w:rsidRPr="000904F0" w:rsidRDefault="000904F0" w:rsidP="000904F0">
            <w:pPr>
              <w:spacing w:after="0"/>
              <w:jc w:val="left"/>
              <w:rPr>
                <w:rFonts w:ascii="Tw Cen MT" w:hAnsi="Tw Cen MT"/>
                <w:color w:val="000000"/>
                <w:sz w:val="20"/>
                <w:szCs w:val="20"/>
              </w:rPr>
            </w:pPr>
            <w:r w:rsidRPr="000904F0">
              <w:rPr>
                <w:rFonts w:ascii="Tw Cen MT" w:hAnsi="Tw Cen MT"/>
                <w:color w:val="000000"/>
                <w:sz w:val="20"/>
                <w:szCs w:val="20"/>
              </w:rPr>
              <w:t> </w:t>
            </w:r>
          </w:p>
        </w:tc>
      </w:tr>
      <w:tr w:rsidR="000904F0" w:rsidRPr="000904F0" w14:paraId="517AD821" w14:textId="77777777" w:rsidTr="000904F0">
        <w:trPr>
          <w:trHeight w:val="555"/>
        </w:trPr>
        <w:tc>
          <w:tcPr>
            <w:tcW w:w="1007" w:type="dxa"/>
            <w:vMerge/>
            <w:tcBorders>
              <w:top w:val="nil"/>
              <w:left w:val="single" w:sz="4" w:space="0" w:color="auto"/>
              <w:bottom w:val="single" w:sz="4" w:space="0" w:color="auto"/>
              <w:right w:val="nil"/>
            </w:tcBorders>
            <w:vAlign w:val="center"/>
            <w:hideMark/>
          </w:tcPr>
          <w:p w14:paraId="1A8B3A30" w14:textId="77777777" w:rsidR="000904F0" w:rsidRPr="000904F0" w:rsidRDefault="000904F0" w:rsidP="000904F0">
            <w:pPr>
              <w:spacing w:after="0"/>
              <w:jc w:val="left"/>
              <w:rPr>
                <w:rFonts w:ascii="Tw Cen MT" w:hAnsi="Tw Cen MT"/>
                <w:b/>
                <w:bCs/>
                <w:color w:val="000000"/>
                <w:sz w:val="20"/>
                <w:szCs w:val="20"/>
              </w:rPr>
            </w:pPr>
          </w:p>
        </w:tc>
        <w:tc>
          <w:tcPr>
            <w:tcW w:w="492" w:type="dxa"/>
            <w:vMerge/>
            <w:tcBorders>
              <w:top w:val="single" w:sz="4" w:space="0" w:color="auto"/>
              <w:left w:val="single" w:sz="4" w:space="0" w:color="auto"/>
              <w:bottom w:val="single" w:sz="4" w:space="0" w:color="000000"/>
              <w:right w:val="nil"/>
            </w:tcBorders>
            <w:vAlign w:val="center"/>
            <w:hideMark/>
          </w:tcPr>
          <w:p w14:paraId="6A43F350" w14:textId="77777777" w:rsidR="000904F0" w:rsidRPr="000904F0" w:rsidRDefault="000904F0" w:rsidP="000904F0">
            <w:pPr>
              <w:spacing w:after="0"/>
              <w:jc w:val="left"/>
              <w:rPr>
                <w:rFonts w:ascii="Tw Cen MT" w:hAnsi="Tw Cen MT"/>
                <w:color w:val="000000"/>
                <w:sz w:val="20"/>
                <w:szCs w:val="20"/>
              </w:rPr>
            </w:pPr>
          </w:p>
        </w:tc>
        <w:tc>
          <w:tcPr>
            <w:tcW w:w="3748" w:type="dxa"/>
            <w:vMerge/>
            <w:tcBorders>
              <w:top w:val="single" w:sz="4" w:space="0" w:color="auto"/>
              <w:left w:val="nil"/>
              <w:bottom w:val="single" w:sz="4" w:space="0" w:color="000000"/>
              <w:right w:val="nil"/>
            </w:tcBorders>
            <w:vAlign w:val="center"/>
            <w:hideMark/>
          </w:tcPr>
          <w:p w14:paraId="4BDA46E3" w14:textId="77777777" w:rsidR="000904F0" w:rsidRPr="000904F0" w:rsidRDefault="000904F0" w:rsidP="000904F0">
            <w:pPr>
              <w:spacing w:after="0"/>
              <w:jc w:val="left"/>
              <w:rPr>
                <w:rFonts w:ascii="Tw Cen MT" w:hAnsi="Tw Cen MT"/>
                <w:sz w:val="20"/>
                <w:szCs w:val="20"/>
              </w:rPr>
            </w:pPr>
          </w:p>
        </w:tc>
        <w:tc>
          <w:tcPr>
            <w:tcW w:w="4392" w:type="dxa"/>
            <w:tcBorders>
              <w:top w:val="nil"/>
              <w:left w:val="nil"/>
              <w:bottom w:val="nil"/>
              <w:right w:val="nil"/>
            </w:tcBorders>
            <w:shd w:val="clear" w:color="auto" w:fill="auto"/>
            <w:vAlign w:val="center"/>
            <w:hideMark/>
          </w:tcPr>
          <w:p w14:paraId="0FDE51DA"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Elaborer et valider les décrets d’application relatifs au nouveau code forestier</w:t>
            </w:r>
          </w:p>
        </w:tc>
        <w:tc>
          <w:tcPr>
            <w:tcW w:w="1985" w:type="dxa"/>
            <w:tcBorders>
              <w:top w:val="nil"/>
              <w:left w:val="nil"/>
              <w:bottom w:val="nil"/>
              <w:right w:val="nil"/>
            </w:tcBorders>
            <w:shd w:val="clear" w:color="auto" w:fill="auto"/>
            <w:vAlign w:val="center"/>
            <w:hideMark/>
          </w:tcPr>
          <w:p w14:paraId="5EF6D470"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Gouvernement</w:t>
            </w:r>
          </w:p>
        </w:tc>
        <w:tc>
          <w:tcPr>
            <w:tcW w:w="1984" w:type="dxa"/>
            <w:tcBorders>
              <w:top w:val="nil"/>
              <w:left w:val="nil"/>
              <w:bottom w:val="nil"/>
              <w:right w:val="single" w:sz="4" w:space="0" w:color="auto"/>
            </w:tcBorders>
            <w:shd w:val="clear" w:color="auto" w:fill="auto"/>
            <w:vAlign w:val="center"/>
            <w:hideMark/>
          </w:tcPr>
          <w:p w14:paraId="3E40A807"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BM (PFDE</w:t>
            </w:r>
            <w:proofErr w:type="gramStart"/>
            <w:r w:rsidRPr="000904F0">
              <w:rPr>
                <w:rFonts w:ascii="Tw Cen MT" w:hAnsi="Tw Cen MT"/>
                <w:sz w:val="20"/>
                <w:szCs w:val="20"/>
              </w:rPr>
              <w:t>)</w:t>
            </w:r>
            <w:proofErr w:type="gramEnd"/>
            <w:r w:rsidRPr="000904F0">
              <w:rPr>
                <w:rFonts w:ascii="Tw Cen MT" w:hAnsi="Tw Cen MT"/>
                <w:sz w:val="20"/>
                <w:szCs w:val="20"/>
              </w:rPr>
              <w:br/>
              <w:t>DFID</w:t>
            </w:r>
          </w:p>
        </w:tc>
      </w:tr>
      <w:tr w:rsidR="000904F0" w:rsidRPr="000904F0" w14:paraId="46665B48" w14:textId="77777777" w:rsidTr="000904F0">
        <w:trPr>
          <w:trHeight w:val="285"/>
        </w:trPr>
        <w:tc>
          <w:tcPr>
            <w:tcW w:w="1007" w:type="dxa"/>
            <w:vMerge/>
            <w:tcBorders>
              <w:top w:val="nil"/>
              <w:left w:val="single" w:sz="4" w:space="0" w:color="auto"/>
              <w:bottom w:val="single" w:sz="4" w:space="0" w:color="auto"/>
              <w:right w:val="nil"/>
            </w:tcBorders>
            <w:vAlign w:val="center"/>
            <w:hideMark/>
          </w:tcPr>
          <w:p w14:paraId="70C23DAE" w14:textId="77777777" w:rsidR="000904F0" w:rsidRPr="000904F0" w:rsidRDefault="000904F0" w:rsidP="000904F0">
            <w:pPr>
              <w:spacing w:after="0"/>
              <w:jc w:val="left"/>
              <w:rPr>
                <w:rFonts w:ascii="Tw Cen MT" w:hAnsi="Tw Cen MT"/>
                <w:b/>
                <w:bCs/>
                <w:color w:val="000000"/>
                <w:sz w:val="20"/>
                <w:szCs w:val="20"/>
              </w:rPr>
            </w:pPr>
          </w:p>
        </w:tc>
        <w:tc>
          <w:tcPr>
            <w:tcW w:w="492" w:type="dxa"/>
            <w:vMerge/>
            <w:tcBorders>
              <w:top w:val="single" w:sz="4" w:space="0" w:color="auto"/>
              <w:left w:val="single" w:sz="4" w:space="0" w:color="auto"/>
              <w:bottom w:val="single" w:sz="4" w:space="0" w:color="000000"/>
              <w:right w:val="nil"/>
            </w:tcBorders>
            <w:vAlign w:val="center"/>
            <w:hideMark/>
          </w:tcPr>
          <w:p w14:paraId="66C5384A" w14:textId="77777777" w:rsidR="000904F0" w:rsidRPr="000904F0" w:rsidRDefault="000904F0" w:rsidP="000904F0">
            <w:pPr>
              <w:spacing w:after="0"/>
              <w:jc w:val="left"/>
              <w:rPr>
                <w:rFonts w:ascii="Tw Cen MT" w:hAnsi="Tw Cen MT"/>
                <w:color w:val="000000"/>
                <w:sz w:val="20"/>
                <w:szCs w:val="20"/>
              </w:rPr>
            </w:pPr>
          </w:p>
        </w:tc>
        <w:tc>
          <w:tcPr>
            <w:tcW w:w="3748" w:type="dxa"/>
            <w:vMerge/>
            <w:tcBorders>
              <w:top w:val="single" w:sz="4" w:space="0" w:color="auto"/>
              <w:left w:val="nil"/>
              <w:bottom w:val="single" w:sz="4" w:space="0" w:color="000000"/>
              <w:right w:val="nil"/>
            </w:tcBorders>
            <w:vAlign w:val="center"/>
            <w:hideMark/>
          </w:tcPr>
          <w:p w14:paraId="370D674B" w14:textId="77777777" w:rsidR="000904F0" w:rsidRPr="000904F0" w:rsidRDefault="000904F0" w:rsidP="000904F0">
            <w:pPr>
              <w:spacing w:after="0"/>
              <w:jc w:val="left"/>
              <w:rPr>
                <w:rFonts w:ascii="Tw Cen MT" w:hAnsi="Tw Cen MT"/>
                <w:sz w:val="20"/>
                <w:szCs w:val="20"/>
              </w:rPr>
            </w:pPr>
          </w:p>
        </w:tc>
        <w:tc>
          <w:tcPr>
            <w:tcW w:w="4392" w:type="dxa"/>
            <w:tcBorders>
              <w:top w:val="nil"/>
              <w:left w:val="nil"/>
              <w:bottom w:val="nil"/>
              <w:right w:val="nil"/>
            </w:tcBorders>
            <w:shd w:val="clear" w:color="auto" w:fill="auto"/>
            <w:vAlign w:val="center"/>
            <w:hideMark/>
          </w:tcPr>
          <w:p w14:paraId="18407E1E"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Elaborer / Adopter la nouvelle loi relative à la protection de l’environnement</w:t>
            </w:r>
          </w:p>
        </w:tc>
        <w:tc>
          <w:tcPr>
            <w:tcW w:w="1985" w:type="dxa"/>
            <w:tcBorders>
              <w:top w:val="nil"/>
              <w:left w:val="nil"/>
              <w:bottom w:val="nil"/>
              <w:right w:val="nil"/>
            </w:tcBorders>
            <w:shd w:val="thinDiagStripe" w:color="BFBFBF" w:fill="FFFFFF"/>
            <w:vAlign w:val="center"/>
            <w:hideMark/>
          </w:tcPr>
          <w:p w14:paraId="7D32FE84"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 </w:t>
            </w:r>
          </w:p>
        </w:tc>
        <w:tc>
          <w:tcPr>
            <w:tcW w:w="1984" w:type="dxa"/>
            <w:tcBorders>
              <w:top w:val="nil"/>
              <w:left w:val="nil"/>
              <w:bottom w:val="nil"/>
              <w:right w:val="single" w:sz="4" w:space="0" w:color="auto"/>
            </w:tcBorders>
            <w:shd w:val="thinDiagStripe" w:color="BFBFBF" w:fill="FFFFFF"/>
            <w:vAlign w:val="center"/>
            <w:hideMark/>
          </w:tcPr>
          <w:p w14:paraId="285B01F2"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 </w:t>
            </w:r>
          </w:p>
        </w:tc>
      </w:tr>
      <w:tr w:rsidR="000904F0" w:rsidRPr="000904F0" w14:paraId="64021A9C" w14:textId="77777777" w:rsidTr="000904F0">
        <w:trPr>
          <w:trHeight w:val="510"/>
        </w:trPr>
        <w:tc>
          <w:tcPr>
            <w:tcW w:w="1007" w:type="dxa"/>
            <w:vMerge/>
            <w:tcBorders>
              <w:top w:val="nil"/>
              <w:left w:val="single" w:sz="4" w:space="0" w:color="auto"/>
              <w:bottom w:val="single" w:sz="4" w:space="0" w:color="auto"/>
              <w:right w:val="nil"/>
            </w:tcBorders>
            <w:vAlign w:val="center"/>
            <w:hideMark/>
          </w:tcPr>
          <w:p w14:paraId="5FC8C61A" w14:textId="77777777" w:rsidR="000904F0" w:rsidRPr="000904F0" w:rsidRDefault="000904F0" w:rsidP="000904F0">
            <w:pPr>
              <w:spacing w:after="0"/>
              <w:jc w:val="left"/>
              <w:rPr>
                <w:rFonts w:ascii="Tw Cen MT" w:hAnsi="Tw Cen MT"/>
                <w:b/>
                <w:bCs/>
                <w:color w:val="000000"/>
                <w:sz w:val="20"/>
                <w:szCs w:val="20"/>
              </w:rPr>
            </w:pPr>
          </w:p>
        </w:tc>
        <w:tc>
          <w:tcPr>
            <w:tcW w:w="492" w:type="dxa"/>
            <w:vMerge/>
            <w:tcBorders>
              <w:top w:val="single" w:sz="4" w:space="0" w:color="auto"/>
              <w:left w:val="single" w:sz="4" w:space="0" w:color="auto"/>
              <w:bottom w:val="single" w:sz="4" w:space="0" w:color="000000"/>
              <w:right w:val="nil"/>
            </w:tcBorders>
            <w:vAlign w:val="center"/>
            <w:hideMark/>
          </w:tcPr>
          <w:p w14:paraId="3464B155" w14:textId="77777777" w:rsidR="000904F0" w:rsidRPr="000904F0" w:rsidRDefault="000904F0" w:rsidP="000904F0">
            <w:pPr>
              <w:spacing w:after="0"/>
              <w:jc w:val="left"/>
              <w:rPr>
                <w:rFonts w:ascii="Tw Cen MT" w:hAnsi="Tw Cen MT"/>
                <w:color w:val="000000"/>
                <w:sz w:val="20"/>
                <w:szCs w:val="20"/>
              </w:rPr>
            </w:pPr>
          </w:p>
        </w:tc>
        <w:tc>
          <w:tcPr>
            <w:tcW w:w="3748" w:type="dxa"/>
            <w:vMerge/>
            <w:tcBorders>
              <w:top w:val="single" w:sz="4" w:space="0" w:color="auto"/>
              <w:left w:val="nil"/>
              <w:bottom w:val="single" w:sz="4" w:space="0" w:color="000000"/>
              <w:right w:val="nil"/>
            </w:tcBorders>
            <w:vAlign w:val="center"/>
            <w:hideMark/>
          </w:tcPr>
          <w:p w14:paraId="15F3D436" w14:textId="77777777" w:rsidR="000904F0" w:rsidRPr="000904F0" w:rsidRDefault="000904F0" w:rsidP="000904F0">
            <w:pPr>
              <w:spacing w:after="0"/>
              <w:jc w:val="left"/>
              <w:rPr>
                <w:rFonts w:ascii="Tw Cen MT" w:hAnsi="Tw Cen MT"/>
                <w:sz w:val="20"/>
                <w:szCs w:val="20"/>
              </w:rPr>
            </w:pPr>
          </w:p>
        </w:tc>
        <w:tc>
          <w:tcPr>
            <w:tcW w:w="4392" w:type="dxa"/>
            <w:tcBorders>
              <w:top w:val="nil"/>
              <w:left w:val="nil"/>
              <w:bottom w:val="nil"/>
              <w:right w:val="nil"/>
            </w:tcBorders>
            <w:shd w:val="clear" w:color="auto" w:fill="auto"/>
            <w:vAlign w:val="center"/>
            <w:hideMark/>
          </w:tcPr>
          <w:p w14:paraId="4620D649"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Elaborer et valider les décrets d’application de la nouvelle loi relative à la protection de l'environnement</w:t>
            </w:r>
          </w:p>
        </w:tc>
        <w:tc>
          <w:tcPr>
            <w:tcW w:w="1985" w:type="dxa"/>
            <w:tcBorders>
              <w:top w:val="nil"/>
              <w:left w:val="nil"/>
              <w:bottom w:val="nil"/>
              <w:right w:val="nil"/>
            </w:tcBorders>
            <w:shd w:val="clear" w:color="auto" w:fill="auto"/>
            <w:vAlign w:val="center"/>
            <w:hideMark/>
          </w:tcPr>
          <w:p w14:paraId="74C990F9"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Gouvernement</w:t>
            </w:r>
          </w:p>
        </w:tc>
        <w:tc>
          <w:tcPr>
            <w:tcW w:w="1984" w:type="dxa"/>
            <w:tcBorders>
              <w:top w:val="nil"/>
              <w:left w:val="nil"/>
              <w:bottom w:val="nil"/>
              <w:right w:val="single" w:sz="4" w:space="0" w:color="auto"/>
            </w:tcBorders>
            <w:shd w:val="clear" w:color="auto" w:fill="auto"/>
            <w:vAlign w:val="center"/>
            <w:hideMark/>
          </w:tcPr>
          <w:p w14:paraId="73CB9438"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BM</w:t>
            </w:r>
            <w:r w:rsidRPr="000904F0">
              <w:rPr>
                <w:rFonts w:ascii="Tw Cen MT" w:hAnsi="Tw Cen MT"/>
                <w:sz w:val="20"/>
                <w:szCs w:val="20"/>
              </w:rPr>
              <w:br/>
              <w:t>USAID</w:t>
            </w:r>
          </w:p>
        </w:tc>
      </w:tr>
      <w:tr w:rsidR="000904F0" w:rsidRPr="000904F0" w14:paraId="38DEA521" w14:textId="77777777" w:rsidTr="000904F0">
        <w:trPr>
          <w:trHeight w:val="510"/>
        </w:trPr>
        <w:tc>
          <w:tcPr>
            <w:tcW w:w="1007" w:type="dxa"/>
            <w:vMerge/>
            <w:tcBorders>
              <w:top w:val="nil"/>
              <w:left w:val="single" w:sz="4" w:space="0" w:color="auto"/>
              <w:bottom w:val="single" w:sz="4" w:space="0" w:color="auto"/>
              <w:right w:val="nil"/>
            </w:tcBorders>
            <w:vAlign w:val="center"/>
            <w:hideMark/>
          </w:tcPr>
          <w:p w14:paraId="3FC3ACA9" w14:textId="77777777" w:rsidR="000904F0" w:rsidRPr="000904F0" w:rsidRDefault="000904F0" w:rsidP="000904F0">
            <w:pPr>
              <w:spacing w:after="0"/>
              <w:jc w:val="left"/>
              <w:rPr>
                <w:rFonts w:ascii="Tw Cen MT" w:hAnsi="Tw Cen MT"/>
                <w:b/>
                <w:bCs/>
                <w:color w:val="000000"/>
                <w:sz w:val="20"/>
                <w:szCs w:val="20"/>
              </w:rPr>
            </w:pPr>
          </w:p>
        </w:tc>
        <w:tc>
          <w:tcPr>
            <w:tcW w:w="492" w:type="dxa"/>
            <w:vMerge/>
            <w:tcBorders>
              <w:top w:val="single" w:sz="4" w:space="0" w:color="auto"/>
              <w:left w:val="single" w:sz="4" w:space="0" w:color="auto"/>
              <w:bottom w:val="single" w:sz="4" w:space="0" w:color="000000"/>
              <w:right w:val="nil"/>
            </w:tcBorders>
            <w:vAlign w:val="center"/>
            <w:hideMark/>
          </w:tcPr>
          <w:p w14:paraId="50C3AF01" w14:textId="77777777" w:rsidR="000904F0" w:rsidRPr="000904F0" w:rsidRDefault="000904F0" w:rsidP="000904F0">
            <w:pPr>
              <w:spacing w:after="0"/>
              <w:jc w:val="left"/>
              <w:rPr>
                <w:rFonts w:ascii="Tw Cen MT" w:hAnsi="Tw Cen MT"/>
                <w:color w:val="000000"/>
                <w:sz w:val="20"/>
                <w:szCs w:val="20"/>
              </w:rPr>
            </w:pPr>
          </w:p>
        </w:tc>
        <w:tc>
          <w:tcPr>
            <w:tcW w:w="3748" w:type="dxa"/>
            <w:vMerge/>
            <w:tcBorders>
              <w:top w:val="single" w:sz="4" w:space="0" w:color="auto"/>
              <w:left w:val="nil"/>
              <w:bottom w:val="single" w:sz="4" w:space="0" w:color="000000"/>
              <w:right w:val="nil"/>
            </w:tcBorders>
            <w:vAlign w:val="center"/>
            <w:hideMark/>
          </w:tcPr>
          <w:p w14:paraId="7E1D8A82" w14:textId="77777777" w:rsidR="000904F0" w:rsidRPr="000904F0" w:rsidRDefault="000904F0" w:rsidP="000904F0">
            <w:pPr>
              <w:spacing w:after="0"/>
              <w:jc w:val="left"/>
              <w:rPr>
                <w:rFonts w:ascii="Tw Cen MT" w:hAnsi="Tw Cen MT"/>
                <w:sz w:val="20"/>
                <w:szCs w:val="20"/>
              </w:rPr>
            </w:pPr>
          </w:p>
        </w:tc>
        <w:tc>
          <w:tcPr>
            <w:tcW w:w="4392" w:type="dxa"/>
            <w:tcBorders>
              <w:top w:val="nil"/>
              <w:left w:val="nil"/>
              <w:bottom w:val="nil"/>
              <w:right w:val="nil"/>
            </w:tcBorders>
            <w:shd w:val="clear" w:color="auto" w:fill="auto"/>
            <w:vAlign w:val="center"/>
            <w:hideMark/>
          </w:tcPr>
          <w:p w14:paraId="4E579290"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Elaborer valider les décrets d’application de la loi 37-2008 relative à la faune et AP</w:t>
            </w:r>
          </w:p>
        </w:tc>
        <w:tc>
          <w:tcPr>
            <w:tcW w:w="1985" w:type="dxa"/>
            <w:tcBorders>
              <w:top w:val="nil"/>
              <w:left w:val="nil"/>
              <w:bottom w:val="nil"/>
              <w:right w:val="nil"/>
            </w:tcBorders>
            <w:shd w:val="thinDiagStripe" w:color="BFBFBF" w:fill="FFFFFF"/>
            <w:vAlign w:val="center"/>
            <w:hideMark/>
          </w:tcPr>
          <w:p w14:paraId="109E898A"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 </w:t>
            </w:r>
          </w:p>
        </w:tc>
        <w:tc>
          <w:tcPr>
            <w:tcW w:w="1984" w:type="dxa"/>
            <w:tcBorders>
              <w:top w:val="nil"/>
              <w:left w:val="nil"/>
              <w:bottom w:val="nil"/>
              <w:right w:val="single" w:sz="4" w:space="0" w:color="auto"/>
            </w:tcBorders>
            <w:shd w:val="thinDiagStripe" w:color="BFBFBF" w:fill="FFFFFF"/>
            <w:vAlign w:val="center"/>
            <w:hideMark/>
          </w:tcPr>
          <w:p w14:paraId="2D0F23D6"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 </w:t>
            </w:r>
          </w:p>
        </w:tc>
      </w:tr>
      <w:tr w:rsidR="000904F0" w:rsidRPr="000904F0" w14:paraId="57F47616" w14:textId="77777777" w:rsidTr="000904F0">
        <w:trPr>
          <w:trHeight w:val="285"/>
        </w:trPr>
        <w:tc>
          <w:tcPr>
            <w:tcW w:w="1007" w:type="dxa"/>
            <w:vMerge/>
            <w:tcBorders>
              <w:top w:val="nil"/>
              <w:left w:val="single" w:sz="4" w:space="0" w:color="auto"/>
              <w:bottom w:val="single" w:sz="4" w:space="0" w:color="auto"/>
              <w:right w:val="nil"/>
            </w:tcBorders>
            <w:vAlign w:val="center"/>
            <w:hideMark/>
          </w:tcPr>
          <w:p w14:paraId="5071BB67" w14:textId="77777777" w:rsidR="000904F0" w:rsidRPr="000904F0" w:rsidRDefault="000904F0" w:rsidP="000904F0">
            <w:pPr>
              <w:spacing w:after="0"/>
              <w:jc w:val="left"/>
              <w:rPr>
                <w:rFonts w:ascii="Tw Cen MT" w:hAnsi="Tw Cen MT"/>
                <w:b/>
                <w:bCs/>
                <w:color w:val="000000"/>
                <w:sz w:val="20"/>
                <w:szCs w:val="20"/>
              </w:rPr>
            </w:pPr>
          </w:p>
        </w:tc>
        <w:tc>
          <w:tcPr>
            <w:tcW w:w="492" w:type="dxa"/>
            <w:vMerge/>
            <w:tcBorders>
              <w:top w:val="single" w:sz="4" w:space="0" w:color="auto"/>
              <w:left w:val="single" w:sz="4" w:space="0" w:color="auto"/>
              <w:bottom w:val="single" w:sz="4" w:space="0" w:color="000000"/>
              <w:right w:val="nil"/>
            </w:tcBorders>
            <w:vAlign w:val="center"/>
            <w:hideMark/>
          </w:tcPr>
          <w:p w14:paraId="362F4525" w14:textId="77777777" w:rsidR="000904F0" w:rsidRPr="000904F0" w:rsidRDefault="000904F0" w:rsidP="000904F0">
            <w:pPr>
              <w:spacing w:after="0"/>
              <w:jc w:val="left"/>
              <w:rPr>
                <w:rFonts w:ascii="Tw Cen MT" w:hAnsi="Tw Cen MT"/>
                <w:color w:val="000000"/>
                <w:sz w:val="20"/>
                <w:szCs w:val="20"/>
              </w:rPr>
            </w:pPr>
          </w:p>
        </w:tc>
        <w:tc>
          <w:tcPr>
            <w:tcW w:w="3748" w:type="dxa"/>
            <w:vMerge/>
            <w:tcBorders>
              <w:top w:val="single" w:sz="4" w:space="0" w:color="auto"/>
              <w:left w:val="nil"/>
              <w:bottom w:val="single" w:sz="4" w:space="0" w:color="000000"/>
              <w:right w:val="nil"/>
            </w:tcBorders>
            <w:vAlign w:val="center"/>
            <w:hideMark/>
          </w:tcPr>
          <w:p w14:paraId="4E7C7767" w14:textId="77777777" w:rsidR="000904F0" w:rsidRPr="000904F0" w:rsidRDefault="000904F0" w:rsidP="000904F0">
            <w:pPr>
              <w:spacing w:after="0"/>
              <w:jc w:val="left"/>
              <w:rPr>
                <w:rFonts w:ascii="Tw Cen MT" w:hAnsi="Tw Cen MT"/>
                <w:sz w:val="20"/>
                <w:szCs w:val="20"/>
              </w:rPr>
            </w:pPr>
          </w:p>
        </w:tc>
        <w:tc>
          <w:tcPr>
            <w:tcW w:w="4392" w:type="dxa"/>
            <w:tcBorders>
              <w:top w:val="nil"/>
              <w:left w:val="nil"/>
              <w:bottom w:val="nil"/>
              <w:right w:val="nil"/>
            </w:tcBorders>
            <w:shd w:val="clear" w:color="auto" w:fill="auto"/>
            <w:vAlign w:val="center"/>
            <w:hideMark/>
          </w:tcPr>
          <w:p w14:paraId="17FD97E4"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Réviser le Code Minier de 2005</w:t>
            </w:r>
          </w:p>
        </w:tc>
        <w:tc>
          <w:tcPr>
            <w:tcW w:w="1985" w:type="dxa"/>
            <w:tcBorders>
              <w:top w:val="nil"/>
              <w:left w:val="nil"/>
              <w:bottom w:val="nil"/>
              <w:right w:val="nil"/>
            </w:tcBorders>
            <w:shd w:val="clear" w:color="auto" w:fill="auto"/>
            <w:vAlign w:val="center"/>
            <w:hideMark/>
          </w:tcPr>
          <w:p w14:paraId="76B8C7C3"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Gouvernement</w:t>
            </w:r>
          </w:p>
        </w:tc>
        <w:tc>
          <w:tcPr>
            <w:tcW w:w="1984" w:type="dxa"/>
            <w:tcBorders>
              <w:top w:val="nil"/>
              <w:left w:val="nil"/>
              <w:bottom w:val="nil"/>
              <w:right w:val="single" w:sz="4" w:space="0" w:color="auto"/>
            </w:tcBorders>
            <w:shd w:val="clear" w:color="auto" w:fill="auto"/>
            <w:vAlign w:val="center"/>
            <w:hideMark/>
          </w:tcPr>
          <w:p w14:paraId="29D47E0D"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w:t>
            </w:r>
          </w:p>
        </w:tc>
      </w:tr>
      <w:tr w:rsidR="000904F0" w:rsidRPr="000904F0" w14:paraId="76F5F470" w14:textId="77777777" w:rsidTr="000904F0">
        <w:trPr>
          <w:trHeight w:val="285"/>
        </w:trPr>
        <w:tc>
          <w:tcPr>
            <w:tcW w:w="1007" w:type="dxa"/>
            <w:vMerge/>
            <w:tcBorders>
              <w:top w:val="nil"/>
              <w:left w:val="single" w:sz="4" w:space="0" w:color="auto"/>
              <w:bottom w:val="single" w:sz="4" w:space="0" w:color="auto"/>
              <w:right w:val="nil"/>
            </w:tcBorders>
            <w:vAlign w:val="center"/>
            <w:hideMark/>
          </w:tcPr>
          <w:p w14:paraId="58632121" w14:textId="77777777" w:rsidR="000904F0" w:rsidRPr="000904F0" w:rsidRDefault="000904F0" w:rsidP="000904F0">
            <w:pPr>
              <w:spacing w:after="0"/>
              <w:jc w:val="left"/>
              <w:rPr>
                <w:rFonts w:ascii="Tw Cen MT" w:hAnsi="Tw Cen MT"/>
                <w:b/>
                <w:bCs/>
                <w:color w:val="000000"/>
                <w:sz w:val="20"/>
                <w:szCs w:val="20"/>
              </w:rPr>
            </w:pPr>
          </w:p>
        </w:tc>
        <w:tc>
          <w:tcPr>
            <w:tcW w:w="492" w:type="dxa"/>
            <w:vMerge/>
            <w:tcBorders>
              <w:top w:val="single" w:sz="4" w:space="0" w:color="auto"/>
              <w:left w:val="single" w:sz="4" w:space="0" w:color="auto"/>
              <w:bottom w:val="single" w:sz="4" w:space="0" w:color="000000"/>
              <w:right w:val="nil"/>
            </w:tcBorders>
            <w:vAlign w:val="center"/>
            <w:hideMark/>
          </w:tcPr>
          <w:p w14:paraId="6DFAC17B" w14:textId="77777777" w:rsidR="000904F0" w:rsidRPr="000904F0" w:rsidRDefault="000904F0" w:rsidP="000904F0">
            <w:pPr>
              <w:spacing w:after="0"/>
              <w:jc w:val="left"/>
              <w:rPr>
                <w:rFonts w:ascii="Tw Cen MT" w:hAnsi="Tw Cen MT"/>
                <w:color w:val="000000"/>
                <w:sz w:val="20"/>
                <w:szCs w:val="20"/>
              </w:rPr>
            </w:pPr>
          </w:p>
        </w:tc>
        <w:tc>
          <w:tcPr>
            <w:tcW w:w="3748" w:type="dxa"/>
            <w:vMerge/>
            <w:tcBorders>
              <w:top w:val="single" w:sz="4" w:space="0" w:color="auto"/>
              <w:left w:val="nil"/>
              <w:bottom w:val="single" w:sz="4" w:space="0" w:color="000000"/>
              <w:right w:val="nil"/>
            </w:tcBorders>
            <w:vAlign w:val="center"/>
            <w:hideMark/>
          </w:tcPr>
          <w:p w14:paraId="47DD8B5C" w14:textId="77777777" w:rsidR="000904F0" w:rsidRPr="000904F0" w:rsidRDefault="000904F0" w:rsidP="000904F0">
            <w:pPr>
              <w:spacing w:after="0"/>
              <w:jc w:val="left"/>
              <w:rPr>
                <w:rFonts w:ascii="Tw Cen MT" w:hAnsi="Tw Cen MT"/>
                <w:sz w:val="20"/>
                <w:szCs w:val="20"/>
              </w:rPr>
            </w:pPr>
          </w:p>
        </w:tc>
        <w:tc>
          <w:tcPr>
            <w:tcW w:w="4392" w:type="dxa"/>
            <w:tcBorders>
              <w:top w:val="nil"/>
              <w:left w:val="nil"/>
              <w:bottom w:val="nil"/>
              <w:right w:val="nil"/>
            </w:tcBorders>
            <w:shd w:val="clear" w:color="auto" w:fill="auto"/>
            <w:vAlign w:val="center"/>
            <w:hideMark/>
          </w:tcPr>
          <w:p w14:paraId="1938360B"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Elaborer et valider les décrets d'application du Code Minier révisé</w:t>
            </w:r>
          </w:p>
        </w:tc>
        <w:tc>
          <w:tcPr>
            <w:tcW w:w="1985" w:type="dxa"/>
            <w:tcBorders>
              <w:top w:val="nil"/>
              <w:left w:val="nil"/>
              <w:bottom w:val="nil"/>
              <w:right w:val="nil"/>
            </w:tcBorders>
            <w:shd w:val="clear" w:color="auto" w:fill="auto"/>
            <w:vAlign w:val="center"/>
            <w:hideMark/>
          </w:tcPr>
          <w:p w14:paraId="1C7E13DF"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Gouvernement</w:t>
            </w:r>
          </w:p>
        </w:tc>
        <w:tc>
          <w:tcPr>
            <w:tcW w:w="1984" w:type="dxa"/>
            <w:tcBorders>
              <w:top w:val="nil"/>
              <w:left w:val="nil"/>
              <w:bottom w:val="nil"/>
              <w:right w:val="single" w:sz="4" w:space="0" w:color="auto"/>
            </w:tcBorders>
            <w:shd w:val="clear" w:color="auto" w:fill="auto"/>
            <w:vAlign w:val="center"/>
            <w:hideMark/>
          </w:tcPr>
          <w:p w14:paraId="2BCD1D9E"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w:t>
            </w:r>
          </w:p>
        </w:tc>
      </w:tr>
      <w:tr w:rsidR="000904F0" w:rsidRPr="000904F0" w14:paraId="6F50FDD8" w14:textId="77777777" w:rsidTr="000904F0">
        <w:trPr>
          <w:trHeight w:val="510"/>
        </w:trPr>
        <w:tc>
          <w:tcPr>
            <w:tcW w:w="1007" w:type="dxa"/>
            <w:vMerge/>
            <w:tcBorders>
              <w:top w:val="nil"/>
              <w:left w:val="single" w:sz="4" w:space="0" w:color="auto"/>
              <w:bottom w:val="single" w:sz="4" w:space="0" w:color="auto"/>
              <w:right w:val="nil"/>
            </w:tcBorders>
            <w:vAlign w:val="center"/>
            <w:hideMark/>
          </w:tcPr>
          <w:p w14:paraId="54AF55D0" w14:textId="77777777" w:rsidR="000904F0" w:rsidRPr="000904F0" w:rsidRDefault="000904F0" w:rsidP="000904F0">
            <w:pPr>
              <w:spacing w:after="0"/>
              <w:jc w:val="left"/>
              <w:rPr>
                <w:rFonts w:ascii="Tw Cen MT" w:hAnsi="Tw Cen MT"/>
                <w:b/>
                <w:bCs/>
                <w:color w:val="000000"/>
                <w:sz w:val="20"/>
                <w:szCs w:val="20"/>
              </w:rPr>
            </w:pPr>
          </w:p>
        </w:tc>
        <w:tc>
          <w:tcPr>
            <w:tcW w:w="492" w:type="dxa"/>
            <w:vMerge/>
            <w:tcBorders>
              <w:top w:val="single" w:sz="4" w:space="0" w:color="auto"/>
              <w:left w:val="single" w:sz="4" w:space="0" w:color="auto"/>
              <w:bottom w:val="single" w:sz="4" w:space="0" w:color="000000"/>
              <w:right w:val="nil"/>
            </w:tcBorders>
            <w:vAlign w:val="center"/>
            <w:hideMark/>
          </w:tcPr>
          <w:p w14:paraId="657BE068" w14:textId="77777777" w:rsidR="000904F0" w:rsidRPr="000904F0" w:rsidRDefault="000904F0" w:rsidP="000904F0">
            <w:pPr>
              <w:spacing w:after="0"/>
              <w:jc w:val="left"/>
              <w:rPr>
                <w:rFonts w:ascii="Tw Cen MT" w:hAnsi="Tw Cen MT"/>
                <w:color w:val="000000"/>
                <w:sz w:val="20"/>
                <w:szCs w:val="20"/>
              </w:rPr>
            </w:pPr>
          </w:p>
        </w:tc>
        <w:tc>
          <w:tcPr>
            <w:tcW w:w="3748" w:type="dxa"/>
            <w:vMerge/>
            <w:tcBorders>
              <w:top w:val="single" w:sz="4" w:space="0" w:color="auto"/>
              <w:left w:val="nil"/>
              <w:bottom w:val="single" w:sz="4" w:space="0" w:color="000000"/>
              <w:right w:val="nil"/>
            </w:tcBorders>
            <w:vAlign w:val="center"/>
            <w:hideMark/>
          </w:tcPr>
          <w:p w14:paraId="5C5CD96F" w14:textId="77777777" w:rsidR="000904F0" w:rsidRPr="000904F0" w:rsidRDefault="000904F0" w:rsidP="000904F0">
            <w:pPr>
              <w:spacing w:after="0"/>
              <w:jc w:val="left"/>
              <w:rPr>
                <w:rFonts w:ascii="Tw Cen MT" w:hAnsi="Tw Cen MT"/>
                <w:sz w:val="20"/>
                <w:szCs w:val="20"/>
              </w:rPr>
            </w:pPr>
          </w:p>
        </w:tc>
        <w:tc>
          <w:tcPr>
            <w:tcW w:w="4392" w:type="dxa"/>
            <w:tcBorders>
              <w:top w:val="nil"/>
              <w:left w:val="nil"/>
              <w:bottom w:val="single" w:sz="4" w:space="0" w:color="auto"/>
              <w:right w:val="nil"/>
            </w:tcBorders>
            <w:shd w:val="clear" w:color="auto" w:fill="auto"/>
            <w:vAlign w:val="center"/>
            <w:hideMark/>
          </w:tcPr>
          <w:p w14:paraId="710E677D"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Elaborer et valider les décrets d'application de la Loi sur les Peuples Autochtones</w:t>
            </w:r>
          </w:p>
        </w:tc>
        <w:tc>
          <w:tcPr>
            <w:tcW w:w="1985" w:type="dxa"/>
            <w:tcBorders>
              <w:top w:val="nil"/>
              <w:left w:val="nil"/>
              <w:bottom w:val="nil"/>
              <w:right w:val="nil"/>
            </w:tcBorders>
            <w:shd w:val="thinDiagStripe" w:color="BFBFBF" w:fill="FFFFFF"/>
            <w:vAlign w:val="center"/>
            <w:hideMark/>
          </w:tcPr>
          <w:p w14:paraId="50A52364"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 </w:t>
            </w:r>
          </w:p>
        </w:tc>
        <w:tc>
          <w:tcPr>
            <w:tcW w:w="1984" w:type="dxa"/>
            <w:tcBorders>
              <w:top w:val="nil"/>
              <w:left w:val="nil"/>
              <w:bottom w:val="nil"/>
              <w:right w:val="single" w:sz="4" w:space="0" w:color="auto"/>
            </w:tcBorders>
            <w:shd w:val="thinDiagStripe" w:color="BFBFBF" w:fill="FFFFFF"/>
            <w:vAlign w:val="center"/>
            <w:hideMark/>
          </w:tcPr>
          <w:p w14:paraId="6A4B8C44"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 </w:t>
            </w:r>
          </w:p>
        </w:tc>
      </w:tr>
      <w:tr w:rsidR="000904F0" w:rsidRPr="000904F0" w14:paraId="73A951CC" w14:textId="77777777" w:rsidTr="000904F0">
        <w:trPr>
          <w:trHeight w:val="1020"/>
        </w:trPr>
        <w:tc>
          <w:tcPr>
            <w:tcW w:w="1007" w:type="dxa"/>
            <w:vMerge/>
            <w:tcBorders>
              <w:top w:val="nil"/>
              <w:left w:val="single" w:sz="4" w:space="0" w:color="auto"/>
              <w:bottom w:val="single" w:sz="4" w:space="0" w:color="auto"/>
              <w:right w:val="nil"/>
            </w:tcBorders>
            <w:vAlign w:val="center"/>
            <w:hideMark/>
          </w:tcPr>
          <w:p w14:paraId="11272BF3" w14:textId="77777777" w:rsidR="000904F0" w:rsidRPr="000904F0" w:rsidRDefault="000904F0" w:rsidP="000904F0">
            <w:pPr>
              <w:spacing w:after="0"/>
              <w:jc w:val="left"/>
              <w:rPr>
                <w:rFonts w:ascii="Tw Cen MT" w:hAnsi="Tw Cen MT"/>
                <w:b/>
                <w:bCs/>
                <w:color w:val="000000"/>
                <w:sz w:val="20"/>
                <w:szCs w:val="20"/>
              </w:rPr>
            </w:pPr>
          </w:p>
        </w:tc>
        <w:tc>
          <w:tcPr>
            <w:tcW w:w="492" w:type="dxa"/>
            <w:tcBorders>
              <w:top w:val="nil"/>
              <w:left w:val="single" w:sz="4" w:space="0" w:color="auto"/>
              <w:bottom w:val="single" w:sz="4" w:space="0" w:color="auto"/>
              <w:right w:val="nil"/>
            </w:tcBorders>
            <w:shd w:val="clear" w:color="auto" w:fill="auto"/>
            <w:noWrap/>
            <w:vAlign w:val="center"/>
            <w:hideMark/>
          </w:tcPr>
          <w:p w14:paraId="26CDD315" w14:textId="77777777" w:rsidR="000904F0" w:rsidRPr="000904F0" w:rsidRDefault="000904F0" w:rsidP="000904F0">
            <w:pPr>
              <w:spacing w:after="0"/>
              <w:jc w:val="center"/>
              <w:rPr>
                <w:rFonts w:ascii="Tw Cen MT" w:hAnsi="Tw Cen MT"/>
                <w:sz w:val="20"/>
                <w:szCs w:val="20"/>
              </w:rPr>
            </w:pPr>
            <w:r w:rsidRPr="000904F0">
              <w:rPr>
                <w:rFonts w:ascii="Tw Cen MT" w:hAnsi="Tw Cen MT"/>
                <w:sz w:val="20"/>
                <w:szCs w:val="20"/>
              </w:rPr>
              <w:t>112</w:t>
            </w:r>
          </w:p>
        </w:tc>
        <w:tc>
          <w:tcPr>
            <w:tcW w:w="3748" w:type="dxa"/>
            <w:tcBorders>
              <w:top w:val="nil"/>
              <w:left w:val="nil"/>
              <w:bottom w:val="single" w:sz="4" w:space="0" w:color="auto"/>
              <w:right w:val="nil"/>
            </w:tcBorders>
            <w:shd w:val="clear" w:color="auto" w:fill="auto"/>
            <w:vAlign w:val="center"/>
            <w:hideMark/>
          </w:tcPr>
          <w:p w14:paraId="4127A33F"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Appui à l'opérationnalisation des comités nationaux en charge de l'aménagement du territoire, du développement durable, du climat et de la REDD+</w:t>
            </w:r>
          </w:p>
        </w:tc>
        <w:tc>
          <w:tcPr>
            <w:tcW w:w="4392" w:type="dxa"/>
            <w:tcBorders>
              <w:top w:val="nil"/>
              <w:left w:val="nil"/>
              <w:bottom w:val="single" w:sz="4" w:space="0" w:color="auto"/>
              <w:right w:val="nil"/>
            </w:tcBorders>
            <w:shd w:val="clear" w:color="auto" w:fill="auto"/>
            <w:vAlign w:val="center"/>
            <w:hideMark/>
          </w:tcPr>
          <w:p w14:paraId="28AE80D4"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Assurer les moyens de fonctionnement des quatre comités nationaux</w:t>
            </w:r>
          </w:p>
        </w:tc>
        <w:tc>
          <w:tcPr>
            <w:tcW w:w="1985" w:type="dxa"/>
            <w:tcBorders>
              <w:top w:val="single" w:sz="4" w:space="0" w:color="auto"/>
              <w:left w:val="nil"/>
              <w:bottom w:val="nil"/>
              <w:right w:val="nil"/>
            </w:tcBorders>
            <w:shd w:val="clear" w:color="auto" w:fill="auto"/>
            <w:noWrap/>
            <w:vAlign w:val="center"/>
            <w:hideMark/>
          </w:tcPr>
          <w:p w14:paraId="49910FCB"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 xml:space="preserve">Gouvernement </w:t>
            </w:r>
          </w:p>
        </w:tc>
        <w:tc>
          <w:tcPr>
            <w:tcW w:w="1984" w:type="dxa"/>
            <w:tcBorders>
              <w:top w:val="single" w:sz="4" w:space="0" w:color="auto"/>
              <w:left w:val="nil"/>
              <w:bottom w:val="nil"/>
              <w:right w:val="single" w:sz="4" w:space="0" w:color="auto"/>
            </w:tcBorders>
            <w:shd w:val="clear" w:color="auto" w:fill="auto"/>
            <w:vAlign w:val="center"/>
            <w:hideMark/>
          </w:tcPr>
          <w:p w14:paraId="5D17C339"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FCPF (fonds de préparation)</w:t>
            </w:r>
          </w:p>
        </w:tc>
      </w:tr>
      <w:tr w:rsidR="000904F0" w:rsidRPr="000904F0" w14:paraId="1FC824F6" w14:textId="77777777" w:rsidTr="000904F0">
        <w:trPr>
          <w:trHeight w:val="285"/>
        </w:trPr>
        <w:tc>
          <w:tcPr>
            <w:tcW w:w="1007" w:type="dxa"/>
            <w:vMerge/>
            <w:tcBorders>
              <w:top w:val="nil"/>
              <w:left w:val="single" w:sz="4" w:space="0" w:color="auto"/>
              <w:bottom w:val="single" w:sz="4" w:space="0" w:color="auto"/>
              <w:right w:val="nil"/>
            </w:tcBorders>
            <w:vAlign w:val="center"/>
            <w:hideMark/>
          </w:tcPr>
          <w:p w14:paraId="41B3F51F" w14:textId="77777777" w:rsidR="000904F0" w:rsidRPr="000904F0" w:rsidRDefault="000904F0" w:rsidP="000904F0">
            <w:pPr>
              <w:spacing w:after="0"/>
              <w:jc w:val="left"/>
              <w:rPr>
                <w:rFonts w:ascii="Tw Cen MT" w:hAnsi="Tw Cen MT"/>
                <w:b/>
                <w:bCs/>
                <w:color w:val="000000"/>
                <w:sz w:val="20"/>
                <w:szCs w:val="20"/>
              </w:rPr>
            </w:pPr>
          </w:p>
        </w:tc>
        <w:tc>
          <w:tcPr>
            <w:tcW w:w="492" w:type="dxa"/>
            <w:tcBorders>
              <w:top w:val="nil"/>
              <w:left w:val="single" w:sz="4" w:space="0" w:color="auto"/>
              <w:bottom w:val="single" w:sz="4" w:space="0" w:color="auto"/>
              <w:right w:val="nil"/>
            </w:tcBorders>
            <w:shd w:val="clear" w:color="auto" w:fill="auto"/>
            <w:noWrap/>
            <w:vAlign w:val="center"/>
            <w:hideMark/>
          </w:tcPr>
          <w:p w14:paraId="2FCF8366" w14:textId="77777777" w:rsidR="000904F0" w:rsidRPr="000904F0" w:rsidRDefault="000904F0" w:rsidP="000904F0">
            <w:pPr>
              <w:spacing w:after="0"/>
              <w:jc w:val="center"/>
              <w:rPr>
                <w:rFonts w:ascii="Tw Cen MT" w:hAnsi="Tw Cen MT"/>
                <w:color w:val="000000"/>
                <w:sz w:val="20"/>
                <w:szCs w:val="20"/>
              </w:rPr>
            </w:pPr>
            <w:r w:rsidRPr="000904F0">
              <w:rPr>
                <w:rFonts w:ascii="Tw Cen MT" w:hAnsi="Tw Cen MT"/>
                <w:color w:val="000000"/>
                <w:sz w:val="20"/>
                <w:szCs w:val="20"/>
              </w:rPr>
              <w:t>113</w:t>
            </w:r>
          </w:p>
        </w:tc>
        <w:tc>
          <w:tcPr>
            <w:tcW w:w="3748" w:type="dxa"/>
            <w:tcBorders>
              <w:top w:val="nil"/>
              <w:left w:val="nil"/>
              <w:bottom w:val="single" w:sz="4" w:space="0" w:color="auto"/>
              <w:right w:val="nil"/>
            </w:tcBorders>
            <w:shd w:val="clear" w:color="auto" w:fill="auto"/>
            <w:vAlign w:val="center"/>
            <w:hideMark/>
          </w:tcPr>
          <w:p w14:paraId="46F0B16D"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Mise en place de la Politique Agricole</w:t>
            </w:r>
          </w:p>
        </w:tc>
        <w:tc>
          <w:tcPr>
            <w:tcW w:w="4392" w:type="dxa"/>
            <w:tcBorders>
              <w:top w:val="nil"/>
              <w:left w:val="nil"/>
              <w:bottom w:val="single" w:sz="4" w:space="0" w:color="auto"/>
              <w:right w:val="nil"/>
            </w:tcBorders>
            <w:shd w:val="clear" w:color="auto" w:fill="auto"/>
            <w:noWrap/>
            <w:vAlign w:val="center"/>
            <w:hideMark/>
          </w:tcPr>
          <w:p w14:paraId="1AD3867B"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Elaborer et valider la politique agricole</w:t>
            </w:r>
          </w:p>
        </w:tc>
        <w:tc>
          <w:tcPr>
            <w:tcW w:w="1985" w:type="dxa"/>
            <w:tcBorders>
              <w:top w:val="single" w:sz="4" w:space="0" w:color="auto"/>
              <w:left w:val="nil"/>
              <w:bottom w:val="nil"/>
              <w:right w:val="nil"/>
            </w:tcBorders>
            <w:shd w:val="thinDiagStripe" w:color="BFBFBF" w:fill="FFFFFF"/>
            <w:noWrap/>
            <w:vAlign w:val="center"/>
            <w:hideMark/>
          </w:tcPr>
          <w:p w14:paraId="3FDAD508"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 </w:t>
            </w:r>
          </w:p>
        </w:tc>
        <w:tc>
          <w:tcPr>
            <w:tcW w:w="1984" w:type="dxa"/>
            <w:tcBorders>
              <w:top w:val="single" w:sz="4" w:space="0" w:color="auto"/>
              <w:left w:val="nil"/>
              <w:bottom w:val="nil"/>
              <w:right w:val="single" w:sz="4" w:space="0" w:color="auto"/>
            </w:tcBorders>
            <w:shd w:val="thinDiagStripe" w:color="BFBFBF" w:fill="FFFFFF"/>
            <w:vAlign w:val="center"/>
            <w:hideMark/>
          </w:tcPr>
          <w:p w14:paraId="492B5E29"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 </w:t>
            </w:r>
          </w:p>
        </w:tc>
      </w:tr>
      <w:tr w:rsidR="000904F0" w:rsidRPr="000904F0" w14:paraId="296AE8D5" w14:textId="77777777" w:rsidTr="000904F0">
        <w:trPr>
          <w:trHeight w:val="1020"/>
        </w:trPr>
        <w:tc>
          <w:tcPr>
            <w:tcW w:w="1007" w:type="dxa"/>
            <w:vMerge/>
            <w:tcBorders>
              <w:top w:val="nil"/>
              <w:left w:val="single" w:sz="4" w:space="0" w:color="auto"/>
              <w:bottom w:val="single" w:sz="4" w:space="0" w:color="auto"/>
              <w:right w:val="nil"/>
            </w:tcBorders>
            <w:vAlign w:val="center"/>
            <w:hideMark/>
          </w:tcPr>
          <w:p w14:paraId="5C3EB194" w14:textId="77777777" w:rsidR="000904F0" w:rsidRPr="000904F0" w:rsidRDefault="000904F0" w:rsidP="000904F0">
            <w:pPr>
              <w:spacing w:after="0"/>
              <w:jc w:val="left"/>
              <w:rPr>
                <w:rFonts w:ascii="Tw Cen MT" w:hAnsi="Tw Cen MT"/>
                <w:b/>
                <w:bCs/>
                <w:color w:val="000000"/>
                <w:sz w:val="20"/>
                <w:szCs w:val="20"/>
              </w:rPr>
            </w:pPr>
          </w:p>
        </w:tc>
        <w:tc>
          <w:tcPr>
            <w:tcW w:w="492" w:type="dxa"/>
            <w:tcBorders>
              <w:top w:val="nil"/>
              <w:left w:val="single" w:sz="4" w:space="0" w:color="auto"/>
              <w:bottom w:val="single" w:sz="4" w:space="0" w:color="auto"/>
              <w:right w:val="nil"/>
            </w:tcBorders>
            <w:shd w:val="clear" w:color="000000" w:fill="F2F2F2"/>
            <w:noWrap/>
            <w:vAlign w:val="center"/>
            <w:hideMark/>
          </w:tcPr>
          <w:p w14:paraId="6C2F6E27" w14:textId="77777777" w:rsidR="000904F0" w:rsidRPr="000904F0" w:rsidRDefault="000904F0" w:rsidP="000904F0">
            <w:pPr>
              <w:spacing w:after="0"/>
              <w:jc w:val="center"/>
              <w:rPr>
                <w:rFonts w:ascii="Tw Cen MT" w:hAnsi="Tw Cen MT"/>
                <w:color w:val="808080"/>
                <w:sz w:val="20"/>
                <w:szCs w:val="20"/>
              </w:rPr>
            </w:pPr>
            <w:r w:rsidRPr="000904F0">
              <w:rPr>
                <w:rFonts w:ascii="Tw Cen MT" w:hAnsi="Tw Cen MT"/>
                <w:color w:val="808080"/>
                <w:sz w:val="20"/>
                <w:szCs w:val="20"/>
              </w:rPr>
              <w:t>114</w:t>
            </w:r>
          </w:p>
        </w:tc>
        <w:tc>
          <w:tcPr>
            <w:tcW w:w="3748" w:type="dxa"/>
            <w:tcBorders>
              <w:top w:val="nil"/>
              <w:left w:val="nil"/>
              <w:bottom w:val="single" w:sz="4" w:space="0" w:color="auto"/>
              <w:right w:val="nil"/>
            </w:tcBorders>
            <w:shd w:val="clear" w:color="000000" w:fill="F2F2F2"/>
            <w:vAlign w:val="center"/>
            <w:hideMark/>
          </w:tcPr>
          <w:p w14:paraId="72A1C3E1" w14:textId="77777777" w:rsidR="000904F0" w:rsidRPr="000904F0" w:rsidRDefault="000904F0" w:rsidP="000904F0">
            <w:pPr>
              <w:spacing w:after="0"/>
              <w:jc w:val="left"/>
              <w:rPr>
                <w:rFonts w:ascii="Tw Cen MT" w:hAnsi="Tw Cen MT"/>
                <w:color w:val="808080"/>
                <w:sz w:val="20"/>
                <w:szCs w:val="20"/>
              </w:rPr>
            </w:pPr>
            <w:r w:rsidRPr="000904F0">
              <w:rPr>
                <w:rFonts w:ascii="Tw Cen MT" w:hAnsi="Tw Cen MT"/>
                <w:color w:val="808080"/>
                <w:sz w:val="20"/>
                <w:szCs w:val="20"/>
              </w:rPr>
              <w:t>Renforcement des moyens de l'administration et des collectivités territoriales décentralisées pour rendre effectif et efficace le contrôle des activités forestières</w:t>
            </w:r>
          </w:p>
        </w:tc>
        <w:tc>
          <w:tcPr>
            <w:tcW w:w="4392" w:type="dxa"/>
            <w:tcBorders>
              <w:top w:val="single" w:sz="4" w:space="0" w:color="auto"/>
              <w:left w:val="nil"/>
              <w:bottom w:val="single" w:sz="4" w:space="0" w:color="auto"/>
              <w:right w:val="nil"/>
            </w:tcBorders>
            <w:shd w:val="clear" w:color="000000" w:fill="F2F2F2"/>
            <w:noWrap/>
            <w:vAlign w:val="center"/>
            <w:hideMark/>
          </w:tcPr>
          <w:p w14:paraId="42E4765D" w14:textId="77777777" w:rsidR="000904F0" w:rsidRPr="000904F0" w:rsidRDefault="000904F0" w:rsidP="000904F0">
            <w:pPr>
              <w:spacing w:after="0"/>
              <w:jc w:val="left"/>
              <w:rPr>
                <w:rFonts w:ascii="Tw Cen MT" w:hAnsi="Tw Cen MT"/>
                <w:i/>
                <w:iCs/>
                <w:color w:val="808080"/>
                <w:sz w:val="20"/>
                <w:szCs w:val="20"/>
              </w:rPr>
            </w:pPr>
            <w:r w:rsidRPr="000904F0">
              <w:rPr>
                <w:rFonts w:ascii="Tw Cen MT" w:hAnsi="Tw Cen MT"/>
                <w:i/>
                <w:iCs/>
                <w:color w:val="808080"/>
                <w:sz w:val="20"/>
                <w:szCs w:val="20"/>
              </w:rPr>
              <w:t>-</w:t>
            </w:r>
          </w:p>
        </w:tc>
        <w:tc>
          <w:tcPr>
            <w:tcW w:w="3969" w:type="dxa"/>
            <w:gridSpan w:val="2"/>
            <w:tcBorders>
              <w:top w:val="single" w:sz="4" w:space="0" w:color="auto"/>
              <w:left w:val="nil"/>
              <w:bottom w:val="single" w:sz="4" w:space="0" w:color="auto"/>
              <w:right w:val="single" w:sz="4" w:space="0" w:color="000000"/>
            </w:tcBorders>
            <w:shd w:val="clear" w:color="000000" w:fill="F2F2F2"/>
            <w:vAlign w:val="center"/>
            <w:hideMark/>
          </w:tcPr>
          <w:p w14:paraId="519DAFB7" w14:textId="77777777" w:rsidR="000904F0" w:rsidRPr="000904F0" w:rsidRDefault="000904F0" w:rsidP="000904F0">
            <w:pPr>
              <w:spacing w:after="0"/>
              <w:jc w:val="center"/>
              <w:rPr>
                <w:rFonts w:ascii="Tw Cen MT" w:hAnsi="Tw Cen MT"/>
                <w:color w:val="808080"/>
                <w:sz w:val="20"/>
                <w:szCs w:val="20"/>
              </w:rPr>
            </w:pPr>
            <w:r w:rsidRPr="000904F0">
              <w:rPr>
                <w:rFonts w:ascii="Tw Cen MT" w:hAnsi="Tw Cen MT"/>
                <w:color w:val="808080"/>
                <w:sz w:val="20"/>
                <w:szCs w:val="20"/>
              </w:rPr>
              <w:t xml:space="preserve">Activité couverte par 213 </w:t>
            </w:r>
          </w:p>
        </w:tc>
      </w:tr>
      <w:tr w:rsidR="000904F0" w:rsidRPr="000904F0" w14:paraId="35712237" w14:textId="77777777" w:rsidTr="000904F0">
        <w:trPr>
          <w:trHeight w:val="3104"/>
        </w:trPr>
        <w:tc>
          <w:tcPr>
            <w:tcW w:w="1007" w:type="dxa"/>
            <w:tcBorders>
              <w:top w:val="single" w:sz="4" w:space="0" w:color="auto"/>
              <w:left w:val="single" w:sz="4" w:space="0" w:color="auto"/>
              <w:bottom w:val="single" w:sz="4" w:space="0" w:color="auto"/>
              <w:right w:val="nil"/>
            </w:tcBorders>
            <w:shd w:val="clear" w:color="000000" w:fill="B8CCE4"/>
            <w:textDirection w:val="btLr"/>
            <w:vAlign w:val="center"/>
            <w:hideMark/>
          </w:tcPr>
          <w:p w14:paraId="0572F5B2" w14:textId="77777777" w:rsidR="000904F0" w:rsidRPr="000904F0" w:rsidRDefault="000904F0" w:rsidP="000904F0">
            <w:pPr>
              <w:spacing w:after="0"/>
              <w:jc w:val="center"/>
              <w:rPr>
                <w:rFonts w:ascii="Tw Cen MT" w:hAnsi="Tw Cen MT"/>
                <w:b/>
                <w:bCs/>
                <w:color w:val="000000"/>
                <w:sz w:val="20"/>
                <w:szCs w:val="20"/>
              </w:rPr>
            </w:pPr>
            <w:r w:rsidRPr="000904F0">
              <w:rPr>
                <w:rFonts w:ascii="Tw Cen MT" w:hAnsi="Tw Cen MT"/>
                <w:b/>
                <w:bCs/>
                <w:color w:val="000000"/>
                <w:sz w:val="20"/>
                <w:szCs w:val="20"/>
              </w:rPr>
              <w:lastRenderedPageBreak/>
              <w:t>SO 1.2 Elaboration et mise en place d'un plan national d'affectation des terres</w:t>
            </w:r>
          </w:p>
        </w:tc>
        <w:tc>
          <w:tcPr>
            <w:tcW w:w="492" w:type="dxa"/>
            <w:tcBorders>
              <w:top w:val="single" w:sz="4" w:space="0" w:color="auto"/>
              <w:left w:val="single" w:sz="4" w:space="0" w:color="auto"/>
              <w:bottom w:val="single" w:sz="4" w:space="0" w:color="auto"/>
              <w:right w:val="nil"/>
            </w:tcBorders>
            <w:shd w:val="clear" w:color="auto" w:fill="auto"/>
            <w:noWrap/>
            <w:vAlign w:val="center"/>
            <w:hideMark/>
          </w:tcPr>
          <w:p w14:paraId="264857A0" w14:textId="77777777" w:rsidR="000904F0" w:rsidRPr="000904F0" w:rsidRDefault="000904F0" w:rsidP="000904F0">
            <w:pPr>
              <w:spacing w:after="0"/>
              <w:jc w:val="center"/>
              <w:rPr>
                <w:rFonts w:ascii="Tw Cen MT" w:hAnsi="Tw Cen MT"/>
                <w:color w:val="000000"/>
                <w:sz w:val="20"/>
                <w:szCs w:val="20"/>
              </w:rPr>
            </w:pPr>
            <w:r w:rsidRPr="000904F0">
              <w:rPr>
                <w:rFonts w:ascii="Tw Cen MT" w:hAnsi="Tw Cen MT"/>
                <w:color w:val="000000"/>
                <w:sz w:val="20"/>
                <w:szCs w:val="20"/>
              </w:rPr>
              <w:t>121</w:t>
            </w:r>
          </w:p>
        </w:tc>
        <w:tc>
          <w:tcPr>
            <w:tcW w:w="3748" w:type="dxa"/>
            <w:tcBorders>
              <w:top w:val="single" w:sz="4" w:space="0" w:color="auto"/>
              <w:left w:val="nil"/>
              <w:bottom w:val="single" w:sz="4" w:space="0" w:color="auto"/>
              <w:right w:val="nil"/>
            </w:tcBorders>
            <w:shd w:val="clear" w:color="auto" w:fill="auto"/>
            <w:vAlign w:val="center"/>
            <w:hideMark/>
          </w:tcPr>
          <w:p w14:paraId="4056642D"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 xml:space="preserve">Mise en place d'un Plan National d’Affectation des Terres qui définit les vocations prioritaires du territoire an concertation avec l'ensemble des parties prenantes  </w:t>
            </w:r>
          </w:p>
        </w:tc>
        <w:tc>
          <w:tcPr>
            <w:tcW w:w="4392" w:type="dxa"/>
            <w:tcBorders>
              <w:top w:val="single" w:sz="4" w:space="0" w:color="auto"/>
              <w:left w:val="nil"/>
              <w:bottom w:val="single" w:sz="4" w:space="0" w:color="auto"/>
              <w:right w:val="nil"/>
            </w:tcBorders>
            <w:shd w:val="clear" w:color="auto" w:fill="auto"/>
            <w:vAlign w:val="center"/>
            <w:hideMark/>
          </w:tcPr>
          <w:p w14:paraId="4D4DDE06"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Définir et adopter un Plan National d’Affectation des Terres (carte) qui définit les vocations prioritaires du territoire an concertation avec l'ensemble des parties prenantes.</w:t>
            </w:r>
            <w:r w:rsidRPr="000904F0">
              <w:rPr>
                <w:rFonts w:ascii="Tw Cen MT" w:hAnsi="Tw Cen MT"/>
                <w:sz w:val="20"/>
                <w:szCs w:val="20"/>
              </w:rPr>
              <w:br/>
              <w:t>Cette définition passe par l'élaboration des Termes de Reference, le recrutement d'un cabinet d'études, la tenue d'ateliers de consultation sectoriels et départementaux</w:t>
            </w:r>
          </w:p>
        </w:tc>
        <w:tc>
          <w:tcPr>
            <w:tcW w:w="1985" w:type="dxa"/>
            <w:tcBorders>
              <w:top w:val="single" w:sz="4" w:space="0" w:color="auto"/>
              <w:left w:val="nil"/>
              <w:bottom w:val="single" w:sz="4" w:space="0" w:color="auto"/>
              <w:right w:val="nil"/>
            </w:tcBorders>
            <w:shd w:val="clear" w:color="auto" w:fill="auto"/>
            <w:noWrap/>
            <w:vAlign w:val="center"/>
            <w:hideMark/>
          </w:tcPr>
          <w:p w14:paraId="3F4B778D"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Gouvernement (dont FFN)</w:t>
            </w:r>
          </w:p>
        </w:tc>
        <w:tc>
          <w:tcPr>
            <w:tcW w:w="1984" w:type="dxa"/>
            <w:tcBorders>
              <w:top w:val="single" w:sz="4" w:space="0" w:color="auto"/>
              <w:left w:val="nil"/>
              <w:bottom w:val="nil"/>
              <w:right w:val="single" w:sz="4" w:space="0" w:color="auto"/>
            </w:tcBorders>
            <w:shd w:val="clear" w:color="auto" w:fill="auto"/>
            <w:vAlign w:val="center"/>
            <w:hideMark/>
          </w:tcPr>
          <w:p w14:paraId="4D36413A" w14:textId="7DF1E9FE"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BAD (FFBC)</w:t>
            </w:r>
            <w:r w:rsidRPr="007B4F38">
              <w:rPr>
                <w:rFonts w:ascii="Tw Cen MT" w:hAnsi="Tw Cen MT"/>
                <w:sz w:val="20"/>
                <w:szCs w:val="20"/>
              </w:rPr>
              <w:t xml:space="preserve"> </w:t>
            </w:r>
            <w:r w:rsidRPr="000904F0">
              <w:rPr>
                <w:rFonts w:ascii="Tw Cen MT" w:hAnsi="Tw Cen MT"/>
                <w:sz w:val="20"/>
                <w:szCs w:val="20"/>
              </w:rPr>
              <w:br/>
              <w:t>ONG (WRI)</w:t>
            </w:r>
          </w:p>
        </w:tc>
      </w:tr>
      <w:tr w:rsidR="000904F0" w:rsidRPr="000904F0" w14:paraId="2462045E" w14:textId="77777777" w:rsidTr="000904F0">
        <w:trPr>
          <w:trHeight w:val="285"/>
        </w:trPr>
        <w:tc>
          <w:tcPr>
            <w:tcW w:w="1007" w:type="dxa"/>
            <w:vMerge w:val="restart"/>
            <w:tcBorders>
              <w:top w:val="single" w:sz="4" w:space="0" w:color="auto"/>
              <w:left w:val="single" w:sz="4" w:space="0" w:color="auto"/>
              <w:bottom w:val="single" w:sz="4" w:space="0" w:color="auto"/>
              <w:right w:val="nil"/>
            </w:tcBorders>
            <w:shd w:val="clear" w:color="000000" w:fill="B8CCE4"/>
            <w:textDirection w:val="btLr"/>
            <w:vAlign w:val="center"/>
            <w:hideMark/>
          </w:tcPr>
          <w:p w14:paraId="503A7125" w14:textId="77777777" w:rsidR="000904F0" w:rsidRPr="000904F0" w:rsidRDefault="000904F0" w:rsidP="000904F0">
            <w:pPr>
              <w:spacing w:after="0"/>
              <w:jc w:val="center"/>
              <w:rPr>
                <w:rFonts w:ascii="Tw Cen MT" w:hAnsi="Tw Cen MT"/>
                <w:b/>
                <w:bCs/>
                <w:color w:val="000000"/>
                <w:sz w:val="20"/>
                <w:szCs w:val="20"/>
              </w:rPr>
            </w:pPr>
            <w:r w:rsidRPr="000904F0">
              <w:rPr>
                <w:rFonts w:ascii="Tw Cen MT" w:hAnsi="Tw Cen MT"/>
                <w:b/>
                <w:bCs/>
                <w:color w:val="000000"/>
                <w:sz w:val="20"/>
                <w:szCs w:val="20"/>
              </w:rPr>
              <w:t>SO 1.3 Mise en œuvre des mécanismes de financement durable</w:t>
            </w:r>
          </w:p>
        </w:tc>
        <w:tc>
          <w:tcPr>
            <w:tcW w:w="492" w:type="dxa"/>
            <w:vMerge w:val="restart"/>
            <w:tcBorders>
              <w:top w:val="nil"/>
              <w:left w:val="single" w:sz="4" w:space="0" w:color="auto"/>
              <w:bottom w:val="single" w:sz="4" w:space="0" w:color="000000"/>
              <w:right w:val="nil"/>
            </w:tcBorders>
            <w:shd w:val="clear" w:color="auto" w:fill="auto"/>
            <w:noWrap/>
            <w:vAlign w:val="center"/>
            <w:hideMark/>
          </w:tcPr>
          <w:p w14:paraId="6D13781F" w14:textId="77777777" w:rsidR="000904F0" w:rsidRPr="000904F0" w:rsidRDefault="000904F0" w:rsidP="000904F0">
            <w:pPr>
              <w:spacing w:after="0"/>
              <w:jc w:val="center"/>
              <w:rPr>
                <w:rFonts w:ascii="Tw Cen MT" w:hAnsi="Tw Cen MT"/>
                <w:color w:val="000000"/>
                <w:sz w:val="20"/>
                <w:szCs w:val="20"/>
              </w:rPr>
            </w:pPr>
            <w:r w:rsidRPr="000904F0">
              <w:rPr>
                <w:rFonts w:ascii="Tw Cen MT" w:hAnsi="Tw Cen MT"/>
                <w:color w:val="000000"/>
                <w:sz w:val="20"/>
                <w:szCs w:val="20"/>
              </w:rPr>
              <w:t>131</w:t>
            </w:r>
          </w:p>
        </w:tc>
        <w:tc>
          <w:tcPr>
            <w:tcW w:w="3748" w:type="dxa"/>
            <w:vMerge w:val="restart"/>
            <w:tcBorders>
              <w:top w:val="nil"/>
              <w:left w:val="nil"/>
              <w:bottom w:val="single" w:sz="4" w:space="0" w:color="000000"/>
              <w:right w:val="nil"/>
            </w:tcBorders>
            <w:shd w:val="clear" w:color="auto" w:fill="auto"/>
            <w:vAlign w:val="center"/>
            <w:hideMark/>
          </w:tcPr>
          <w:p w14:paraId="1EF43BBE"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Mise en place et opérationnalisation des Fonds environnementaux (fonds verts et autres)</w:t>
            </w:r>
          </w:p>
        </w:tc>
        <w:tc>
          <w:tcPr>
            <w:tcW w:w="4392" w:type="dxa"/>
            <w:tcBorders>
              <w:top w:val="nil"/>
              <w:left w:val="nil"/>
              <w:bottom w:val="nil"/>
              <w:right w:val="nil"/>
            </w:tcBorders>
            <w:shd w:val="clear" w:color="auto" w:fill="auto"/>
            <w:vAlign w:val="center"/>
            <w:hideMark/>
          </w:tcPr>
          <w:p w14:paraId="1AA4B2E1"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Fonds Vert Climat (FVC)</w:t>
            </w:r>
          </w:p>
        </w:tc>
        <w:tc>
          <w:tcPr>
            <w:tcW w:w="1985" w:type="dxa"/>
            <w:tcBorders>
              <w:top w:val="nil"/>
              <w:left w:val="nil"/>
              <w:bottom w:val="nil"/>
              <w:right w:val="nil"/>
            </w:tcBorders>
            <w:shd w:val="clear" w:color="auto" w:fill="auto"/>
            <w:noWrap/>
            <w:vAlign w:val="center"/>
            <w:hideMark/>
          </w:tcPr>
          <w:p w14:paraId="3B6F26D3"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Gouvernement</w:t>
            </w:r>
          </w:p>
        </w:tc>
        <w:tc>
          <w:tcPr>
            <w:tcW w:w="1984" w:type="dxa"/>
            <w:tcBorders>
              <w:top w:val="single" w:sz="4" w:space="0" w:color="auto"/>
              <w:left w:val="nil"/>
              <w:bottom w:val="nil"/>
              <w:right w:val="single" w:sz="4" w:space="0" w:color="auto"/>
            </w:tcBorders>
            <w:shd w:val="clear" w:color="auto" w:fill="auto"/>
            <w:vAlign w:val="center"/>
            <w:hideMark/>
          </w:tcPr>
          <w:p w14:paraId="32313243"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FVC</w:t>
            </w:r>
          </w:p>
        </w:tc>
      </w:tr>
      <w:tr w:rsidR="000904F0" w:rsidRPr="000904F0" w14:paraId="24560C41" w14:textId="77777777" w:rsidTr="000904F0">
        <w:trPr>
          <w:trHeight w:val="360"/>
        </w:trPr>
        <w:tc>
          <w:tcPr>
            <w:tcW w:w="1007" w:type="dxa"/>
            <w:vMerge/>
            <w:tcBorders>
              <w:top w:val="single" w:sz="4" w:space="0" w:color="auto"/>
              <w:left w:val="single" w:sz="4" w:space="0" w:color="auto"/>
              <w:bottom w:val="single" w:sz="4" w:space="0" w:color="auto"/>
              <w:right w:val="nil"/>
            </w:tcBorders>
            <w:vAlign w:val="center"/>
            <w:hideMark/>
          </w:tcPr>
          <w:p w14:paraId="5F4E3D53" w14:textId="77777777" w:rsidR="000904F0" w:rsidRPr="000904F0" w:rsidRDefault="000904F0" w:rsidP="000904F0">
            <w:pPr>
              <w:spacing w:after="0"/>
              <w:jc w:val="left"/>
              <w:rPr>
                <w:rFonts w:ascii="Tw Cen MT" w:hAnsi="Tw Cen MT"/>
                <w:b/>
                <w:bCs/>
                <w:color w:val="000000"/>
                <w:sz w:val="20"/>
                <w:szCs w:val="20"/>
              </w:rPr>
            </w:pPr>
          </w:p>
        </w:tc>
        <w:tc>
          <w:tcPr>
            <w:tcW w:w="492" w:type="dxa"/>
            <w:vMerge/>
            <w:tcBorders>
              <w:top w:val="nil"/>
              <w:left w:val="single" w:sz="4" w:space="0" w:color="auto"/>
              <w:bottom w:val="single" w:sz="4" w:space="0" w:color="000000"/>
              <w:right w:val="nil"/>
            </w:tcBorders>
            <w:vAlign w:val="center"/>
            <w:hideMark/>
          </w:tcPr>
          <w:p w14:paraId="57937550" w14:textId="77777777" w:rsidR="000904F0" w:rsidRPr="000904F0" w:rsidRDefault="000904F0" w:rsidP="000904F0">
            <w:pPr>
              <w:spacing w:after="0"/>
              <w:jc w:val="left"/>
              <w:rPr>
                <w:rFonts w:ascii="Tw Cen MT" w:hAnsi="Tw Cen MT"/>
                <w:color w:val="000000"/>
                <w:sz w:val="20"/>
                <w:szCs w:val="20"/>
              </w:rPr>
            </w:pPr>
          </w:p>
        </w:tc>
        <w:tc>
          <w:tcPr>
            <w:tcW w:w="3748" w:type="dxa"/>
            <w:vMerge/>
            <w:tcBorders>
              <w:top w:val="nil"/>
              <w:left w:val="nil"/>
              <w:bottom w:val="single" w:sz="4" w:space="0" w:color="000000"/>
              <w:right w:val="nil"/>
            </w:tcBorders>
            <w:vAlign w:val="center"/>
            <w:hideMark/>
          </w:tcPr>
          <w:p w14:paraId="4F0867F0" w14:textId="77777777" w:rsidR="000904F0" w:rsidRPr="000904F0" w:rsidRDefault="000904F0" w:rsidP="000904F0">
            <w:pPr>
              <w:spacing w:after="0"/>
              <w:jc w:val="left"/>
              <w:rPr>
                <w:rFonts w:ascii="Tw Cen MT" w:hAnsi="Tw Cen MT"/>
                <w:sz w:val="20"/>
                <w:szCs w:val="20"/>
              </w:rPr>
            </w:pPr>
          </w:p>
        </w:tc>
        <w:tc>
          <w:tcPr>
            <w:tcW w:w="4392" w:type="dxa"/>
            <w:tcBorders>
              <w:top w:val="nil"/>
              <w:left w:val="nil"/>
              <w:bottom w:val="nil"/>
              <w:right w:val="nil"/>
            </w:tcBorders>
            <w:shd w:val="clear" w:color="auto" w:fill="auto"/>
            <w:vAlign w:val="center"/>
            <w:hideMark/>
          </w:tcPr>
          <w:p w14:paraId="10882EEB"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 xml:space="preserve">Fonds de l’économie verte en Afrique Centrale (FEVAC) </w:t>
            </w:r>
          </w:p>
        </w:tc>
        <w:tc>
          <w:tcPr>
            <w:tcW w:w="1985" w:type="dxa"/>
            <w:tcBorders>
              <w:top w:val="nil"/>
              <w:left w:val="nil"/>
              <w:bottom w:val="nil"/>
              <w:right w:val="nil"/>
            </w:tcBorders>
            <w:shd w:val="clear" w:color="auto" w:fill="auto"/>
            <w:noWrap/>
            <w:vAlign w:val="center"/>
            <w:hideMark/>
          </w:tcPr>
          <w:p w14:paraId="537CA0D9"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Gouvernement</w:t>
            </w:r>
          </w:p>
        </w:tc>
        <w:tc>
          <w:tcPr>
            <w:tcW w:w="1984" w:type="dxa"/>
            <w:tcBorders>
              <w:top w:val="nil"/>
              <w:left w:val="nil"/>
              <w:bottom w:val="nil"/>
              <w:right w:val="single" w:sz="4" w:space="0" w:color="auto"/>
            </w:tcBorders>
            <w:shd w:val="clear" w:color="auto" w:fill="auto"/>
            <w:vAlign w:val="center"/>
            <w:hideMark/>
          </w:tcPr>
          <w:p w14:paraId="6F337680"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FEVAC</w:t>
            </w:r>
          </w:p>
        </w:tc>
      </w:tr>
      <w:tr w:rsidR="000904F0" w:rsidRPr="000904F0" w14:paraId="49A176C9" w14:textId="77777777" w:rsidTr="000904F0">
        <w:trPr>
          <w:trHeight w:val="285"/>
        </w:trPr>
        <w:tc>
          <w:tcPr>
            <w:tcW w:w="1007" w:type="dxa"/>
            <w:vMerge/>
            <w:tcBorders>
              <w:top w:val="single" w:sz="4" w:space="0" w:color="auto"/>
              <w:left w:val="single" w:sz="4" w:space="0" w:color="auto"/>
              <w:bottom w:val="single" w:sz="4" w:space="0" w:color="auto"/>
              <w:right w:val="nil"/>
            </w:tcBorders>
            <w:vAlign w:val="center"/>
            <w:hideMark/>
          </w:tcPr>
          <w:p w14:paraId="1420E7EB" w14:textId="77777777" w:rsidR="000904F0" w:rsidRPr="000904F0" w:rsidRDefault="000904F0" w:rsidP="000904F0">
            <w:pPr>
              <w:spacing w:after="0"/>
              <w:jc w:val="left"/>
              <w:rPr>
                <w:rFonts w:ascii="Tw Cen MT" w:hAnsi="Tw Cen MT"/>
                <w:b/>
                <w:bCs/>
                <w:color w:val="000000"/>
                <w:sz w:val="20"/>
                <w:szCs w:val="20"/>
              </w:rPr>
            </w:pPr>
          </w:p>
        </w:tc>
        <w:tc>
          <w:tcPr>
            <w:tcW w:w="492" w:type="dxa"/>
            <w:vMerge/>
            <w:tcBorders>
              <w:top w:val="nil"/>
              <w:left w:val="single" w:sz="4" w:space="0" w:color="auto"/>
              <w:bottom w:val="single" w:sz="4" w:space="0" w:color="000000"/>
              <w:right w:val="nil"/>
            </w:tcBorders>
            <w:vAlign w:val="center"/>
            <w:hideMark/>
          </w:tcPr>
          <w:p w14:paraId="4D6DCEBA" w14:textId="77777777" w:rsidR="000904F0" w:rsidRPr="000904F0" w:rsidRDefault="000904F0" w:rsidP="000904F0">
            <w:pPr>
              <w:spacing w:after="0"/>
              <w:jc w:val="left"/>
              <w:rPr>
                <w:rFonts w:ascii="Tw Cen MT" w:hAnsi="Tw Cen MT"/>
                <w:color w:val="000000"/>
                <w:sz w:val="20"/>
                <w:szCs w:val="20"/>
              </w:rPr>
            </w:pPr>
          </w:p>
        </w:tc>
        <w:tc>
          <w:tcPr>
            <w:tcW w:w="3748" w:type="dxa"/>
            <w:vMerge/>
            <w:tcBorders>
              <w:top w:val="nil"/>
              <w:left w:val="nil"/>
              <w:bottom w:val="single" w:sz="4" w:space="0" w:color="000000"/>
              <w:right w:val="nil"/>
            </w:tcBorders>
            <w:vAlign w:val="center"/>
            <w:hideMark/>
          </w:tcPr>
          <w:p w14:paraId="08A0A3CB" w14:textId="77777777" w:rsidR="000904F0" w:rsidRPr="000904F0" w:rsidRDefault="000904F0" w:rsidP="000904F0">
            <w:pPr>
              <w:spacing w:after="0"/>
              <w:jc w:val="left"/>
              <w:rPr>
                <w:rFonts w:ascii="Tw Cen MT" w:hAnsi="Tw Cen MT"/>
                <w:sz w:val="20"/>
                <w:szCs w:val="20"/>
              </w:rPr>
            </w:pPr>
          </w:p>
        </w:tc>
        <w:tc>
          <w:tcPr>
            <w:tcW w:w="4392" w:type="dxa"/>
            <w:tcBorders>
              <w:top w:val="nil"/>
              <w:left w:val="nil"/>
              <w:bottom w:val="single" w:sz="4" w:space="0" w:color="auto"/>
              <w:right w:val="nil"/>
            </w:tcBorders>
            <w:shd w:val="clear" w:color="auto" w:fill="auto"/>
            <w:vAlign w:val="center"/>
            <w:hideMark/>
          </w:tcPr>
          <w:p w14:paraId="15B85DA5"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Autres fonds</w:t>
            </w:r>
          </w:p>
        </w:tc>
        <w:tc>
          <w:tcPr>
            <w:tcW w:w="1985" w:type="dxa"/>
            <w:tcBorders>
              <w:top w:val="nil"/>
              <w:left w:val="nil"/>
              <w:bottom w:val="nil"/>
              <w:right w:val="nil"/>
            </w:tcBorders>
            <w:shd w:val="clear" w:color="auto" w:fill="auto"/>
            <w:noWrap/>
            <w:vAlign w:val="center"/>
            <w:hideMark/>
          </w:tcPr>
          <w:p w14:paraId="5CED2D93"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Gouvernement</w:t>
            </w:r>
          </w:p>
        </w:tc>
        <w:tc>
          <w:tcPr>
            <w:tcW w:w="1984" w:type="dxa"/>
            <w:tcBorders>
              <w:top w:val="nil"/>
              <w:left w:val="nil"/>
              <w:bottom w:val="nil"/>
              <w:right w:val="single" w:sz="4" w:space="0" w:color="auto"/>
            </w:tcBorders>
            <w:shd w:val="clear" w:color="auto" w:fill="auto"/>
            <w:vAlign w:val="center"/>
            <w:hideMark/>
          </w:tcPr>
          <w:p w14:paraId="11FA47CE"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w:t>
            </w:r>
          </w:p>
        </w:tc>
      </w:tr>
      <w:tr w:rsidR="000904F0" w:rsidRPr="00630427" w14:paraId="58CA2EE6" w14:textId="77777777" w:rsidTr="000904F0">
        <w:trPr>
          <w:trHeight w:val="1020"/>
        </w:trPr>
        <w:tc>
          <w:tcPr>
            <w:tcW w:w="1007" w:type="dxa"/>
            <w:vMerge/>
            <w:tcBorders>
              <w:top w:val="single" w:sz="4" w:space="0" w:color="auto"/>
              <w:left w:val="single" w:sz="4" w:space="0" w:color="auto"/>
              <w:bottom w:val="single" w:sz="4" w:space="0" w:color="auto"/>
              <w:right w:val="nil"/>
            </w:tcBorders>
            <w:vAlign w:val="center"/>
            <w:hideMark/>
          </w:tcPr>
          <w:p w14:paraId="5256EBC3" w14:textId="77777777" w:rsidR="000904F0" w:rsidRPr="000904F0" w:rsidRDefault="000904F0" w:rsidP="000904F0">
            <w:pPr>
              <w:spacing w:after="0"/>
              <w:jc w:val="left"/>
              <w:rPr>
                <w:rFonts w:ascii="Tw Cen MT" w:hAnsi="Tw Cen MT"/>
                <w:b/>
                <w:bCs/>
                <w:color w:val="000000"/>
                <w:sz w:val="20"/>
                <w:szCs w:val="20"/>
              </w:rPr>
            </w:pPr>
          </w:p>
        </w:tc>
        <w:tc>
          <w:tcPr>
            <w:tcW w:w="492" w:type="dxa"/>
            <w:tcBorders>
              <w:top w:val="nil"/>
              <w:left w:val="single" w:sz="4" w:space="0" w:color="auto"/>
              <w:bottom w:val="single" w:sz="4" w:space="0" w:color="auto"/>
              <w:right w:val="nil"/>
            </w:tcBorders>
            <w:shd w:val="clear" w:color="auto" w:fill="auto"/>
            <w:noWrap/>
            <w:vAlign w:val="center"/>
            <w:hideMark/>
          </w:tcPr>
          <w:p w14:paraId="6B9F8382" w14:textId="77777777" w:rsidR="000904F0" w:rsidRPr="000904F0" w:rsidRDefault="000904F0" w:rsidP="000904F0">
            <w:pPr>
              <w:spacing w:after="0"/>
              <w:jc w:val="center"/>
              <w:rPr>
                <w:rFonts w:ascii="Tw Cen MT" w:hAnsi="Tw Cen MT"/>
                <w:sz w:val="20"/>
                <w:szCs w:val="20"/>
              </w:rPr>
            </w:pPr>
            <w:r w:rsidRPr="000904F0">
              <w:rPr>
                <w:rFonts w:ascii="Tw Cen MT" w:hAnsi="Tw Cen MT"/>
                <w:sz w:val="20"/>
                <w:szCs w:val="20"/>
              </w:rPr>
              <w:t>132</w:t>
            </w:r>
          </w:p>
        </w:tc>
        <w:tc>
          <w:tcPr>
            <w:tcW w:w="3748" w:type="dxa"/>
            <w:tcBorders>
              <w:top w:val="nil"/>
              <w:left w:val="nil"/>
              <w:bottom w:val="single" w:sz="4" w:space="0" w:color="auto"/>
              <w:right w:val="nil"/>
            </w:tcBorders>
            <w:shd w:val="clear" w:color="auto" w:fill="auto"/>
            <w:vAlign w:val="center"/>
            <w:hideMark/>
          </w:tcPr>
          <w:p w14:paraId="6185131A"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Mise en place de mécanismes novateurs de financement (taxes de conversion des surfaces, échanges dette/nature etc.)</w:t>
            </w:r>
          </w:p>
        </w:tc>
        <w:tc>
          <w:tcPr>
            <w:tcW w:w="4392" w:type="dxa"/>
            <w:tcBorders>
              <w:top w:val="nil"/>
              <w:left w:val="nil"/>
              <w:bottom w:val="single" w:sz="4" w:space="0" w:color="auto"/>
              <w:right w:val="nil"/>
            </w:tcBorders>
            <w:shd w:val="clear" w:color="auto" w:fill="auto"/>
            <w:vAlign w:val="center"/>
            <w:hideMark/>
          </w:tcPr>
          <w:p w14:paraId="493AB678"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Mettre en œuvre les dispositions du plan de convergence relatives à la mise en place des mécanismes novateurs de l'axe 9</w:t>
            </w:r>
          </w:p>
        </w:tc>
        <w:tc>
          <w:tcPr>
            <w:tcW w:w="1985" w:type="dxa"/>
            <w:tcBorders>
              <w:top w:val="single" w:sz="4" w:space="0" w:color="auto"/>
              <w:left w:val="nil"/>
              <w:bottom w:val="nil"/>
              <w:right w:val="nil"/>
            </w:tcBorders>
            <w:shd w:val="clear" w:color="auto" w:fill="auto"/>
            <w:noWrap/>
            <w:vAlign w:val="center"/>
            <w:hideMark/>
          </w:tcPr>
          <w:p w14:paraId="6C76F441"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Gouvernement</w:t>
            </w:r>
          </w:p>
        </w:tc>
        <w:tc>
          <w:tcPr>
            <w:tcW w:w="1984" w:type="dxa"/>
            <w:tcBorders>
              <w:top w:val="single" w:sz="4" w:space="0" w:color="auto"/>
              <w:left w:val="nil"/>
              <w:bottom w:val="nil"/>
              <w:right w:val="single" w:sz="4" w:space="0" w:color="auto"/>
            </w:tcBorders>
            <w:shd w:val="clear" w:color="auto" w:fill="auto"/>
            <w:vAlign w:val="center"/>
            <w:hideMark/>
          </w:tcPr>
          <w:p w14:paraId="2A855993" w14:textId="77777777" w:rsidR="000904F0" w:rsidRPr="000904F0" w:rsidRDefault="000904F0" w:rsidP="000904F0">
            <w:pPr>
              <w:spacing w:after="0"/>
              <w:jc w:val="left"/>
              <w:rPr>
                <w:rFonts w:ascii="Tw Cen MT" w:hAnsi="Tw Cen MT"/>
                <w:sz w:val="20"/>
                <w:szCs w:val="20"/>
                <w:lang w:val="en-US"/>
              </w:rPr>
            </w:pPr>
            <w:r w:rsidRPr="000904F0">
              <w:rPr>
                <w:rFonts w:ascii="Tw Cen MT" w:hAnsi="Tw Cen MT"/>
                <w:sz w:val="20"/>
                <w:szCs w:val="20"/>
                <w:lang w:val="en-US"/>
              </w:rPr>
              <w:t>UE (FED, UE REDD)</w:t>
            </w:r>
            <w:r w:rsidRPr="000904F0">
              <w:rPr>
                <w:rFonts w:ascii="Tw Cen MT" w:hAnsi="Tw Cen MT"/>
                <w:sz w:val="20"/>
                <w:szCs w:val="20"/>
                <w:lang w:val="en-US"/>
              </w:rPr>
              <w:br/>
              <w:t>AFD (</w:t>
            </w:r>
            <w:proofErr w:type="spellStart"/>
            <w:r w:rsidRPr="000904F0">
              <w:rPr>
                <w:rFonts w:ascii="Tw Cen MT" w:hAnsi="Tw Cen MT"/>
                <w:sz w:val="20"/>
                <w:szCs w:val="20"/>
                <w:lang w:val="en-US"/>
              </w:rPr>
              <w:t>dont</w:t>
            </w:r>
            <w:proofErr w:type="spellEnd"/>
            <w:r w:rsidRPr="000904F0">
              <w:rPr>
                <w:rFonts w:ascii="Tw Cen MT" w:hAnsi="Tw Cen MT"/>
                <w:sz w:val="20"/>
                <w:szCs w:val="20"/>
                <w:lang w:val="en-US"/>
              </w:rPr>
              <w:t xml:space="preserve"> FERN)</w:t>
            </w:r>
            <w:r w:rsidRPr="000904F0">
              <w:rPr>
                <w:rFonts w:ascii="Tw Cen MT" w:hAnsi="Tw Cen MT"/>
                <w:sz w:val="20"/>
                <w:szCs w:val="20"/>
                <w:lang w:val="en-US"/>
              </w:rPr>
              <w:br/>
              <w:t>BMZ (GIZ)</w:t>
            </w:r>
            <w:r w:rsidRPr="000904F0">
              <w:rPr>
                <w:rFonts w:ascii="Tw Cen MT" w:hAnsi="Tw Cen MT"/>
                <w:sz w:val="20"/>
                <w:szCs w:val="20"/>
                <w:lang w:val="en-US"/>
              </w:rPr>
              <w:br/>
              <w:t>BAD (FFBC)</w:t>
            </w:r>
          </w:p>
        </w:tc>
      </w:tr>
      <w:tr w:rsidR="000904F0" w:rsidRPr="000904F0" w14:paraId="5A43901A" w14:textId="77777777" w:rsidTr="000904F0">
        <w:trPr>
          <w:trHeight w:val="510"/>
        </w:trPr>
        <w:tc>
          <w:tcPr>
            <w:tcW w:w="1007" w:type="dxa"/>
            <w:vMerge/>
            <w:tcBorders>
              <w:top w:val="single" w:sz="4" w:space="0" w:color="auto"/>
              <w:left w:val="single" w:sz="4" w:space="0" w:color="auto"/>
              <w:bottom w:val="single" w:sz="4" w:space="0" w:color="auto"/>
              <w:right w:val="nil"/>
            </w:tcBorders>
            <w:vAlign w:val="center"/>
            <w:hideMark/>
          </w:tcPr>
          <w:p w14:paraId="5F7606DE" w14:textId="77777777" w:rsidR="000904F0" w:rsidRPr="000904F0" w:rsidRDefault="000904F0" w:rsidP="000904F0">
            <w:pPr>
              <w:spacing w:after="0"/>
              <w:jc w:val="left"/>
              <w:rPr>
                <w:rFonts w:ascii="Tw Cen MT" w:hAnsi="Tw Cen MT"/>
                <w:b/>
                <w:bCs/>
                <w:color w:val="000000"/>
                <w:sz w:val="20"/>
                <w:szCs w:val="20"/>
                <w:lang w:val="en-US"/>
              </w:rPr>
            </w:pPr>
          </w:p>
        </w:tc>
        <w:tc>
          <w:tcPr>
            <w:tcW w:w="492" w:type="dxa"/>
            <w:tcBorders>
              <w:top w:val="nil"/>
              <w:left w:val="single" w:sz="4" w:space="0" w:color="auto"/>
              <w:bottom w:val="single" w:sz="4" w:space="0" w:color="auto"/>
              <w:right w:val="nil"/>
            </w:tcBorders>
            <w:shd w:val="clear" w:color="auto" w:fill="auto"/>
            <w:noWrap/>
            <w:vAlign w:val="center"/>
            <w:hideMark/>
          </w:tcPr>
          <w:p w14:paraId="4DF26045" w14:textId="77777777" w:rsidR="000904F0" w:rsidRPr="000904F0" w:rsidRDefault="000904F0" w:rsidP="000904F0">
            <w:pPr>
              <w:spacing w:after="0"/>
              <w:jc w:val="center"/>
              <w:rPr>
                <w:rFonts w:ascii="Tw Cen MT" w:hAnsi="Tw Cen MT"/>
                <w:sz w:val="20"/>
                <w:szCs w:val="20"/>
              </w:rPr>
            </w:pPr>
            <w:r w:rsidRPr="000904F0">
              <w:rPr>
                <w:rFonts w:ascii="Tw Cen MT" w:hAnsi="Tw Cen MT"/>
                <w:sz w:val="20"/>
                <w:szCs w:val="20"/>
              </w:rPr>
              <w:t>133</w:t>
            </w:r>
          </w:p>
        </w:tc>
        <w:tc>
          <w:tcPr>
            <w:tcW w:w="3748" w:type="dxa"/>
            <w:tcBorders>
              <w:top w:val="nil"/>
              <w:left w:val="nil"/>
              <w:bottom w:val="single" w:sz="4" w:space="0" w:color="auto"/>
              <w:right w:val="nil"/>
            </w:tcBorders>
            <w:shd w:val="clear" w:color="auto" w:fill="auto"/>
            <w:vAlign w:val="center"/>
            <w:hideMark/>
          </w:tcPr>
          <w:p w14:paraId="666406F0"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Mobilisation de financements bilatéraux et multilatéraux</w:t>
            </w:r>
          </w:p>
        </w:tc>
        <w:tc>
          <w:tcPr>
            <w:tcW w:w="4392" w:type="dxa"/>
            <w:tcBorders>
              <w:top w:val="nil"/>
              <w:left w:val="nil"/>
              <w:bottom w:val="single" w:sz="4" w:space="0" w:color="auto"/>
              <w:right w:val="nil"/>
            </w:tcBorders>
            <w:shd w:val="clear" w:color="auto" w:fill="auto"/>
            <w:vAlign w:val="center"/>
            <w:hideMark/>
          </w:tcPr>
          <w:p w14:paraId="266B1728"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Elaborer les Termes de Reference, conduire des missions de lobbying dans les pays bailleurs de fond et organiser des réunions de haut segment</w:t>
            </w:r>
          </w:p>
        </w:tc>
        <w:tc>
          <w:tcPr>
            <w:tcW w:w="1985" w:type="dxa"/>
            <w:tcBorders>
              <w:top w:val="single" w:sz="4" w:space="0" w:color="auto"/>
              <w:left w:val="nil"/>
              <w:bottom w:val="single" w:sz="4" w:space="0" w:color="auto"/>
              <w:right w:val="nil"/>
            </w:tcBorders>
            <w:shd w:val="clear" w:color="auto" w:fill="auto"/>
            <w:noWrap/>
            <w:vAlign w:val="center"/>
            <w:hideMark/>
          </w:tcPr>
          <w:p w14:paraId="75641792"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Gouvernement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BE9252A"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w:t>
            </w:r>
          </w:p>
        </w:tc>
      </w:tr>
      <w:tr w:rsidR="000904F0" w:rsidRPr="000904F0" w14:paraId="3C0801FA" w14:textId="77777777" w:rsidTr="000904F0">
        <w:trPr>
          <w:trHeight w:val="585"/>
        </w:trPr>
        <w:tc>
          <w:tcPr>
            <w:tcW w:w="1007" w:type="dxa"/>
            <w:vMerge w:val="restart"/>
            <w:tcBorders>
              <w:top w:val="single" w:sz="4" w:space="0" w:color="auto"/>
              <w:left w:val="single" w:sz="4" w:space="0" w:color="auto"/>
              <w:bottom w:val="single" w:sz="4" w:space="0" w:color="auto"/>
              <w:right w:val="nil"/>
            </w:tcBorders>
            <w:shd w:val="clear" w:color="000000" w:fill="B8CCE4"/>
            <w:textDirection w:val="btLr"/>
            <w:vAlign w:val="center"/>
            <w:hideMark/>
          </w:tcPr>
          <w:p w14:paraId="6CFC1919" w14:textId="77777777" w:rsidR="000904F0" w:rsidRPr="000904F0" w:rsidRDefault="000904F0" w:rsidP="000904F0">
            <w:pPr>
              <w:spacing w:after="0"/>
              <w:jc w:val="center"/>
              <w:rPr>
                <w:rFonts w:ascii="Tw Cen MT" w:hAnsi="Tw Cen MT"/>
                <w:b/>
                <w:bCs/>
                <w:color w:val="000000"/>
                <w:sz w:val="20"/>
                <w:szCs w:val="20"/>
              </w:rPr>
            </w:pPr>
            <w:r w:rsidRPr="000904F0">
              <w:rPr>
                <w:rFonts w:ascii="Tw Cen MT" w:hAnsi="Tw Cen MT"/>
                <w:b/>
                <w:bCs/>
                <w:color w:val="000000"/>
                <w:sz w:val="20"/>
                <w:szCs w:val="20"/>
              </w:rPr>
              <w:t>SO 1.4 Renforcement de la capacité des acteurs</w:t>
            </w:r>
          </w:p>
        </w:tc>
        <w:tc>
          <w:tcPr>
            <w:tcW w:w="492" w:type="dxa"/>
            <w:vMerge w:val="restart"/>
            <w:tcBorders>
              <w:top w:val="nil"/>
              <w:left w:val="single" w:sz="4" w:space="0" w:color="auto"/>
              <w:bottom w:val="single" w:sz="4" w:space="0" w:color="000000"/>
              <w:right w:val="nil"/>
            </w:tcBorders>
            <w:shd w:val="clear" w:color="auto" w:fill="auto"/>
            <w:noWrap/>
            <w:vAlign w:val="center"/>
            <w:hideMark/>
          </w:tcPr>
          <w:p w14:paraId="1E5BC441" w14:textId="77777777" w:rsidR="000904F0" w:rsidRPr="000904F0" w:rsidRDefault="000904F0" w:rsidP="000904F0">
            <w:pPr>
              <w:spacing w:after="0"/>
              <w:jc w:val="center"/>
              <w:rPr>
                <w:rFonts w:ascii="Tw Cen MT" w:hAnsi="Tw Cen MT"/>
                <w:sz w:val="20"/>
                <w:szCs w:val="20"/>
              </w:rPr>
            </w:pPr>
            <w:r w:rsidRPr="000904F0">
              <w:rPr>
                <w:rFonts w:ascii="Tw Cen MT" w:hAnsi="Tw Cen MT"/>
                <w:sz w:val="20"/>
                <w:szCs w:val="20"/>
              </w:rPr>
              <w:t>141</w:t>
            </w:r>
          </w:p>
        </w:tc>
        <w:tc>
          <w:tcPr>
            <w:tcW w:w="3748" w:type="dxa"/>
            <w:vMerge w:val="restart"/>
            <w:tcBorders>
              <w:top w:val="nil"/>
              <w:left w:val="nil"/>
              <w:bottom w:val="single" w:sz="4" w:space="0" w:color="000000"/>
              <w:right w:val="nil"/>
            </w:tcBorders>
            <w:shd w:val="clear" w:color="auto" w:fill="auto"/>
            <w:vAlign w:val="center"/>
            <w:hideMark/>
          </w:tcPr>
          <w:p w14:paraId="4184A1F1"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Renforcement des capacités des Parties Prenantes</w:t>
            </w:r>
          </w:p>
        </w:tc>
        <w:tc>
          <w:tcPr>
            <w:tcW w:w="4392" w:type="dxa"/>
            <w:tcBorders>
              <w:top w:val="single" w:sz="4" w:space="0" w:color="auto"/>
              <w:left w:val="nil"/>
              <w:bottom w:val="nil"/>
              <w:right w:val="nil"/>
            </w:tcBorders>
            <w:shd w:val="clear" w:color="auto" w:fill="auto"/>
            <w:vAlign w:val="center"/>
            <w:hideMark/>
          </w:tcPr>
          <w:p w14:paraId="18457A76"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 xml:space="preserve">Sensibilisation des parties prenantes au processus REDD+ </w:t>
            </w:r>
          </w:p>
        </w:tc>
        <w:tc>
          <w:tcPr>
            <w:tcW w:w="1985" w:type="dxa"/>
            <w:vMerge w:val="restart"/>
            <w:tcBorders>
              <w:top w:val="single" w:sz="4" w:space="0" w:color="auto"/>
              <w:left w:val="nil"/>
              <w:bottom w:val="nil"/>
              <w:right w:val="nil"/>
            </w:tcBorders>
            <w:shd w:val="clear" w:color="auto" w:fill="auto"/>
            <w:vAlign w:val="center"/>
            <w:hideMark/>
          </w:tcPr>
          <w:p w14:paraId="3C77C786"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br/>
              <w:t>Gouvernement</w:t>
            </w:r>
          </w:p>
        </w:tc>
        <w:tc>
          <w:tcPr>
            <w:tcW w:w="1984" w:type="dxa"/>
            <w:vMerge w:val="restart"/>
            <w:tcBorders>
              <w:top w:val="single" w:sz="4" w:space="0" w:color="auto"/>
              <w:left w:val="nil"/>
              <w:bottom w:val="nil"/>
              <w:right w:val="single" w:sz="4" w:space="0" w:color="auto"/>
            </w:tcBorders>
            <w:shd w:val="clear" w:color="auto" w:fill="auto"/>
            <w:vAlign w:val="center"/>
            <w:hideMark/>
          </w:tcPr>
          <w:p w14:paraId="5A2E4488"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FCPF (fonds de préparation</w:t>
            </w:r>
            <w:proofErr w:type="gramStart"/>
            <w:r w:rsidRPr="000904F0">
              <w:rPr>
                <w:rFonts w:ascii="Tw Cen MT" w:hAnsi="Tw Cen MT"/>
                <w:sz w:val="20"/>
                <w:szCs w:val="20"/>
              </w:rPr>
              <w:t>)</w:t>
            </w:r>
            <w:proofErr w:type="gramEnd"/>
            <w:r w:rsidRPr="000904F0">
              <w:rPr>
                <w:rFonts w:ascii="Tw Cen MT" w:hAnsi="Tw Cen MT"/>
                <w:sz w:val="20"/>
                <w:szCs w:val="20"/>
              </w:rPr>
              <w:br/>
              <w:t>UE (Facilité UE REDD)</w:t>
            </w:r>
          </w:p>
        </w:tc>
      </w:tr>
      <w:tr w:rsidR="000904F0" w:rsidRPr="000904F0" w14:paraId="3D3A1D5A" w14:textId="77777777" w:rsidTr="000904F0">
        <w:trPr>
          <w:trHeight w:val="585"/>
        </w:trPr>
        <w:tc>
          <w:tcPr>
            <w:tcW w:w="1007" w:type="dxa"/>
            <w:vMerge/>
            <w:tcBorders>
              <w:top w:val="single" w:sz="4" w:space="0" w:color="auto"/>
              <w:left w:val="single" w:sz="4" w:space="0" w:color="auto"/>
              <w:bottom w:val="single" w:sz="4" w:space="0" w:color="auto"/>
              <w:right w:val="nil"/>
            </w:tcBorders>
            <w:vAlign w:val="center"/>
            <w:hideMark/>
          </w:tcPr>
          <w:p w14:paraId="1A40B53B" w14:textId="77777777" w:rsidR="000904F0" w:rsidRPr="000904F0" w:rsidRDefault="000904F0" w:rsidP="000904F0">
            <w:pPr>
              <w:spacing w:after="0"/>
              <w:jc w:val="left"/>
              <w:rPr>
                <w:rFonts w:ascii="Tw Cen MT" w:hAnsi="Tw Cen MT"/>
                <w:b/>
                <w:bCs/>
                <w:color w:val="000000"/>
                <w:sz w:val="20"/>
                <w:szCs w:val="20"/>
              </w:rPr>
            </w:pPr>
          </w:p>
        </w:tc>
        <w:tc>
          <w:tcPr>
            <w:tcW w:w="492" w:type="dxa"/>
            <w:vMerge/>
            <w:tcBorders>
              <w:top w:val="nil"/>
              <w:left w:val="single" w:sz="4" w:space="0" w:color="auto"/>
              <w:bottom w:val="single" w:sz="4" w:space="0" w:color="000000"/>
              <w:right w:val="nil"/>
            </w:tcBorders>
            <w:vAlign w:val="center"/>
            <w:hideMark/>
          </w:tcPr>
          <w:p w14:paraId="3F755101" w14:textId="77777777" w:rsidR="000904F0" w:rsidRPr="000904F0" w:rsidRDefault="000904F0" w:rsidP="000904F0">
            <w:pPr>
              <w:spacing w:after="0"/>
              <w:jc w:val="left"/>
              <w:rPr>
                <w:rFonts w:ascii="Tw Cen MT" w:hAnsi="Tw Cen MT"/>
                <w:color w:val="000000"/>
                <w:sz w:val="20"/>
                <w:szCs w:val="20"/>
              </w:rPr>
            </w:pPr>
          </w:p>
        </w:tc>
        <w:tc>
          <w:tcPr>
            <w:tcW w:w="3748" w:type="dxa"/>
            <w:vMerge/>
            <w:tcBorders>
              <w:top w:val="nil"/>
              <w:left w:val="nil"/>
              <w:bottom w:val="single" w:sz="4" w:space="0" w:color="000000"/>
              <w:right w:val="nil"/>
            </w:tcBorders>
            <w:vAlign w:val="center"/>
            <w:hideMark/>
          </w:tcPr>
          <w:p w14:paraId="12B17286" w14:textId="77777777" w:rsidR="000904F0" w:rsidRPr="000904F0" w:rsidRDefault="000904F0" w:rsidP="000904F0">
            <w:pPr>
              <w:spacing w:after="0"/>
              <w:jc w:val="left"/>
              <w:rPr>
                <w:rFonts w:ascii="Tw Cen MT" w:hAnsi="Tw Cen MT"/>
                <w:sz w:val="20"/>
                <w:szCs w:val="20"/>
              </w:rPr>
            </w:pPr>
          </w:p>
        </w:tc>
        <w:tc>
          <w:tcPr>
            <w:tcW w:w="4392" w:type="dxa"/>
            <w:tcBorders>
              <w:top w:val="nil"/>
              <w:left w:val="nil"/>
              <w:bottom w:val="nil"/>
              <w:right w:val="nil"/>
            </w:tcBorders>
            <w:shd w:val="clear" w:color="auto" w:fill="auto"/>
            <w:vAlign w:val="center"/>
            <w:hideMark/>
          </w:tcPr>
          <w:p w14:paraId="3C834C62"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Visibilité du processus REDD+ au niveau des parties prenantes</w:t>
            </w:r>
          </w:p>
        </w:tc>
        <w:tc>
          <w:tcPr>
            <w:tcW w:w="1985" w:type="dxa"/>
            <w:vMerge/>
            <w:tcBorders>
              <w:top w:val="single" w:sz="4" w:space="0" w:color="auto"/>
              <w:left w:val="nil"/>
              <w:bottom w:val="nil"/>
              <w:right w:val="nil"/>
            </w:tcBorders>
            <w:vAlign w:val="center"/>
            <w:hideMark/>
          </w:tcPr>
          <w:p w14:paraId="14160CF1" w14:textId="77777777" w:rsidR="000904F0" w:rsidRPr="000904F0" w:rsidRDefault="000904F0" w:rsidP="000904F0">
            <w:pPr>
              <w:spacing w:after="0"/>
              <w:jc w:val="left"/>
              <w:rPr>
                <w:rFonts w:ascii="Tw Cen MT" w:hAnsi="Tw Cen MT"/>
                <w:color w:val="000000"/>
                <w:sz w:val="20"/>
                <w:szCs w:val="20"/>
              </w:rPr>
            </w:pPr>
          </w:p>
        </w:tc>
        <w:tc>
          <w:tcPr>
            <w:tcW w:w="1984" w:type="dxa"/>
            <w:vMerge/>
            <w:tcBorders>
              <w:top w:val="single" w:sz="4" w:space="0" w:color="auto"/>
              <w:left w:val="nil"/>
              <w:bottom w:val="nil"/>
              <w:right w:val="single" w:sz="4" w:space="0" w:color="auto"/>
            </w:tcBorders>
            <w:vAlign w:val="center"/>
            <w:hideMark/>
          </w:tcPr>
          <w:p w14:paraId="2CFB3C03" w14:textId="77777777" w:rsidR="000904F0" w:rsidRPr="000904F0" w:rsidRDefault="000904F0" w:rsidP="000904F0">
            <w:pPr>
              <w:spacing w:after="0"/>
              <w:jc w:val="left"/>
              <w:rPr>
                <w:rFonts w:ascii="Tw Cen MT" w:hAnsi="Tw Cen MT"/>
                <w:color w:val="000000"/>
                <w:sz w:val="20"/>
                <w:szCs w:val="20"/>
              </w:rPr>
            </w:pPr>
          </w:p>
        </w:tc>
      </w:tr>
      <w:tr w:rsidR="000904F0" w:rsidRPr="000904F0" w14:paraId="324ED599" w14:textId="77777777" w:rsidTr="000904F0">
        <w:trPr>
          <w:trHeight w:val="690"/>
        </w:trPr>
        <w:tc>
          <w:tcPr>
            <w:tcW w:w="1007" w:type="dxa"/>
            <w:vMerge/>
            <w:tcBorders>
              <w:top w:val="single" w:sz="4" w:space="0" w:color="auto"/>
              <w:left w:val="single" w:sz="4" w:space="0" w:color="auto"/>
              <w:bottom w:val="single" w:sz="4" w:space="0" w:color="auto"/>
              <w:right w:val="nil"/>
            </w:tcBorders>
            <w:vAlign w:val="center"/>
            <w:hideMark/>
          </w:tcPr>
          <w:p w14:paraId="7984CC80" w14:textId="77777777" w:rsidR="000904F0" w:rsidRPr="000904F0" w:rsidRDefault="000904F0" w:rsidP="000904F0">
            <w:pPr>
              <w:spacing w:after="0"/>
              <w:jc w:val="left"/>
              <w:rPr>
                <w:rFonts w:ascii="Tw Cen MT" w:hAnsi="Tw Cen MT"/>
                <w:b/>
                <w:bCs/>
                <w:color w:val="000000"/>
                <w:sz w:val="20"/>
                <w:szCs w:val="20"/>
              </w:rPr>
            </w:pPr>
          </w:p>
        </w:tc>
        <w:tc>
          <w:tcPr>
            <w:tcW w:w="492" w:type="dxa"/>
            <w:vMerge/>
            <w:tcBorders>
              <w:top w:val="nil"/>
              <w:left w:val="single" w:sz="4" w:space="0" w:color="auto"/>
              <w:bottom w:val="single" w:sz="4" w:space="0" w:color="000000"/>
              <w:right w:val="nil"/>
            </w:tcBorders>
            <w:vAlign w:val="center"/>
            <w:hideMark/>
          </w:tcPr>
          <w:p w14:paraId="76A63D4A" w14:textId="77777777" w:rsidR="000904F0" w:rsidRPr="000904F0" w:rsidRDefault="000904F0" w:rsidP="000904F0">
            <w:pPr>
              <w:spacing w:after="0"/>
              <w:jc w:val="left"/>
              <w:rPr>
                <w:rFonts w:ascii="Tw Cen MT" w:hAnsi="Tw Cen MT"/>
                <w:color w:val="000000"/>
                <w:sz w:val="20"/>
                <w:szCs w:val="20"/>
              </w:rPr>
            </w:pPr>
          </w:p>
        </w:tc>
        <w:tc>
          <w:tcPr>
            <w:tcW w:w="3748" w:type="dxa"/>
            <w:vMerge/>
            <w:tcBorders>
              <w:top w:val="nil"/>
              <w:left w:val="nil"/>
              <w:bottom w:val="single" w:sz="4" w:space="0" w:color="000000"/>
              <w:right w:val="nil"/>
            </w:tcBorders>
            <w:vAlign w:val="center"/>
            <w:hideMark/>
          </w:tcPr>
          <w:p w14:paraId="628A2436" w14:textId="77777777" w:rsidR="000904F0" w:rsidRPr="000904F0" w:rsidRDefault="000904F0" w:rsidP="000904F0">
            <w:pPr>
              <w:spacing w:after="0"/>
              <w:jc w:val="left"/>
              <w:rPr>
                <w:rFonts w:ascii="Tw Cen MT" w:hAnsi="Tw Cen MT"/>
                <w:sz w:val="20"/>
                <w:szCs w:val="20"/>
              </w:rPr>
            </w:pPr>
          </w:p>
        </w:tc>
        <w:tc>
          <w:tcPr>
            <w:tcW w:w="4392" w:type="dxa"/>
            <w:tcBorders>
              <w:top w:val="nil"/>
              <w:left w:val="nil"/>
              <w:bottom w:val="single" w:sz="4" w:space="0" w:color="auto"/>
              <w:right w:val="nil"/>
            </w:tcBorders>
            <w:shd w:val="clear" w:color="auto" w:fill="auto"/>
            <w:vAlign w:val="center"/>
            <w:hideMark/>
          </w:tcPr>
          <w:p w14:paraId="689C0DD9" w14:textId="77777777" w:rsidR="000904F0" w:rsidRPr="000904F0" w:rsidRDefault="000904F0" w:rsidP="000904F0">
            <w:pPr>
              <w:spacing w:after="0"/>
              <w:jc w:val="left"/>
              <w:rPr>
                <w:rFonts w:ascii="Tw Cen MT" w:hAnsi="Tw Cen MT"/>
                <w:sz w:val="20"/>
                <w:szCs w:val="20"/>
              </w:rPr>
            </w:pPr>
            <w:r w:rsidRPr="000904F0">
              <w:rPr>
                <w:rFonts w:ascii="Tw Cen MT" w:hAnsi="Tw Cen MT"/>
                <w:sz w:val="20"/>
                <w:szCs w:val="20"/>
              </w:rPr>
              <w:t xml:space="preserve">Gestion des connaissances des parties prenantes </w:t>
            </w:r>
          </w:p>
        </w:tc>
        <w:tc>
          <w:tcPr>
            <w:tcW w:w="1985" w:type="dxa"/>
            <w:vMerge/>
            <w:tcBorders>
              <w:top w:val="single" w:sz="4" w:space="0" w:color="auto"/>
              <w:left w:val="nil"/>
              <w:bottom w:val="single" w:sz="4" w:space="0" w:color="auto"/>
              <w:right w:val="nil"/>
            </w:tcBorders>
            <w:vAlign w:val="center"/>
            <w:hideMark/>
          </w:tcPr>
          <w:p w14:paraId="45CC1CB1" w14:textId="77777777" w:rsidR="000904F0" w:rsidRPr="000904F0" w:rsidRDefault="000904F0" w:rsidP="000904F0">
            <w:pPr>
              <w:spacing w:after="0"/>
              <w:jc w:val="left"/>
              <w:rPr>
                <w:rFonts w:ascii="Tw Cen MT" w:hAnsi="Tw Cen MT"/>
                <w:color w:val="000000"/>
                <w:sz w:val="20"/>
                <w:szCs w:val="20"/>
              </w:rPr>
            </w:pPr>
          </w:p>
        </w:tc>
        <w:tc>
          <w:tcPr>
            <w:tcW w:w="1984" w:type="dxa"/>
            <w:vMerge/>
            <w:tcBorders>
              <w:top w:val="single" w:sz="4" w:space="0" w:color="auto"/>
              <w:left w:val="nil"/>
              <w:bottom w:val="single" w:sz="4" w:space="0" w:color="auto"/>
              <w:right w:val="single" w:sz="4" w:space="0" w:color="auto"/>
            </w:tcBorders>
            <w:vAlign w:val="center"/>
            <w:hideMark/>
          </w:tcPr>
          <w:p w14:paraId="42758A7E" w14:textId="77777777" w:rsidR="000904F0" w:rsidRPr="000904F0" w:rsidRDefault="000904F0" w:rsidP="000904F0">
            <w:pPr>
              <w:spacing w:after="0"/>
              <w:jc w:val="left"/>
              <w:rPr>
                <w:rFonts w:ascii="Tw Cen MT" w:hAnsi="Tw Cen MT"/>
                <w:color w:val="000000"/>
                <w:sz w:val="20"/>
                <w:szCs w:val="20"/>
              </w:rPr>
            </w:pPr>
          </w:p>
        </w:tc>
      </w:tr>
    </w:tbl>
    <w:p w14:paraId="15DE6972" w14:textId="6D6D0870" w:rsidR="004421EA" w:rsidRDefault="004421EA" w:rsidP="00643127">
      <w:pPr>
        <w:rPr>
          <w:highlight w:val="yellow"/>
        </w:rPr>
      </w:pPr>
    </w:p>
    <w:p w14:paraId="2922FD0E" w14:textId="77777777" w:rsidR="004421EA" w:rsidRDefault="004421EA" w:rsidP="00643127">
      <w:pPr>
        <w:rPr>
          <w:highlight w:val="yellow"/>
        </w:rPr>
      </w:pPr>
    </w:p>
    <w:p w14:paraId="4521A16C" w14:textId="77777777" w:rsidR="004421EA" w:rsidRDefault="004421EA" w:rsidP="00643127">
      <w:pPr>
        <w:rPr>
          <w:highlight w:val="yellow"/>
        </w:rPr>
      </w:pPr>
    </w:p>
    <w:tbl>
      <w:tblPr>
        <w:tblW w:w="13608" w:type="dxa"/>
        <w:tblInd w:w="70" w:type="dxa"/>
        <w:tblCellMar>
          <w:left w:w="70" w:type="dxa"/>
          <w:right w:w="70" w:type="dxa"/>
        </w:tblCellMar>
        <w:tblLook w:val="04A0" w:firstRow="1" w:lastRow="0" w:firstColumn="1" w:lastColumn="0" w:noHBand="0" w:noVBand="1"/>
      </w:tblPr>
      <w:tblGrid>
        <w:gridCol w:w="993"/>
        <w:gridCol w:w="505"/>
        <w:gridCol w:w="3747"/>
        <w:gridCol w:w="4394"/>
        <w:gridCol w:w="1985"/>
        <w:gridCol w:w="1984"/>
      </w:tblGrid>
      <w:tr w:rsidR="00563458" w:rsidRPr="007B4F38" w14:paraId="73719071" w14:textId="77777777" w:rsidTr="00442310">
        <w:trPr>
          <w:trHeight w:val="315"/>
        </w:trPr>
        <w:tc>
          <w:tcPr>
            <w:tcW w:w="9639" w:type="dxa"/>
            <w:gridSpan w:val="4"/>
            <w:tcBorders>
              <w:top w:val="single" w:sz="4" w:space="0" w:color="auto"/>
              <w:left w:val="single" w:sz="4" w:space="0" w:color="auto"/>
              <w:right w:val="nil"/>
            </w:tcBorders>
            <w:shd w:val="clear" w:color="000000" w:fill="F79646"/>
            <w:noWrap/>
            <w:vAlign w:val="bottom"/>
            <w:hideMark/>
          </w:tcPr>
          <w:p w14:paraId="3FD8D921" w14:textId="77777777" w:rsidR="00563458" w:rsidRPr="008A0AD5" w:rsidRDefault="00563458" w:rsidP="00442310">
            <w:pPr>
              <w:spacing w:after="0"/>
              <w:jc w:val="left"/>
              <w:rPr>
                <w:b/>
                <w:bCs/>
                <w:sz w:val="20"/>
                <w:szCs w:val="20"/>
              </w:rPr>
            </w:pPr>
            <w:r w:rsidRPr="008A0AD5">
              <w:rPr>
                <w:b/>
                <w:bCs/>
                <w:sz w:val="20"/>
                <w:szCs w:val="20"/>
              </w:rPr>
              <w:lastRenderedPageBreak/>
              <w:t>OPTION 2 : Gestion et valorisation durable des ressources forestières</w:t>
            </w:r>
          </w:p>
        </w:tc>
        <w:tc>
          <w:tcPr>
            <w:tcW w:w="1985" w:type="dxa"/>
            <w:tcBorders>
              <w:top w:val="single" w:sz="4" w:space="0" w:color="auto"/>
              <w:left w:val="nil"/>
              <w:right w:val="nil"/>
            </w:tcBorders>
            <w:shd w:val="clear" w:color="000000" w:fill="F79646"/>
            <w:noWrap/>
            <w:vAlign w:val="bottom"/>
            <w:hideMark/>
          </w:tcPr>
          <w:p w14:paraId="7D0E9942" w14:textId="77777777" w:rsidR="00563458" w:rsidRPr="008A0AD5" w:rsidRDefault="00563458" w:rsidP="00442310">
            <w:pPr>
              <w:spacing w:after="0"/>
              <w:jc w:val="left"/>
              <w:rPr>
                <w:color w:val="000000"/>
                <w:sz w:val="20"/>
                <w:szCs w:val="20"/>
              </w:rPr>
            </w:pPr>
            <w:r w:rsidRPr="008A0AD5">
              <w:rPr>
                <w:color w:val="000000"/>
                <w:sz w:val="20"/>
                <w:szCs w:val="20"/>
              </w:rPr>
              <w:t> </w:t>
            </w:r>
          </w:p>
        </w:tc>
        <w:tc>
          <w:tcPr>
            <w:tcW w:w="1984" w:type="dxa"/>
            <w:tcBorders>
              <w:top w:val="single" w:sz="4" w:space="0" w:color="auto"/>
              <w:left w:val="nil"/>
              <w:right w:val="single" w:sz="4" w:space="0" w:color="auto"/>
            </w:tcBorders>
            <w:shd w:val="clear" w:color="000000" w:fill="F79646"/>
            <w:noWrap/>
            <w:vAlign w:val="center"/>
            <w:hideMark/>
          </w:tcPr>
          <w:p w14:paraId="341A63C0" w14:textId="77777777" w:rsidR="00563458" w:rsidRPr="008A0AD5" w:rsidRDefault="00563458" w:rsidP="00442310">
            <w:pPr>
              <w:spacing w:after="0"/>
              <w:jc w:val="center"/>
              <w:rPr>
                <w:color w:val="000000"/>
                <w:sz w:val="20"/>
                <w:szCs w:val="20"/>
              </w:rPr>
            </w:pPr>
            <w:r w:rsidRPr="008A0AD5">
              <w:rPr>
                <w:color w:val="000000"/>
                <w:sz w:val="20"/>
                <w:szCs w:val="20"/>
              </w:rPr>
              <w:t> </w:t>
            </w:r>
          </w:p>
        </w:tc>
      </w:tr>
      <w:tr w:rsidR="00563458" w:rsidRPr="007B4F38" w14:paraId="28FBD48C" w14:textId="77777777" w:rsidTr="00442310">
        <w:trPr>
          <w:trHeight w:val="285"/>
        </w:trPr>
        <w:tc>
          <w:tcPr>
            <w:tcW w:w="993" w:type="dxa"/>
            <w:vMerge w:val="restart"/>
            <w:tcBorders>
              <w:left w:val="single" w:sz="4" w:space="0" w:color="auto"/>
              <w:bottom w:val="nil"/>
              <w:right w:val="nil"/>
            </w:tcBorders>
            <w:shd w:val="clear" w:color="000000" w:fill="B8CCE4"/>
            <w:vAlign w:val="center"/>
            <w:hideMark/>
          </w:tcPr>
          <w:p w14:paraId="66BF3B21" w14:textId="77777777" w:rsidR="00563458" w:rsidRPr="008A0AD5" w:rsidRDefault="00563458" w:rsidP="00442310">
            <w:pPr>
              <w:spacing w:after="0"/>
              <w:jc w:val="center"/>
              <w:rPr>
                <w:b/>
                <w:bCs/>
                <w:color w:val="000000"/>
                <w:sz w:val="20"/>
                <w:szCs w:val="20"/>
              </w:rPr>
            </w:pPr>
            <w:r w:rsidRPr="008A0AD5">
              <w:rPr>
                <w:b/>
                <w:bCs/>
                <w:color w:val="000000"/>
                <w:sz w:val="20"/>
                <w:szCs w:val="20"/>
              </w:rPr>
              <w:t> </w:t>
            </w:r>
          </w:p>
        </w:tc>
        <w:tc>
          <w:tcPr>
            <w:tcW w:w="4252" w:type="dxa"/>
            <w:gridSpan w:val="2"/>
            <w:vMerge w:val="restart"/>
            <w:tcBorders>
              <w:left w:val="nil"/>
              <w:bottom w:val="nil"/>
              <w:right w:val="nil"/>
            </w:tcBorders>
            <w:shd w:val="clear" w:color="000000" w:fill="B8CCE4"/>
            <w:vAlign w:val="center"/>
            <w:hideMark/>
          </w:tcPr>
          <w:p w14:paraId="514C5966" w14:textId="77777777" w:rsidR="00563458" w:rsidRPr="008A0AD5" w:rsidRDefault="00563458" w:rsidP="00442310">
            <w:pPr>
              <w:spacing w:after="0"/>
              <w:jc w:val="center"/>
              <w:rPr>
                <w:b/>
                <w:bCs/>
                <w:color w:val="000000"/>
                <w:sz w:val="20"/>
                <w:szCs w:val="20"/>
              </w:rPr>
            </w:pPr>
            <w:r w:rsidRPr="008A0AD5">
              <w:rPr>
                <w:b/>
                <w:bCs/>
                <w:color w:val="000000"/>
                <w:sz w:val="20"/>
                <w:szCs w:val="20"/>
              </w:rPr>
              <w:t xml:space="preserve">Activité </w:t>
            </w:r>
          </w:p>
        </w:tc>
        <w:tc>
          <w:tcPr>
            <w:tcW w:w="4394" w:type="dxa"/>
            <w:vMerge w:val="restart"/>
            <w:tcBorders>
              <w:left w:val="nil"/>
              <w:bottom w:val="nil"/>
              <w:right w:val="nil"/>
            </w:tcBorders>
            <w:shd w:val="clear" w:color="000000" w:fill="B8CCE4"/>
            <w:vAlign w:val="center"/>
            <w:hideMark/>
          </w:tcPr>
          <w:p w14:paraId="790E73EB" w14:textId="77777777" w:rsidR="00563458" w:rsidRPr="008A0AD5" w:rsidRDefault="00563458" w:rsidP="00442310">
            <w:pPr>
              <w:spacing w:after="0"/>
              <w:jc w:val="center"/>
              <w:rPr>
                <w:b/>
                <w:bCs/>
                <w:color w:val="000000"/>
                <w:sz w:val="20"/>
                <w:szCs w:val="20"/>
              </w:rPr>
            </w:pPr>
            <w:r w:rsidRPr="008A0AD5">
              <w:rPr>
                <w:b/>
                <w:bCs/>
                <w:color w:val="000000"/>
                <w:sz w:val="20"/>
                <w:szCs w:val="20"/>
              </w:rPr>
              <w:t>Sous-activité</w:t>
            </w:r>
          </w:p>
        </w:tc>
        <w:tc>
          <w:tcPr>
            <w:tcW w:w="3969" w:type="dxa"/>
            <w:gridSpan w:val="2"/>
            <w:tcBorders>
              <w:left w:val="nil"/>
              <w:bottom w:val="nil"/>
              <w:right w:val="single" w:sz="4" w:space="0" w:color="auto"/>
            </w:tcBorders>
            <w:shd w:val="clear" w:color="000000" w:fill="B8CCE4"/>
            <w:noWrap/>
            <w:vAlign w:val="bottom"/>
            <w:hideMark/>
          </w:tcPr>
          <w:p w14:paraId="3A8204B8" w14:textId="77777777" w:rsidR="00563458" w:rsidRPr="008A0AD5" w:rsidRDefault="00563458" w:rsidP="00442310">
            <w:pPr>
              <w:spacing w:after="0"/>
              <w:jc w:val="center"/>
              <w:rPr>
                <w:b/>
                <w:bCs/>
                <w:sz w:val="20"/>
                <w:szCs w:val="20"/>
              </w:rPr>
            </w:pPr>
            <w:r w:rsidRPr="008A0AD5">
              <w:rPr>
                <w:b/>
                <w:bCs/>
                <w:sz w:val="20"/>
                <w:szCs w:val="20"/>
              </w:rPr>
              <w:t>Sources de financement potentielles</w:t>
            </w:r>
          </w:p>
        </w:tc>
      </w:tr>
      <w:tr w:rsidR="00563458" w:rsidRPr="007B4F38" w14:paraId="1EC39051" w14:textId="77777777" w:rsidTr="00442310">
        <w:trPr>
          <w:trHeight w:val="285"/>
        </w:trPr>
        <w:tc>
          <w:tcPr>
            <w:tcW w:w="993" w:type="dxa"/>
            <w:vMerge/>
            <w:tcBorders>
              <w:top w:val="nil"/>
              <w:left w:val="single" w:sz="4" w:space="0" w:color="auto"/>
              <w:bottom w:val="single" w:sz="4" w:space="0" w:color="auto"/>
              <w:right w:val="nil"/>
            </w:tcBorders>
            <w:vAlign w:val="center"/>
            <w:hideMark/>
          </w:tcPr>
          <w:p w14:paraId="6015C032" w14:textId="77777777" w:rsidR="00563458" w:rsidRPr="008A0AD5" w:rsidRDefault="00563458" w:rsidP="00442310">
            <w:pPr>
              <w:spacing w:after="0"/>
              <w:jc w:val="left"/>
              <w:rPr>
                <w:b/>
                <w:bCs/>
                <w:color w:val="000000"/>
                <w:sz w:val="20"/>
                <w:szCs w:val="20"/>
              </w:rPr>
            </w:pPr>
          </w:p>
        </w:tc>
        <w:tc>
          <w:tcPr>
            <w:tcW w:w="4252" w:type="dxa"/>
            <w:gridSpan w:val="2"/>
            <w:vMerge/>
            <w:tcBorders>
              <w:top w:val="nil"/>
              <w:left w:val="nil"/>
              <w:bottom w:val="single" w:sz="4" w:space="0" w:color="auto"/>
              <w:right w:val="nil"/>
            </w:tcBorders>
            <w:vAlign w:val="center"/>
            <w:hideMark/>
          </w:tcPr>
          <w:p w14:paraId="3D7B26FD" w14:textId="77777777" w:rsidR="00563458" w:rsidRPr="008A0AD5" w:rsidRDefault="00563458" w:rsidP="00442310">
            <w:pPr>
              <w:spacing w:after="0"/>
              <w:jc w:val="left"/>
              <w:rPr>
                <w:b/>
                <w:bCs/>
                <w:color w:val="000000"/>
                <w:sz w:val="20"/>
                <w:szCs w:val="20"/>
              </w:rPr>
            </w:pPr>
          </w:p>
        </w:tc>
        <w:tc>
          <w:tcPr>
            <w:tcW w:w="4394" w:type="dxa"/>
            <w:vMerge/>
            <w:tcBorders>
              <w:top w:val="nil"/>
              <w:left w:val="nil"/>
              <w:bottom w:val="single" w:sz="4" w:space="0" w:color="auto"/>
              <w:right w:val="nil"/>
            </w:tcBorders>
            <w:vAlign w:val="center"/>
            <w:hideMark/>
          </w:tcPr>
          <w:p w14:paraId="3893962C" w14:textId="77777777" w:rsidR="00563458" w:rsidRPr="008A0AD5" w:rsidRDefault="00563458" w:rsidP="00442310">
            <w:pPr>
              <w:spacing w:after="0"/>
              <w:jc w:val="left"/>
              <w:rPr>
                <w:b/>
                <w:bCs/>
                <w:color w:val="000000"/>
                <w:sz w:val="20"/>
                <w:szCs w:val="20"/>
              </w:rPr>
            </w:pPr>
          </w:p>
        </w:tc>
        <w:tc>
          <w:tcPr>
            <w:tcW w:w="1985" w:type="dxa"/>
            <w:tcBorders>
              <w:top w:val="nil"/>
              <w:left w:val="nil"/>
              <w:bottom w:val="single" w:sz="4" w:space="0" w:color="auto"/>
              <w:right w:val="nil"/>
            </w:tcBorders>
            <w:shd w:val="clear" w:color="000000" w:fill="B8CCE4"/>
            <w:vAlign w:val="center"/>
            <w:hideMark/>
          </w:tcPr>
          <w:p w14:paraId="10F4DCCB" w14:textId="77777777" w:rsidR="00563458" w:rsidRPr="008A0AD5" w:rsidRDefault="00563458" w:rsidP="00442310">
            <w:pPr>
              <w:spacing w:after="0"/>
              <w:jc w:val="center"/>
              <w:rPr>
                <w:b/>
                <w:bCs/>
                <w:color w:val="000000"/>
                <w:sz w:val="20"/>
                <w:szCs w:val="20"/>
              </w:rPr>
            </w:pPr>
            <w:r w:rsidRPr="008A0AD5">
              <w:rPr>
                <w:b/>
                <w:bCs/>
                <w:color w:val="000000"/>
                <w:sz w:val="20"/>
                <w:szCs w:val="20"/>
              </w:rPr>
              <w:t>Domestique</w:t>
            </w:r>
          </w:p>
        </w:tc>
        <w:tc>
          <w:tcPr>
            <w:tcW w:w="1984" w:type="dxa"/>
            <w:tcBorders>
              <w:top w:val="nil"/>
              <w:left w:val="nil"/>
              <w:bottom w:val="single" w:sz="4" w:space="0" w:color="auto"/>
              <w:right w:val="single" w:sz="4" w:space="0" w:color="auto"/>
            </w:tcBorders>
            <w:shd w:val="clear" w:color="000000" w:fill="B8CCE4"/>
            <w:vAlign w:val="center"/>
            <w:hideMark/>
          </w:tcPr>
          <w:p w14:paraId="1CC7242D" w14:textId="77777777" w:rsidR="00563458" w:rsidRPr="008A0AD5" w:rsidRDefault="00563458" w:rsidP="00442310">
            <w:pPr>
              <w:spacing w:after="0"/>
              <w:jc w:val="center"/>
              <w:rPr>
                <w:b/>
                <w:color w:val="000000"/>
                <w:sz w:val="20"/>
                <w:szCs w:val="20"/>
              </w:rPr>
            </w:pPr>
            <w:r w:rsidRPr="008A0AD5">
              <w:rPr>
                <w:b/>
                <w:color w:val="000000"/>
                <w:sz w:val="20"/>
                <w:szCs w:val="20"/>
              </w:rPr>
              <w:t>Internationale</w:t>
            </w:r>
          </w:p>
        </w:tc>
      </w:tr>
      <w:tr w:rsidR="00563458" w:rsidRPr="00630427" w14:paraId="775E95B0" w14:textId="77777777" w:rsidTr="00442310">
        <w:trPr>
          <w:trHeight w:val="285"/>
        </w:trPr>
        <w:tc>
          <w:tcPr>
            <w:tcW w:w="993" w:type="dxa"/>
            <w:vMerge w:val="restart"/>
            <w:tcBorders>
              <w:top w:val="single" w:sz="4" w:space="0" w:color="auto"/>
              <w:left w:val="single" w:sz="4" w:space="0" w:color="auto"/>
              <w:bottom w:val="single" w:sz="4" w:space="0" w:color="auto"/>
              <w:right w:val="nil"/>
            </w:tcBorders>
            <w:shd w:val="clear" w:color="000000" w:fill="B8CCE4"/>
            <w:textDirection w:val="btLr"/>
            <w:vAlign w:val="center"/>
            <w:hideMark/>
          </w:tcPr>
          <w:p w14:paraId="4F842F38" w14:textId="77777777" w:rsidR="00563458" w:rsidRPr="008A0AD5" w:rsidRDefault="00563458" w:rsidP="00442310">
            <w:pPr>
              <w:spacing w:after="0"/>
              <w:jc w:val="center"/>
              <w:rPr>
                <w:b/>
                <w:bCs/>
                <w:color w:val="000000"/>
                <w:sz w:val="20"/>
                <w:szCs w:val="20"/>
              </w:rPr>
            </w:pPr>
            <w:r w:rsidRPr="008A0AD5">
              <w:rPr>
                <w:b/>
                <w:bCs/>
                <w:color w:val="000000"/>
                <w:sz w:val="20"/>
                <w:szCs w:val="20"/>
              </w:rPr>
              <w:t>SO 2.1 Aménagement forestier durable</w:t>
            </w:r>
          </w:p>
        </w:tc>
        <w:tc>
          <w:tcPr>
            <w:tcW w:w="505"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1D144F3D" w14:textId="77777777" w:rsidR="00563458" w:rsidRPr="008A0AD5" w:rsidRDefault="00563458" w:rsidP="00442310">
            <w:pPr>
              <w:spacing w:after="0"/>
              <w:jc w:val="center"/>
              <w:rPr>
                <w:sz w:val="20"/>
                <w:szCs w:val="20"/>
              </w:rPr>
            </w:pPr>
            <w:r w:rsidRPr="008A0AD5">
              <w:rPr>
                <w:sz w:val="20"/>
                <w:szCs w:val="20"/>
              </w:rPr>
              <w:t>211</w:t>
            </w:r>
          </w:p>
        </w:tc>
        <w:tc>
          <w:tcPr>
            <w:tcW w:w="3747" w:type="dxa"/>
            <w:vMerge w:val="restart"/>
            <w:tcBorders>
              <w:top w:val="single" w:sz="4" w:space="0" w:color="auto"/>
              <w:left w:val="nil"/>
              <w:bottom w:val="single" w:sz="4" w:space="0" w:color="000000"/>
              <w:right w:val="nil"/>
            </w:tcBorders>
            <w:shd w:val="clear" w:color="auto" w:fill="auto"/>
            <w:vAlign w:val="center"/>
            <w:hideMark/>
          </w:tcPr>
          <w:p w14:paraId="2F308D1C" w14:textId="77777777" w:rsidR="00563458" w:rsidRPr="008A0AD5" w:rsidRDefault="00563458" w:rsidP="00442310">
            <w:pPr>
              <w:spacing w:after="0"/>
              <w:jc w:val="left"/>
              <w:rPr>
                <w:sz w:val="20"/>
                <w:szCs w:val="20"/>
              </w:rPr>
            </w:pPr>
            <w:r w:rsidRPr="008A0AD5">
              <w:rPr>
                <w:sz w:val="20"/>
                <w:szCs w:val="20"/>
              </w:rPr>
              <w:t>Généralisation du processus d'élaboration et de mise en œuvre des plans d'aménagement forestier durable</w:t>
            </w:r>
          </w:p>
        </w:tc>
        <w:tc>
          <w:tcPr>
            <w:tcW w:w="4394" w:type="dxa"/>
            <w:tcBorders>
              <w:top w:val="single" w:sz="4" w:space="0" w:color="auto"/>
              <w:left w:val="nil"/>
              <w:bottom w:val="nil"/>
              <w:right w:val="nil"/>
            </w:tcBorders>
            <w:shd w:val="clear" w:color="auto" w:fill="auto"/>
            <w:vAlign w:val="center"/>
            <w:hideMark/>
          </w:tcPr>
          <w:p w14:paraId="74A23C9E" w14:textId="77777777" w:rsidR="00563458" w:rsidRPr="008A0AD5" w:rsidRDefault="00563458" w:rsidP="00442310">
            <w:pPr>
              <w:spacing w:after="0"/>
              <w:jc w:val="left"/>
              <w:rPr>
                <w:sz w:val="20"/>
                <w:szCs w:val="20"/>
              </w:rPr>
            </w:pPr>
            <w:r w:rsidRPr="008A0AD5">
              <w:rPr>
                <w:sz w:val="20"/>
                <w:szCs w:val="20"/>
              </w:rPr>
              <w:t>Finalisation des PA de toutes les concessions en 2017</w:t>
            </w:r>
          </w:p>
        </w:tc>
        <w:tc>
          <w:tcPr>
            <w:tcW w:w="1985" w:type="dxa"/>
            <w:vMerge w:val="restart"/>
            <w:tcBorders>
              <w:top w:val="single" w:sz="4" w:space="0" w:color="auto"/>
              <w:left w:val="nil"/>
              <w:bottom w:val="single" w:sz="4" w:space="0" w:color="000000"/>
              <w:right w:val="nil"/>
            </w:tcBorders>
            <w:shd w:val="clear" w:color="auto" w:fill="auto"/>
            <w:vAlign w:val="center"/>
            <w:hideMark/>
          </w:tcPr>
          <w:p w14:paraId="0EFC6440" w14:textId="77777777" w:rsidR="00563458" w:rsidRPr="008A0AD5" w:rsidRDefault="00563458" w:rsidP="00442310">
            <w:pPr>
              <w:spacing w:after="0"/>
              <w:jc w:val="left"/>
              <w:rPr>
                <w:sz w:val="20"/>
                <w:szCs w:val="20"/>
              </w:rPr>
            </w:pPr>
            <w:r w:rsidRPr="008A0AD5">
              <w:rPr>
                <w:sz w:val="20"/>
                <w:szCs w:val="20"/>
              </w:rPr>
              <w:t xml:space="preserve">Entreprises forestières </w:t>
            </w:r>
            <w:r w:rsidRPr="008A0AD5">
              <w:rPr>
                <w:sz w:val="20"/>
                <w:szCs w:val="20"/>
              </w:rPr>
              <w:br/>
              <w:t>Gouvernement (dont FFN/CNIAF)</w:t>
            </w:r>
          </w:p>
        </w:tc>
        <w:tc>
          <w:tcPr>
            <w:tcW w:w="1984" w:type="dxa"/>
            <w:vMerge w:val="restart"/>
            <w:tcBorders>
              <w:top w:val="single" w:sz="4" w:space="0" w:color="auto"/>
              <w:left w:val="nil"/>
              <w:bottom w:val="single" w:sz="4" w:space="0" w:color="000000"/>
              <w:right w:val="single" w:sz="4" w:space="0" w:color="auto"/>
            </w:tcBorders>
            <w:shd w:val="clear" w:color="auto" w:fill="auto"/>
            <w:vAlign w:val="center"/>
            <w:hideMark/>
          </w:tcPr>
          <w:p w14:paraId="039E9FA1" w14:textId="77777777" w:rsidR="00563458" w:rsidRPr="008A0AD5" w:rsidRDefault="00563458" w:rsidP="00442310">
            <w:pPr>
              <w:spacing w:after="0"/>
              <w:jc w:val="left"/>
              <w:rPr>
                <w:color w:val="000000"/>
                <w:sz w:val="20"/>
                <w:szCs w:val="20"/>
                <w:lang w:val="en-US"/>
              </w:rPr>
            </w:pPr>
            <w:r w:rsidRPr="008A0AD5">
              <w:rPr>
                <w:color w:val="000000"/>
                <w:sz w:val="20"/>
                <w:szCs w:val="20"/>
                <w:lang w:val="en-US"/>
              </w:rPr>
              <w:t xml:space="preserve">AFD (C2D)/FFEM </w:t>
            </w:r>
            <w:r w:rsidRPr="008A0AD5">
              <w:rPr>
                <w:color w:val="000000"/>
                <w:sz w:val="20"/>
                <w:szCs w:val="20"/>
                <w:lang w:val="en-US"/>
              </w:rPr>
              <w:br/>
              <w:t xml:space="preserve">DFID </w:t>
            </w:r>
            <w:r w:rsidRPr="008A0AD5">
              <w:rPr>
                <w:color w:val="000000"/>
                <w:sz w:val="20"/>
                <w:szCs w:val="20"/>
                <w:lang w:val="en-US"/>
              </w:rPr>
              <w:br/>
              <w:t>BM (FIP, CAFI)</w:t>
            </w:r>
            <w:r w:rsidRPr="008A0AD5">
              <w:rPr>
                <w:color w:val="000000"/>
                <w:sz w:val="20"/>
                <w:szCs w:val="20"/>
                <w:lang w:val="en-US"/>
              </w:rPr>
              <w:br/>
            </w:r>
            <w:r w:rsidRPr="008A0AD5">
              <w:rPr>
                <w:i/>
                <w:iCs/>
                <w:color w:val="244062"/>
                <w:sz w:val="20"/>
                <w:szCs w:val="20"/>
                <w:lang w:val="en-US"/>
              </w:rPr>
              <w:t>FVC</w:t>
            </w:r>
          </w:p>
        </w:tc>
      </w:tr>
      <w:tr w:rsidR="00563458" w:rsidRPr="007B4F38" w14:paraId="26E4CC66" w14:textId="77777777" w:rsidTr="00442310">
        <w:trPr>
          <w:trHeight w:val="870"/>
        </w:trPr>
        <w:tc>
          <w:tcPr>
            <w:tcW w:w="993" w:type="dxa"/>
            <w:vMerge/>
            <w:tcBorders>
              <w:top w:val="nil"/>
              <w:left w:val="single" w:sz="4" w:space="0" w:color="auto"/>
              <w:bottom w:val="single" w:sz="4" w:space="0" w:color="auto"/>
              <w:right w:val="nil"/>
            </w:tcBorders>
            <w:vAlign w:val="center"/>
            <w:hideMark/>
          </w:tcPr>
          <w:p w14:paraId="02A1759B" w14:textId="77777777" w:rsidR="00563458" w:rsidRPr="008A0AD5" w:rsidRDefault="00563458" w:rsidP="00442310">
            <w:pPr>
              <w:spacing w:after="0"/>
              <w:jc w:val="left"/>
              <w:rPr>
                <w:b/>
                <w:bCs/>
                <w:color w:val="000000"/>
                <w:sz w:val="20"/>
                <w:szCs w:val="20"/>
                <w:lang w:val="en-US"/>
              </w:rPr>
            </w:pPr>
          </w:p>
        </w:tc>
        <w:tc>
          <w:tcPr>
            <w:tcW w:w="505" w:type="dxa"/>
            <w:vMerge/>
            <w:tcBorders>
              <w:top w:val="single" w:sz="4" w:space="0" w:color="auto"/>
              <w:left w:val="single" w:sz="4" w:space="0" w:color="auto"/>
              <w:bottom w:val="single" w:sz="4" w:space="0" w:color="000000"/>
              <w:right w:val="nil"/>
            </w:tcBorders>
            <w:vAlign w:val="center"/>
            <w:hideMark/>
          </w:tcPr>
          <w:p w14:paraId="072967BF" w14:textId="77777777" w:rsidR="00563458" w:rsidRPr="008A0AD5" w:rsidRDefault="00563458" w:rsidP="00442310">
            <w:pPr>
              <w:spacing w:after="0"/>
              <w:jc w:val="left"/>
              <w:rPr>
                <w:sz w:val="20"/>
                <w:szCs w:val="20"/>
                <w:lang w:val="en-US"/>
              </w:rPr>
            </w:pPr>
          </w:p>
        </w:tc>
        <w:tc>
          <w:tcPr>
            <w:tcW w:w="3747" w:type="dxa"/>
            <w:vMerge/>
            <w:tcBorders>
              <w:top w:val="single" w:sz="4" w:space="0" w:color="auto"/>
              <w:left w:val="nil"/>
              <w:bottom w:val="single" w:sz="4" w:space="0" w:color="000000"/>
              <w:right w:val="nil"/>
            </w:tcBorders>
            <w:vAlign w:val="center"/>
            <w:hideMark/>
          </w:tcPr>
          <w:p w14:paraId="5A7DB2D9" w14:textId="77777777" w:rsidR="00563458" w:rsidRPr="008A0AD5" w:rsidRDefault="00563458" w:rsidP="00442310">
            <w:pPr>
              <w:spacing w:after="0"/>
              <w:jc w:val="left"/>
              <w:rPr>
                <w:sz w:val="20"/>
                <w:szCs w:val="20"/>
                <w:lang w:val="en-US"/>
              </w:rPr>
            </w:pPr>
          </w:p>
        </w:tc>
        <w:tc>
          <w:tcPr>
            <w:tcW w:w="4394" w:type="dxa"/>
            <w:tcBorders>
              <w:top w:val="nil"/>
              <w:left w:val="nil"/>
              <w:bottom w:val="single" w:sz="4" w:space="0" w:color="auto"/>
              <w:right w:val="nil"/>
            </w:tcBorders>
            <w:shd w:val="clear" w:color="auto" w:fill="auto"/>
            <w:vAlign w:val="center"/>
            <w:hideMark/>
          </w:tcPr>
          <w:p w14:paraId="234322F7" w14:textId="77777777" w:rsidR="00563458" w:rsidRPr="008A0AD5" w:rsidRDefault="00563458" w:rsidP="00442310">
            <w:pPr>
              <w:spacing w:after="0"/>
              <w:jc w:val="left"/>
              <w:rPr>
                <w:sz w:val="20"/>
                <w:szCs w:val="20"/>
              </w:rPr>
            </w:pPr>
            <w:r w:rsidRPr="008A0AD5">
              <w:rPr>
                <w:sz w:val="20"/>
                <w:szCs w:val="20"/>
              </w:rPr>
              <w:t>Mise en œuvre par tous les concessionnaires de leurs plans d'aménagement</w:t>
            </w:r>
          </w:p>
        </w:tc>
        <w:tc>
          <w:tcPr>
            <w:tcW w:w="1985" w:type="dxa"/>
            <w:vMerge/>
            <w:tcBorders>
              <w:top w:val="single" w:sz="4" w:space="0" w:color="auto"/>
              <w:left w:val="nil"/>
              <w:bottom w:val="single" w:sz="4" w:space="0" w:color="000000"/>
              <w:right w:val="nil"/>
            </w:tcBorders>
            <w:vAlign w:val="center"/>
            <w:hideMark/>
          </w:tcPr>
          <w:p w14:paraId="61A116C0" w14:textId="77777777" w:rsidR="00563458" w:rsidRPr="008A0AD5" w:rsidRDefault="00563458" w:rsidP="00442310">
            <w:pPr>
              <w:spacing w:after="0"/>
              <w:jc w:val="left"/>
              <w:rPr>
                <w:sz w:val="20"/>
                <w:szCs w:val="20"/>
              </w:rPr>
            </w:pPr>
          </w:p>
        </w:tc>
        <w:tc>
          <w:tcPr>
            <w:tcW w:w="1984" w:type="dxa"/>
            <w:vMerge/>
            <w:tcBorders>
              <w:top w:val="nil"/>
              <w:left w:val="nil"/>
              <w:bottom w:val="single" w:sz="4" w:space="0" w:color="000000"/>
              <w:right w:val="single" w:sz="4" w:space="0" w:color="auto"/>
            </w:tcBorders>
            <w:vAlign w:val="center"/>
            <w:hideMark/>
          </w:tcPr>
          <w:p w14:paraId="7BF2A65A" w14:textId="77777777" w:rsidR="00563458" w:rsidRPr="008A0AD5" w:rsidRDefault="00563458" w:rsidP="00442310">
            <w:pPr>
              <w:spacing w:after="0"/>
              <w:jc w:val="left"/>
              <w:rPr>
                <w:color w:val="000000"/>
                <w:sz w:val="20"/>
                <w:szCs w:val="20"/>
              </w:rPr>
            </w:pPr>
          </w:p>
        </w:tc>
      </w:tr>
      <w:tr w:rsidR="00563458" w:rsidRPr="00630427" w14:paraId="46A00EE4" w14:textId="77777777" w:rsidTr="00442310">
        <w:trPr>
          <w:trHeight w:val="570"/>
        </w:trPr>
        <w:tc>
          <w:tcPr>
            <w:tcW w:w="993" w:type="dxa"/>
            <w:vMerge/>
            <w:tcBorders>
              <w:top w:val="nil"/>
              <w:left w:val="single" w:sz="4" w:space="0" w:color="auto"/>
              <w:bottom w:val="single" w:sz="4" w:space="0" w:color="auto"/>
              <w:right w:val="nil"/>
            </w:tcBorders>
            <w:vAlign w:val="center"/>
            <w:hideMark/>
          </w:tcPr>
          <w:p w14:paraId="328228B7" w14:textId="77777777" w:rsidR="00563458" w:rsidRPr="008A0AD5" w:rsidRDefault="00563458" w:rsidP="00442310">
            <w:pPr>
              <w:spacing w:after="0"/>
              <w:jc w:val="left"/>
              <w:rPr>
                <w:b/>
                <w:bCs/>
                <w:color w:val="000000"/>
                <w:sz w:val="20"/>
                <w:szCs w:val="20"/>
              </w:rPr>
            </w:pPr>
          </w:p>
        </w:tc>
        <w:tc>
          <w:tcPr>
            <w:tcW w:w="505" w:type="dxa"/>
            <w:vMerge w:val="restart"/>
            <w:tcBorders>
              <w:top w:val="nil"/>
              <w:left w:val="single" w:sz="4" w:space="0" w:color="auto"/>
              <w:bottom w:val="single" w:sz="4" w:space="0" w:color="000000"/>
              <w:right w:val="nil"/>
            </w:tcBorders>
            <w:shd w:val="clear" w:color="auto" w:fill="auto"/>
            <w:noWrap/>
            <w:vAlign w:val="center"/>
            <w:hideMark/>
          </w:tcPr>
          <w:p w14:paraId="4660CF25" w14:textId="77777777" w:rsidR="00563458" w:rsidRPr="008A0AD5" w:rsidRDefault="00563458" w:rsidP="00442310">
            <w:pPr>
              <w:spacing w:after="0"/>
              <w:jc w:val="center"/>
              <w:rPr>
                <w:sz w:val="20"/>
                <w:szCs w:val="20"/>
              </w:rPr>
            </w:pPr>
            <w:r w:rsidRPr="008A0AD5">
              <w:rPr>
                <w:sz w:val="20"/>
                <w:szCs w:val="20"/>
              </w:rPr>
              <w:t>212</w:t>
            </w:r>
          </w:p>
        </w:tc>
        <w:tc>
          <w:tcPr>
            <w:tcW w:w="3747" w:type="dxa"/>
            <w:vMerge w:val="restart"/>
            <w:tcBorders>
              <w:top w:val="nil"/>
              <w:left w:val="nil"/>
              <w:bottom w:val="single" w:sz="4" w:space="0" w:color="000000"/>
              <w:right w:val="nil"/>
            </w:tcBorders>
            <w:shd w:val="clear" w:color="auto" w:fill="auto"/>
            <w:vAlign w:val="center"/>
            <w:hideMark/>
          </w:tcPr>
          <w:p w14:paraId="0AF7900B" w14:textId="77777777" w:rsidR="00563458" w:rsidRPr="008A0AD5" w:rsidRDefault="00563458" w:rsidP="00442310">
            <w:pPr>
              <w:spacing w:after="0"/>
              <w:jc w:val="left"/>
              <w:rPr>
                <w:sz w:val="20"/>
                <w:szCs w:val="20"/>
              </w:rPr>
            </w:pPr>
            <w:r w:rsidRPr="008A0AD5">
              <w:rPr>
                <w:sz w:val="20"/>
                <w:szCs w:val="20"/>
              </w:rPr>
              <w:t>Renforcement de la légalité et promotion de la certification</w:t>
            </w:r>
          </w:p>
        </w:tc>
        <w:tc>
          <w:tcPr>
            <w:tcW w:w="4394" w:type="dxa"/>
            <w:tcBorders>
              <w:top w:val="nil"/>
              <w:left w:val="nil"/>
              <w:bottom w:val="nil"/>
              <w:right w:val="nil"/>
            </w:tcBorders>
            <w:shd w:val="clear" w:color="auto" w:fill="auto"/>
            <w:vAlign w:val="center"/>
            <w:hideMark/>
          </w:tcPr>
          <w:p w14:paraId="565DA20E" w14:textId="77777777" w:rsidR="00563458" w:rsidRPr="008A0AD5" w:rsidRDefault="00563458" w:rsidP="00442310">
            <w:pPr>
              <w:spacing w:after="0"/>
              <w:jc w:val="left"/>
              <w:rPr>
                <w:sz w:val="20"/>
                <w:szCs w:val="20"/>
              </w:rPr>
            </w:pPr>
            <w:r w:rsidRPr="008A0AD5">
              <w:rPr>
                <w:sz w:val="20"/>
                <w:szCs w:val="20"/>
              </w:rPr>
              <w:t>Obtention d'un certificat de type FSC gestion durable pour tous les concessionnaires forestiers en 2020</w:t>
            </w:r>
          </w:p>
        </w:tc>
        <w:tc>
          <w:tcPr>
            <w:tcW w:w="1985" w:type="dxa"/>
            <w:vMerge w:val="restart"/>
            <w:tcBorders>
              <w:top w:val="nil"/>
              <w:left w:val="nil"/>
              <w:bottom w:val="single" w:sz="4" w:space="0" w:color="000000"/>
              <w:right w:val="nil"/>
            </w:tcBorders>
            <w:shd w:val="clear" w:color="auto" w:fill="auto"/>
            <w:vAlign w:val="center"/>
            <w:hideMark/>
          </w:tcPr>
          <w:p w14:paraId="611EC56E" w14:textId="77777777" w:rsidR="00563458" w:rsidRPr="008A0AD5" w:rsidRDefault="00563458" w:rsidP="00442310">
            <w:pPr>
              <w:spacing w:after="0"/>
              <w:jc w:val="left"/>
              <w:rPr>
                <w:sz w:val="20"/>
                <w:szCs w:val="20"/>
              </w:rPr>
            </w:pPr>
            <w:r w:rsidRPr="008A0AD5">
              <w:rPr>
                <w:sz w:val="20"/>
                <w:szCs w:val="20"/>
              </w:rPr>
              <w:t xml:space="preserve">Entreprises forestières </w:t>
            </w:r>
            <w:r w:rsidRPr="008A0AD5">
              <w:rPr>
                <w:sz w:val="20"/>
                <w:szCs w:val="20"/>
              </w:rPr>
              <w:br/>
              <w:t>Gouvernement (dont FFN/CNIAF)</w:t>
            </w:r>
          </w:p>
        </w:tc>
        <w:tc>
          <w:tcPr>
            <w:tcW w:w="1984" w:type="dxa"/>
            <w:vMerge w:val="restart"/>
            <w:tcBorders>
              <w:top w:val="nil"/>
              <w:left w:val="nil"/>
              <w:bottom w:val="single" w:sz="4" w:space="0" w:color="000000"/>
              <w:right w:val="single" w:sz="4" w:space="0" w:color="auto"/>
            </w:tcBorders>
            <w:shd w:val="clear" w:color="auto" w:fill="auto"/>
            <w:vAlign w:val="center"/>
            <w:hideMark/>
          </w:tcPr>
          <w:p w14:paraId="7488FEB3" w14:textId="77777777" w:rsidR="00563458" w:rsidRPr="008A0AD5" w:rsidRDefault="00563458" w:rsidP="00442310">
            <w:pPr>
              <w:spacing w:after="0"/>
              <w:jc w:val="left"/>
              <w:rPr>
                <w:color w:val="000000"/>
                <w:sz w:val="20"/>
                <w:szCs w:val="20"/>
                <w:lang w:val="en-US"/>
              </w:rPr>
            </w:pPr>
            <w:r w:rsidRPr="008A0AD5">
              <w:rPr>
                <w:color w:val="000000"/>
                <w:sz w:val="20"/>
                <w:szCs w:val="20"/>
                <w:lang w:val="en-US"/>
              </w:rPr>
              <w:t>BAD (PACIGOF)</w:t>
            </w:r>
            <w:r w:rsidRPr="008A0AD5">
              <w:rPr>
                <w:color w:val="000000"/>
                <w:sz w:val="20"/>
                <w:szCs w:val="20"/>
                <w:lang w:val="en-US"/>
              </w:rPr>
              <w:br/>
              <w:t>BMZ (GIZ -PPECF)</w:t>
            </w:r>
            <w:r w:rsidRPr="008A0AD5">
              <w:rPr>
                <w:color w:val="000000"/>
                <w:sz w:val="20"/>
                <w:szCs w:val="20"/>
                <w:lang w:val="en-US"/>
              </w:rPr>
              <w:br/>
              <w:t>BM (FIP, CAFI)</w:t>
            </w:r>
          </w:p>
        </w:tc>
      </w:tr>
      <w:tr w:rsidR="00563458" w:rsidRPr="007B4F38" w14:paraId="256F7563" w14:textId="77777777" w:rsidTr="00442310">
        <w:trPr>
          <w:trHeight w:val="285"/>
        </w:trPr>
        <w:tc>
          <w:tcPr>
            <w:tcW w:w="993" w:type="dxa"/>
            <w:vMerge/>
            <w:tcBorders>
              <w:top w:val="nil"/>
              <w:left w:val="single" w:sz="4" w:space="0" w:color="auto"/>
              <w:bottom w:val="single" w:sz="4" w:space="0" w:color="auto"/>
              <w:right w:val="nil"/>
            </w:tcBorders>
            <w:vAlign w:val="center"/>
            <w:hideMark/>
          </w:tcPr>
          <w:p w14:paraId="05681008" w14:textId="77777777" w:rsidR="00563458" w:rsidRPr="008A0AD5" w:rsidRDefault="00563458" w:rsidP="00442310">
            <w:pPr>
              <w:spacing w:after="0"/>
              <w:jc w:val="left"/>
              <w:rPr>
                <w:b/>
                <w:bCs/>
                <w:color w:val="000000"/>
                <w:sz w:val="20"/>
                <w:szCs w:val="20"/>
                <w:lang w:val="en-US"/>
              </w:rPr>
            </w:pPr>
          </w:p>
        </w:tc>
        <w:tc>
          <w:tcPr>
            <w:tcW w:w="505" w:type="dxa"/>
            <w:vMerge/>
            <w:tcBorders>
              <w:top w:val="nil"/>
              <w:left w:val="single" w:sz="4" w:space="0" w:color="auto"/>
              <w:bottom w:val="single" w:sz="4" w:space="0" w:color="000000"/>
              <w:right w:val="nil"/>
            </w:tcBorders>
            <w:vAlign w:val="center"/>
            <w:hideMark/>
          </w:tcPr>
          <w:p w14:paraId="043BB629" w14:textId="77777777" w:rsidR="00563458" w:rsidRPr="008A0AD5" w:rsidRDefault="00563458" w:rsidP="00442310">
            <w:pPr>
              <w:spacing w:after="0"/>
              <w:jc w:val="left"/>
              <w:rPr>
                <w:sz w:val="20"/>
                <w:szCs w:val="20"/>
                <w:lang w:val="en-US"/>
              </w:rPr>
            </w:pPr>
          </w:p>
        </w:tc>
        <w:tc>
          <w:tcPr>
            <w:tcW w:w="3747" w:type="dxa"/>
            <w:vMerge/>
            <w:tcBorders>
              <w:top w:val="nil"/>
              <w:left w:val="nil"/>
              <w:bottom w:val="single" w:sz="4" w:space="0" w:color="000000"/>
              <w:right w:val="nil"/>
            </w:tcBorders>
            <w:vAlign w:val="center"/>
            <w:hideMark/>
          </w:tcPr>
          <w:p w14:paraId="01C7FFAA" w14:textId="77777777" w:rsidR="00563458" w:rsidRPr="008A0AD5" w:rsidRDefault="00563458" w:rsidP="00442310">
            <w:pPr>
              <w:spacing w:after="0"/>
              <w:jc w:val="left"/>
              <w:rPr>
                <w:sz w:val="20"/>
                <w:szCs w:val="20"/>
                <w:lang w:val="en-US"/>
              </w:rPr>
            </w:pPr>
          </w:p>
        </w:tc>
        <w:tc>
          <w:tcPr>
            <w:tcW w:w="4394" w:type="dxa"/>
            <w:tcBorders>
              <w:top w:val="nil"/>
              <w:left w:val="nil"/>
              <w:bottom w:val="single" w:sz="4" w:space="0" w:color="auto"/>
              <w:right w:val="nil"/>
            </w:tcBorders>
            <w:shd w:val="clear" w:color="auto" w:fill="auto"/>
            <w:vAlign w:val="center"/>
            <w:hideMark/>
          </w:tcPr>
          <w:p w14:paraId="70A7DC25" w14:textId="77777777" w:rsidR="00563458" w:rsidRPr="008A0AD5" w:rsidRDefault="00563458" w:rsidP="00442310">
            <w:pPr>
              <w:spacing w:after="0"/>
              <w:jc w:val="left"/>
              <w:rPr>
                <w:sz w:val="20"/>
                <w:szCs w:val="20"/>
              </w:rPr>
            </w:pPr>
            <w:r w:rsidRPr="008A0AD5">
              <w:rPr>
                <w:sz w:val="20"/>
                <w:szCs w:val="20"/>
              </w:rPr>
              <w:t>Maintien de ces certificats par les concessionnaires</w:t>
            </w:r>
          </w:p>
        </w:tc>
        <w:tc>
          <w:tcPr>
            <w:tcW w:w="1985" w:type="dxa"/>
            <w:vMerge/>
            <w:tcBorders>
              <w:top w:val="nil"/>
              <w:left w:val="nil"/>
              <w:bottom w:val="single" w:sz="4" w:space="0" w:color="000000"/>
              <w:right w:val="nil"/>
            </w:tcBorders>
            <w:vAlign w:val="center"/>
            <w:hideMark/>
          </w:tcPr>
          <w:p w14:paraId="72B56AE8" w14:textId="77777777" w:rsidR="00563458" w:rsidRPr="008A0AD5" w:rsidRDefault="00563458" w:rsidP="00442310">
            <w:pPr>
              <w:spacing w:after="0"/>
              <w:jc w:val="left"/>
              <w:rPr>
                <w:sz w:val="20"/>
                <w:szCs w:val="20"/>
              </w:rPr>
            </w:pPr>
          </w:p>
        </w:tc>
        <w:tc>
          <w:tcPr>
            <w:tcW w:w="1984" w:type="dxa"/>
            <w:vMerge/>
            <w:tcBorders>
              <w:top w:val="nil"/>
              <w:left w:val="nil"/>
              <w:bottom w:val="single" w:sz="4" w:space="0" w:color="000000"/>
              <w:right w:val="single" w:sz="4" w:space="0" w:color="auto"/>
            </w:tcBorders>
            <w:vAlign w:val="center"/>
            <w:hideMark/>
          </w:tcPr>
          <w:p w14:paraId="34D3339A" w14:textId="77777777" w:rsidR="00563458" w:rsidRPr="008A0AD5" w:rsidRDefault="00563458" w:rsidP="00442310">
            <w:pPr>
              <w:spacing w:after="0"/>
              <w:jc w:val="left"/>
              <w:rPr>
                <w:color w:val="000000"/>
                <w:sz w:val="20"/>
                <w:szCs w:val="20"/>
              </w:rPr>
            </w:pPr>
          </w:p>
        </w:tc>
      </w:tr>
      <w:tr w:rsidR="00563458" w:rsidRPr="00630427" w14:paraId="2D629A2C" w14:textId="77777777" w:rsidTr="00442310">
        <w:trPr>
          <w:trHeight w:val="570"/>
        </w:trPr>
        <w:tc>
          <w:tcPr>
            <w:tcW w:w="993" w:type="dxa"/>
            <w:vMerge/>
            <w:tcBorders>
              <w:top w:val="nil"/>
              <w:left w:val="single" w:sz="4" w:space="0" w:color="auto"/>
              <w:bottom w:val="single" w:sz="4" w:space="0" w:color="auto"/>
              <w:right w:val="nil"/>
            </w:tcBorders>
            <w:vAlign w:val="center"/>
            <w:hideMark/>
          </w:tcPr>
          <w:p w14:paraId="3FF713A8" w14:textId="77777777" w:rsidR="00563458" w:rsidRPr="008A0AD5" w:rsidRDefault="00563458" w:rsidP="00442310">
            <w:pPr>
              <w:spacing w:after="0"/>
              <w:jc w:val="left"/>
              <w:rPr>
                <w:b/>
                <w:bCs/>
                <w:color w:val="000000"/>
                <w:sz w:val="20"/>
                <w:szCs w:val="20"/>
              </w:rPr>
            </w:pPr>
          </w:p>
        </w:tc>
        <w:tc>
          <w:tcPr>
            <w:tcW w:w="505" w:type="dxa"/>
            <w:vMerge w:val="restart"/>
            <w:tcBorders>
              <w:top w:val="nil"/>
              <w:left w:val="single" w:sz="4" w:space="0" w:color="auto"/>
              <w:bottom w:val="single" w:sz="4" w:space="0" w:color="000000"/>
              <w:right w:val="nil"/>
            </w:tcBorders>
            <w:shd w:val="clear" w:color="auto" w:fill="auto"/>
            <w:noWrap/>
            <w:vAlign w:val="center"/>
            <w:hideMark/>
          </w:tcPr>
          <w:p w14:paraId="04B9F2D2" w14:textId="77777777" w:rsidR="00563458" w:rsidRPr="008A0AD5" w:rsidRDefault="00563458" w:rsidP="00442310">
            <w:pPr>
              <w:spacing w:after="0"/>
              <w:jc w:val="center"/>
              <w:rPr>
                <w:color w:val="000000"/>
                <w:sz w:val="20"/>
                <w:szCs w:val="20"/>
              </w:rPr>
            </w:pPr>
            <w:r w:rsidRPr="008A0AD5">
              <w:rPr>
                <w:color w:val="000000"/>
                <w:sz w:val="20"/>
                <w:szCs w:val="20"/>
              </w:rPr>
              <w:t>213</w:t>
            </w:r>
          </w:p>
        </w:tc>
        <w:tc>
          <w:tcPr>
            <w:tcW w:w="3747" w:type="dxa"/>
            <w:vMerge w:val="restart"/>
            <w:tcBorders>
              <w:top w:val="nil"/>
              <w:left w:val="nil"/>
              <w:bottom w:val="single" w:sz="4" w:space="0" w:color="000000"/>
              <w:right w:val="nil"/>
            </w:tcBorders>
            <w:shd w:val="clear" w:color="auto" w:fill="auto"/>
            <w:vAlign w:val="center"/>
            <w:hideMark/>
          </w:tcPr>
          <w:p w14:paraId="6CA50D25" w14:textId="77777777" w:rsidR="00563458" w:rsidRPr="008A0AD5" w:rsidRDefault="00563458" w:rsidP="00442310">
            <w:pPr>
              <w:spacing w:after="0"/>
              <w:jc w:val="left"/>
              <w:rPr>
                <w:sz w:val="20"/>
                <w:szCs w:val="20"/>
              </w:rPr>
            </w:pPr>
            <w:r w:rsidRPr="008A0AD5">
              <w:rPr>
                <w:sz w:val="20"/>
                <w:szCs w:val="20"/>
              </w:rPr>
              <w:t>Renforcement des systèmes de légalité et de traçabilité des produits forestiers à travers du processus APV-FLEGT</w:t>
            </w:r>
          </w:p>
        </w:tc>
        <w:tc>
          <w:tcPr>
            <w:tcW w:w="4394" w:type="dxa"/>
            <w:tcBorders>
              <w:top w:val="nil"/>
              <w:left w:val="nil"/>
              <w:bottom w:val="nil"/>
              <w:right w:val="nil"/>
            </w:tcBorders>
            <w:shd w:val="clear" w:color="auto" w:fill="auto"/>
            <w:vAlign w:val="center"/>
            <w:hideMark/>
          </w:tcPr>
          <w:p w14:paraId="12F640C0" w14:textId="77777777" w:rsidR="00563458" w:rsidRPr="008A0AD5" w:rsidRDefault="00563458" w:rsidP="00442310">
            <w:pPr>
              <w:spacing w:after="0"/>
              <w:jc w:val="left"/>
              <w:rPr>
                <w:sz w:val="20"/>
                <w:szCs w:val="20"/>
              </w:rPr>
            </w:pPr>
            <w:r w:rsidRPr="008A0AD5">
              <w:rPr>
                <w:sz w:val="20"/>
                <w:szCs w:val="20"/>
              </w:rPr>
              <w:t>Renforcement des capacités de l'administration et des collectivités pour permettre les contrôles de 1er et 2eme niveau</w:t>
            </w:r>
          </w:p>
        </w:tc>
        <w:tc>
          <w:tcPr>
            <w:tcW w:w="1985" w:type="dxa"/>
            <w:vMerge w:val="restart"/>
            <w:tcBorders>
              <w:top w:val="nil"/>
              <w:left w:val="nil"/>
              <w:bottom w:val="single" w:sz="4" w:space="0" w:color="000000"/>
              <w:right w:val="nil"/>
            </w:tcBorders>
            <w:shd w:val="clear" w:color="auto" w:fill="auto"/>
            <w:vAlign w:val="center"/>
            <w:hideMark/>
          </w:tcPr>
          <w:p w14:paraId="0C1EC66B" w14:textId="77777777" w:rsidR="00563458" w:rsidRPr="008A0AD5" w:rsidRDefault="00563458" w:rsidP="00442310">
            <w:pPr>
              <w:spacing w:after="0"/>
              <w:jc w:val="left"/>
              <w:rPr>
                <w:sz w:val="20"/>
                <w:szCs w:val="20"/>
              </w:rPr>
            </w:pPr>
            <w:r w:rsidRPr="008A0AD5">
              <w:rPr>
                <w:sz w:val="20"/>
                <w:szCs w:val="20"/>
              </w:rPr>
              <w:t>Entreprises forestières</w:t>
            </w:r>
            <w:r w:rsidRPr="008A0AD5">
              <w:rPr>
                <w:sz w:val="20"/>
                <w:szCs w:val="20"/>
              </w:rPr>
              <w:br/>
              <w:t>Gouvernement (dont FFN)</w:t>
            </w:r>
          </w:p>
        </w:tc>
        <w:tc>
          <w:tcPr>
            <w:tcW w:w="1984" w:type="dxa"/>
            <w:vMerge w:val="restart"/>
            <w:tcBorders>
              <w:top w:val="nil"/>
              <w:left w:val="nil"/>
              <w:bottom w:val="single" w:sz="4" w:space="0" w:color="000000"/>
              <w:right w:val="single" w:sz="4" w:space="0" w:color="auto"/>
            </w:tcBorders>
            <w:shd w:val="clear" w:color="auto" w:fill="auto"/>
            <w:vAlign w:val="center"/>
            <w:hideMark/>
          </w:tcPr>
          <w:p w14:paraId="13AEA0FC" w14:textId="77777777" w:rsidR="00563458" w:rsidRPr="008A0AD5" w:rsidRDefault="00563458" w:rsidP="00442310">
            <w:pPr>
              <w:spacing w:after="0"/>
              <w:jc w:val="left"/>
              <w:rPr>
                <w:color w:val="000000"/>
                <w:sz w:val="20"/>
                <w:szCs w:val="20"/>
                <w:lang w:val="en-US"/>
              </w:rPr>
            </w:pPr>
            <w:r w:rsidRPr="008A0AD5">
              <w:rPr>
                <w:color w:val="000000"/>
                <w:sz w:val="20"/>
                <w:szCs w:val="20"/>
                <w:lang w:val="en-US"/>
              </w:rPr>
              <w:t>UE (UE FLEGT)</w:t>
            </w:r>
            <w:r w:rsidRPr="008A0AD5">
              <w:rPr>
                <w:color w:val="000000"/>
                <w:sz w:val="20"/>
                <w:szCs w:val="20"/>
                <w:lang w:val="en-US"/>
              </w:rPr>
              <w:br/>
              <w:t>BM (PFDE)</w:t>
            </w:r>
            <w:r w:rsidRPr="008A0AD5">
              <w:rPr>
                <w:color w:val="000000"/>
                <w:sz w:val="20"/>
                <w:szCs w:val="20"/>
                <w:lang w:val="en-US"/>
              </w:rPr>
              <w:br/>
              <w:t>DFID</w:t>
            </w:r>
            <w:r w:rsidRPr="008A0AD5">
              <w:rPr>
                <w:color w:val="000000"/>
                <w:sz w:val="20"/>
                <w:szCs w:val="20"/>
                <w:lang w:val="en-US"/>
              </w:rPr>
              <w:br/>
              <w:t>BAD (PACIGOF)</w:t>
            </w:r>
          </w:p>
        </w:tc>
      </w:tr>
      <w:tr w:rsidR="00563458" w:rsidRPr="007B4F38" w14:paraId="4933C9AB" w14:textId="77777777" w:rsidTr="00442310">
        <w:trPr>
          <w:trHeight w:val="285"/>
        </w:trPr>
        <w:tc>
          <w:tcPr>
            <w:tcW w:w="993" w:type="dxa"/>
            <w:vMerge/>
            <w:tcBorders>
              <w:top w:val="nil"/>
              <w:left w:val="single" w:sz="4" w:space="0" w:color="auto"/>
              <w:bottom w:val="single" w:sz="4" w:space="0" w:color="auto"/>
              <w:right w:val="nil"/>
            </w:tcBorders>
            <w:vAlign w:val="center"/>
            <w:hideMark/>
          </w:tcPr>
          <w:p w14:paraId="3AC14D6C" w14:textId="77777777" w:rsidR="00563458" w:rsidRPr="008A0AD5" w:rsidRDefault="00563458" w:rsidP="00442310">
            <w:pPr>
              <w:spacing w:after="0"/>
              <w:jc w:val="left"/>
              <w:rPr>
                <w:b/>
                <w:bCs/>
                <w:color w:val="000000"/>
                <w:sz w:val="20"/>
                <w:szCs w:val="20"/>
                <w:lang w:val="en-US"/>
              </w:rPr>
            </w:pPr>
          </w:p>
        </w:tc>
        <w:tc>
          <w:tcPr>
            <w:tcW w:w="505" w:type="dxa"/>
            <w:vMerge/>
            <w:tcBorders>
              <w:top w:val="nil"/>
              <w:left w:val="single" w:sz="4" w:space="0" w:color="auto"/>
              <w:bottom w:val="single" w:sz="4" w:space="0" w:color="000000"/>
              <w:right w:val="nil"/>
            </w:tcBorders>
            <w:vAlign w:val="center"/>
            <w:hideMark/>
          </w:tcPr>
          <w:p w14:paraId="24C3EDFF" w14:textId="77777777" w:rsidR="00563458" w:rsidRPr="008A0AD5" w:rsidRDefault="00563458" w:rsidP="00442310">
            <w:pPr>
              <w:spacing w:after="0"/>
              <w:jc w:val="left"/>
              <w:rPr>
                <w:color w:val="000000"/>
                <w:sz w:val="20"/>
                <w:szCs w:val="20"/>
                <w:lang w:val="en-US"/>
              </w:rPr>
            </w:pPr>
          </w:p>
        </w:tc>
        <w:tc>
          <w:tcPr>
            <w:tcW w:w="3747" w:type="dxa"/>
            <w:vMerge/>
            <w:tcBorders>
              <w:top w:val="nil"/>
              <w:left w:val="nil"/>
              <w:bottom w:val="single" w:sz="4" w:space="0" w:color="000000"/>
              <w:right w:val="nil"/>
            </w:tcBorders>
            <w:vAlign w:val="center"/>
            <w:hideMark/>
          </w:tcPr>
          <w:p w14:paraId="0B8E073D" w14:textId="77777777" w:rsidR="00563458" w:rsidRPr="008A0AD5" w:rsidRDefault="00563458" w:rsidP="00442310">
            <w:pPr>
              <w:spacing w:after="0"/>
              <w:jc w:val="left"/>
              <w:rPr>
                <w:sz w:val="20"/>
                <w:szCs w:val="20"/>
                <w:lang w:val="en-US"/>
              </w:rPr>
            </w:pPr>
          </w:p>
        </w:tc>
        <w:tc>
          <w:tcPr>
            <w:tcW w:w="4394" w:type="dxa"/>
            <w:tcBorders>
              <w:top w:val="nil"/>
              <w:left w:val="nil"/>
              <w:bottom w:val="nil"/>
              <w:right w:val="nil"/>
            </w:tcBorders>
            <w:shd w:val="clear" w:color="auto" w:fill="auto"/>
            <w:vAlign w:val="center"/>
            <w:hideMark/>
          </w:tcPr>
          <w:p w14:paraId="62B85A18" w14:textId="77777777" w:rsidR="00563458" w:rsidRPr="008A0AD5" w:rsidRDefault="00563458" w:rsidP="00442310">
            <w:pPr>
              <w:spacing w:after="0"/>
              <w:jc w:val="left"/>
              <w:rPr>
                <w:sz w:val="20"/>
                <w:szCs w:val="20"/>
              </w:rPr>
            </w:pPr>
            <w:r w:rsidRPr="008A0AD5">
              <w:rPr>
                <w:sz w:val="20"/>
                <w:szCs w:val="20"/>
              </w:rPr>
              <w:t>Développement et opérationnalisation du système d'information</w:t>
            </w:r>
          </w:p>
        </w:tc>
        <w:tc>
          <w:tcPr>
            <w:tcW w:w="1985" w:type="dxa"/>
            <w:vMerge/>
            <w:tcBorders>
              <w:top w:val="nil"/>
              <w:left w:val="nil"/>
              <w:bottom w:val="single" w:sz="4" w:space="0" w:color="000000"/>
              <w:right w:val="nil"/>
            </w:tcBorders>
            <w:vAlign w:val="center"/>
            <w:hideMark/>
          </w:tcPr>
          <w:p w14:paraId="556527A1" w14:textId="77777777" w:rsidR="00563458" w:rsidRPr="008A0AD5" w:rsidRDefault="00563458" w:rsidP="00442310">
            <w:pPr>
              <w:spacing w:after="0"/>
              <w:jc w:val="left"/>
              <w:rPr>
                <w:sz w:val="20"/>
                <w:szCs w:val="20"/>
              </w:rPr>
            </w:pPr>
          </w:p>
        </w:tc>
        <w:tc>
          <w:tcPr>
            <w:tcW w:w="1984" w:type="dxa"/>
            <w:vMerge/>
            <w:tcBorders>
              <w:top w:val="nil"/>
              <w:left w:val="nil"/>
              <w:bottom w:val="single" w:sz="4" w:space="0" w:color="000000"/>
              <w:right w:val="single" w:sz="4" w:space="0" w:color="auto"/>
            </w:tcBorders>
            <w:vAlign w:val="center"/>
            <w:hideMark/>
          </w:tcPr>
          <w:p w14:paraId="24AE2E52" w14:textId="77777777" w:rsidR="00563458" w:rsidRPr="008A0AD5" w:rsidRDefault="00563458" w:rsidP="00442310">
            <w:pPr>
              <w:spacing w:after="0"/>
              <w:jc w:val="left"/>
              <w:rPr>
                <w:color w:val="000000"/>
                <w:sz w:val="20"/>
                <w:szCs w:val="20"/>
              </w:rPr>
            </w:pPr>
          </w:p>
        </w:tc>
      </w:tr>
      <w:tr w:rsidR="00563458" w:rsidRPr="007B4F38" w14:paraId="5D5BA9C6" w14:textId="77777777" w:rsidTr="00442310">
        <w:trPr>
          <w:trHeight w:val="285"/>
        </w:trPr>
        <w:tc>
          <w:tcPr>
            <w:tcW w:w="993" w:type="dxa"/>
            <w:vMerge/>
            <w:tcBorders>
              <w:top w:val="nil"/>
              <w:left w:val="single" w:sz="4" w:space="0" w:color="auto"/>
              <w:bottom w:val="single" w:sz="4" w:space="0" w:color="auto"/>
              <w:right w:val="nil"/>
            </w:tcBorders>
            <w:vAlign w:val="center"/>
            <w:hideMark/>
          </w:tcPr>
          <w:p w14:paraId="62CC82B4" w14:textId="77777777" w:rsidR="00563458" w:rsidRPr="008A0AD5" w:rsidRDefault="00563458" w:rsidP="00442310">
            <w:pPr>
              <w:spacing w:after="0"/>
              <w:jc w:val="left"/>
              <w:rPr>
                <w:b/>
                <w:bCs/>
                <w:color w:val="000000"/>
                <w:sz w:val="20"/>
                <w:szCs w:val="20"/>
              </w:rPr>
            </w:pPr>
          </w:p>
        </w:tc>
        <w:tc>
          <w:tcPr>
            <w:tcW w:w="505" w:type="dxa"/>
            <w:vMerge/>
            <w:tcBorders>
              <w:top w:val="nil"/>
              <w:left w:val="single" w:sz="4" w:space="0" w:color="auto"/>
              <w:bottom w:val="single" w:sz="4" w:space="0" w:color="000000"/>
              <w:right w:val="nil"/>
            </w:tcBorders>
            <w:vAlign w:val="center"/>
            <w:hideMark/>
          </w:tcPr>
          <w:p w14:paraId="5ABF2E92" w14:textId="77777777" w:rsidR="00563458" w:rsidRPr="008A0AD5" w:rsidRDefault="00563458" w:rsidP="00442310">
            <w:pPr>
              <w:spacing w:after="0"/>
              <w:jc w:val="left"/>
              <w:rPr>
                <w:color w:val="000000"/>
                <w:sz w:val="20"/>
                <w:szCs w:val="20"/>
              </w:rPr>
            </w:pPr>
          </w:p>
        </w:tc>
        <w:tc>
          <w:tcPr>
            <w:tcW w:w="3747" w:type="dxa"/>
            <w:vMerge/>
            <w:tcBorders>
              <w:top w:val="nil"/>
              <w:left w:val="nil"/>
              <w:bottom w:val="single" w:sz="4" w:space="0" w:color="000000"/>
              <w:right w:val="nil"/>
            </w:tcBorders>
            <w:vAlign w:val="center"/>
            <w:hideMark/>
          </w:tcPr>
          <w:p w14:paraId="736A888D" w14:textId="77777777" w:rsidR="00563458" w:rsidRPr="008A0AD5" w:rsidRDefault="00563458" w:rsidP="00442310">
            <w:pPr>
              <w:spacing w:after="0"/>
              <w:jc w:val="left"/>
              <w:rPr>
                <w:sz w:val="20"/>
                <w:szCs w:val="20"/>
              </w:rPr>
            </w:pPr>
          </w:p>
        </w:tc>
        <w:tc>
          <w:tcPr>
            <w:tcW w:w="4394" w:type="dxa"/>
            <w:tcBorders>
              <w:top w:val="nil"/>
              <w:left w:val="nil"/>
              <w:bottom w:val="nil"/>
              <w:right w:val="nil"/>
            </w:tcBorders>
            <w:shd w:val="clear" w:color="auto" w:fill="auto"/>
            <w:vAlign w:val="center"/>
            <w:hideMark/>
          </w:tcPr>
          <w:p w14:paraId="5905908B" w14:textId="77777777" w:rsidR="00563458" w:rsidRPr="008A0AD5" w:rsidRDefault="00563458" w:rsidP="00442310">
            <w:pPr>
              <w:spacing w:after="0"/>
              <w:jc w:val="left"/>
              <w:rPr>
                <w:sz w:val="20"/>
                <w:szCs w:val="20"/>
              </w:rPr>
            </w:pPr>
            <w:r w:rsidRPr="008A0AD5">
              <w:rPr>
                <w:sz w:val="20"/>
                <w:szCs w:val="20"/>
              </w:rPr>
              <w:t xml:space="preserve">Délivrance des autorisations FLEGT </w:t>
            </w:r>
          </w:p>
        </w:tc>
        <w:tc>
          <w:tcPr>
            <w:tcW w:w="1985" w:type="dxa"/>
            <w:vMerge/>
            <w:tcBorders>
              <w:top w:val="nil"/>
              <w:left w:val="nil"/>
              <w:bottom w:val="single" w:sz="4" w:space="0" w:color="000000"/>
              <w:right w:val="nil"/>
            </w:tcBorders>
            <w:vAlign w:val="center"/>
            <w:hideMark/>
          </w:tcPr>
          <w:p w14:paraId="45870022" w14:textId="77777777" w:rsidR="00563458" w:rsidRPr="008A0AD5" w:rsidRDefault="00563458" w:rsidP="00442310">
            <w:pPr>
              <w:spacing w:after="0"/>
              <w:jc w:val="left"/>
              <w:rPr>
                <w:sz w:val="20"/>
                <w:szCs w:val="20"/>
              </w:rPr>
            </w:pPr>
          </w:p>
        </w:tc>
        <w:tc>
          <w:tcPr>
            <w:tcW w:w="1984" w:type="dxa"/>
            <w:vMerge/>
            <w:tcBorders>
              <w:top w:val="nil"/>
              <w:left w:val="nil"/>
              <w:bottom w:val="single" w:sz="4" w:space="0" w:color="000000"/>
              <w:right w:val="single" w:sz="4" w:space="0" w:color="auto"/>
            </w:tcBorders>
            <w:vAlign w:val="center"/>
            <w:hideMark/>
          </w:tcPr>
          <w:p w14:paraId="671CF7CF" w14:textId="77777777" w:rsidR="00563458" w:rsidRPr="008A0AD5" w:rsidRDefault="00563458" w:rsidP="00442310">
            <w:pPr>
              <w:spacing w:after="0"/>
              <w:jc w:val="left"/>
              <w:rPr>
                <w:color w:val="000000"/>
                <w:sz w:val="20"/>
                <w:szCs w:val="20"/>
              </w:rPr>
            </w:pPr>
          </w:p>
        </w:tc>
      </w:tr>
      <w:tr w:rsidR="00563458" w:rsidRPr="007B4F38" w14:paraId="78D8C013" w14:textId="77777777" w:rsidTr="00442310">
        <w:trPr>
          <w:trHeight w:val="285"/>
        </w:trPr>
        <w:tc>
          <w:tcPr>
            <w:tcW w:w="993" w:type="dxa"/>
            <w:vMerge/>
            <w:tcBorders>
              <w:top w:val="nil"/>
              <w:left w:val="single" w:sz="4" w:space="0" w:color="auto"/>
              <w:bottom w:val="single" w:sz="4" w:space="0" w:color="auto"/>
              <w:right w:val="nil"/>
            </w:tcBorders>
            <w:vAlign w:val="center"/>
            <w:hideMark/>
          </w:tcPr>
          <w:p w14:paraId="208CE826" w14:textId="77777777" w:rsidR="00563458" w:rsidRPr="008A0AD5" w:rsidRDefault="00563458" w:rsidP="00442310">
            <w:pPr>
              <w:spacing w:after="0"/>
              <w:jc w:val="left"/>
              <w:rPr>
                <w:b/>
                <w:bCs/>
                <w:color w:val="000000"/>
                <w:sz w:val="20"/>
                <w:szCs w:val="20"/>
              </w:rPr>
            </w:pPr>
          </w:p>
        </w:tc>
        <w:tc>
          <w:tcPr>
            <w:tcW w:w="505" w:type="dxa"/>
            <w:vMerge/>
            <w:tcBorders>
              <w:top w:val="nil"/>
              <w:left w:val="single" w:sz="4" w:space="0" w:color="auto"/>
              <w:bottom w:val="single" w:sz="4" w:space="0" w:color="000000"/>
              <w:right w:val="nil"/>
            </w:tcBorders>
            <w:vAlign w:val="center"/>
            <w:hideMark/>
          </w:tcPr>
          <w:p w14:paraId="58B2BDC3" w14:textId="77777777" w:rsidR="00563458" w:rsidRPr="008A0AD5" w:rsidRDefault="00563458" w:rsidP="00442310">
            <w:pPr>
              <w:spacing w:after="0"/>
              <w:jc w:val="left"/>
              <w:rPr>
                <w:color w:val="000000"/>
                <w:sz w:val="20"/>
                <w:szCs w:val="20"/>
              </w:rPr>
            </w:pPr>
          </w:p>
        </w:tc>
        <w:tc>
          <w:tcPr>
            <w:tcW w:w="3747" w:type="dxa"/>
            <w:vMerge/>
            <w:tcBorders>
              <w:top w:val="nil"/>
              <w:left w:val="nil"/>
              <w:bottom w:val="single" w:sz="4" w:space="0" w:color="000000"/>
              <w:right w:val="nil"/>
            </w:tcBorders>
            <w:vAlign w:val="center"/>
            <w:hideMark/>
          </w:tcPr>
          <w:p w14:paraId="5C26D860" w14:textId="77777777" w:rsidR="00563458" w:rsidRPr="008A0AD5" w:rsidRDefault="00563458" w:rsidP="00442310">
            <w:pPr>
              <w:spacing w:after="0"/>
              <w:jc w:val="left"/>
              <w:rPr>
                <w:sz w:val="20"/>
                <w:szCs w:val="20"/>
              </w:rPr>
            </w:pPr>
          </w:p>
        </w:tc>
        <w:tc>
          <w:tcPr>
            <w:tcW w:w="4394" w:type="dxa"/>
            <w:tcBorders>
              <w:top w:val="nil"/>
              <w:left w:val="nil"/>
              <w:bottom w:val="single" w:sz="4" w:space="0" w:color="auto"/>
              <w:right w:val="nil"/>
            </w:tcBorders>
            <w:shd w:val="clear" w:color="auto" w:fill="auto"/>
            <w:vAlign w:val="center"/>
            <w:hideMark/>
          </w:tcPr>
          <w:p w14:paraId="5947C25A" w14:textId="77777777" w:rsidR="00563458" w:rsidRPr="008A0AD5" w:rsidRDefault="00563458" w:rsidP="00442310">
            <w:pPr>
              <w:spacing w:after="0"/>
              <w:jc w:val="left"/>
              <w:rPr>
                <w:sz w:val="20"/>
                <w:szCs w:val="20"/>
              </w:rPr>
            </w:pPr>
            <w:r w:rsidRPr="008A0AD5">
              <w:rPr>
                <w:sz w:val="20"/>
                <w:szCs w:val="20"/>
              </w:rPr>
              <w:t>Audit du système</w:t>
            </w:r>
          </w:p>
        </w:tc>
        <w:tc>
          <w:tcPr>
            <w:tcW w:w="1985" w:type="dxa"/>
            <w:vMerge/>
            <w:tcBorders>
              <w:top w:val="nil"/>
              <w:left w:val="nil"/>
              <w:bottom w:val="single" w:sz="4" w:space="0" w:color="000000"/>
              <w:right w:val="nil"/>
            </w:tcBorders>
            <w:vAlign w:val="center"/>
            <w:hideMark/>
          </w:tcPr>
          <w:p w14:paraId="30F7CA9E" w14:textId="77777777" w:rsidR="00563458" w:rsidRPr="008A0AD5" w:rsidRDefault="00563458" w:rsidP="00442310">
            <w:pPr>
              <w:spacing w:after="0"/>
              <w:jc w:val="left"/>
              <w:rPr>
                <w:sz w:val="20"/>
                <w:szCs w:val="20"/>
              </w:rPr>
            </w:pPr>
          </w:p>
        </w:tc>
        <w:tc>
          <w:tcPr>
            <w:tcW w:w="1984" w:type="dxa"/>
            <w:vMerge/>
            <w:tcBorders>
              <w:top w:val="nil"/>
              <w:left w:val="nil"/>
              <w:bottom w:val="single" w:sz="4" w:space="0" w:color="000000"/>
              <w:right w:val="single" w:sz="4" w:space="0" w:color="auto"/>
            </w:tcBorders>
            <w:vAlign w:val="center"/>
            <w:hideMark/>
          </w:tcPr>
          <w:p w14:paraId="2D24D3A9" w14:textId="77777777" w:rsidR="00563458" w:rsidRPr="008A0AD5" w:rsidRDefault="00563458" w:rsidP="00442310">
            <w:pPr>
              <w:spacing w:after="0"/>
              <w:jc w:val="left"/>
              <w:rPr>
                <w:color w:val="000000"/>
                <w:sz w:val="20"/>
                <w:szCs w:val="20"/>
              </w:rPr>
            </w:pPr>
          </w:p>
        </w:tc>
      </w:tr>
      <w:tr w:rsidR="00563458" w:rsidRPr="007B4F38" w14:paraId="5025A8EB" w14:textId="77777777" w:rsidTr="00442310">
        <w:trPr>
          <w:trHeight w:val="285"/>
        </w:trPr>
        <w:tc>
          <w:tcPr>
            <w:tcW w:w="993" w:type="dxa"/>
            <w:vMerge/>
            <w:tcBorders>
              <w:top w:val="nil"/>
              <w:left w:val="single" w:sz="4" w:space="0" w:color="auto"/>
              <w:bottom w:val="single" w:sz="4" w:space="0" w:color="auto"/>
              <w:right w:val="nil"/>
            </w:tcBorders>
            <w:vAlign w:val="center"/>
            <w:hideMark/>
          </w:tcPr>
          <w:p w14:paraId="2E4D9642" w14:textId="77777777" w:rsidR="00563458" w:rsidRPr="008A0AD5" w:rsidRDefault="00563458" w:rsidP="00442310">
            <w:pPr>
              <w:spacing w:after="0"/>
              <w:jc w:val="left"/>
              <w:rPr>
                <w:b/>
                <w:bCs/>
                <w:color w:val="000000"/>
                <w:sz w:val="20"/>
                <w:szCs w:val="20"/>
              </w:rPr>
            </w:pPr>
          </w:p>
        </w:tc>
        <w:tc>
          <w:tcPr>
            <w:tcW w:w="505" w:type="dxa"/>
            <w:vMerge w:val="restart"/>
            <w:tcBorders>
              <w:top w:val="nil"/>
              <w:left w:val="single" w:sz="4" w:space="0" w:color="auto"/>
              <w:bottom w:val="single" w:sz="4" w:space="0" w:color="000000"/>
              <w:right w:val="nil"/>
            </w:tcBorders>
            <w:shd w:val="clear" w:color="auto" w:fill="auto"/>
            <w:noWrap/>
            <w:vAlign w:val="center"/>
            <w:hideMark/>
          </w:tcPr>
          <w:p w14:paraId="718A3778" w14:textId="77777777" w:rsidR="00563458" w:rsidRPr="008A0AD5" w:rsidRDefault="00563458" w:rsidP="00442310">
            <w:pPr>
              <w:spacing w:after="0"/>
              <w:jc w:val="center"/>
              <w:rPr>
                <w:color w:val="000000"/>
                <w:sz w:val="20"/>
                <w:szCs w:val="20"/>
              </w:rPr>
            </w:pPr>
            <w:r w:rsidRPr="008A0AD5">
              <w:rPr>
                <w:color w:val="000000"/>
                <w:sz w:val="20"/>
                <w:szCs w:val="20"/>
              </w:rPr>
              <w:t>214</w:t>
            </w:r>
          </w:p>
        </w:tc>
        <w:tc>
          <w:tcPr>
            <w:tcW w:w="3747" w:type="dxa"/>
            <w:vMerge w:val="restart"/>
            <w:tcBorders>
              <w:top w:val="nil"/>
              <w:left w:val="nil"/>
              <w:bottom w:val="single" w:sz="4" w:space="0" w:color="000000"/>
              <w:right w:val="nil"/>
            </w:tcBorders>
            <w:shd w:val="clear" w:color="auto" w:fill="auto"/>
            <w:vAlign w:val="center"/>
            <w:hideMark/>
          </w:tcPr>
          <w:p w14:paraId="5E7EDA19" w14:textId="77777777" w:rsidR="00563458" w:rsidRPr="008A0AD5" w:rsidRDefault="00563458" w:rsidP="00442310">
            <w:pPr>
              <w:spacing w:after="0"/>
              <w:jc w:val="left"/>
              <w:rPr>
                <w:sz w:val="20"/>
                <w:szCs w:val="20"/>
              </w:rPr>
            </w:pPr>
            <w:r w:rsidRPr="008A0AD5">
              <w:rPr>
                <w:sz w:val="20"/>
                <w:szCs w:val="20"/>
              </w:rPr>
              <w:t xml:space="preserve">Développement d'un système d'information et de gestion forestière </w:t>
            </w:r>
          </w:p>
        </w:tc>
        <w:tc>
          <w:tcPr>
            <w:tcW w:w="4394" w:type="dxa"/>
            <w:tcBorders>
              <w:top w:val="nil"/>
              <w:left w:val="nil"/>
              <w:bottom w:val="nil"/>
              <w:right w:val="nil"/>
            </w:tcBorders>
            <w:shd w:val="clear" w:color="auto" w:fill="auto"/>
            <w:vAlign w:val="center"/>
            <w:hideMark/>
          </w:tcPr>
          <w:p w14:paraId="4381D350" w14:textId="77777777" w:rsidR="00563458" w:rsidRPr="008A0AD5" w:rsidRDefault="00563458" w:rsidP="00442310">
            <w:pPr>
              <w:spacing w:after="0"/>
              <w:jc w:val="left"/>
              <w:rPr>
                <w:sz w:val="20"/>
                <w:szCs w:val="20"/>
              </w:rPr>
            </w:pPr>
            <w:r w:rsidRPr="008A0AD5">
              <w:rPr>
                <w:sz w:val="20"/>
                <w:szCs w:val="20"/>
              </w:rPr>
              <w:t>Développement du SI du SIFODD</w:t>
            </w:r>
          </w:p>
        </w:tc>
        <w:tc>
          <w:tcPr>
            <w:tcW w:w="1985" w:type="dxa"/>
            <w:vMerge w:val="restart"/>
            <w:tcBorders>
              <w:top w:val="nil"/>
              <w:left w:val="nil"/>
              <w:bottom w:val="single" w:sz="4" w:space="0" w:color="000000"/>
              <w:right w:val="nil"/>
            </w:tcBorders>
            <w:shd w:val="clear" w:color="auto" w:fill="auto"/>
            <w:vAlign w:val="center"/>
            <w:hideMark/>
          </w:tcPr>
          <w:p w14:paraId="669482EB" w14:textId="77777777" w:rsidR="00563458" w:rsidRPr="008A0AD5" w:rsidRDefault="00563458" w:rsidP="00442310">
            <w:pPr>
              <w:spacing w:after="0"/>
              <w:jc w:val="left"/>
              <w:rPr>
                <w:sz w:val="20"/>
                <w:szCs w:val="20"/>
              </w:rPr>
            </w:pPr>
            <w:r w:rsidRPr="008A0AD5">
              <w:rPr>
                <w:sz w:val="20"/>
                <w:szCs w:val="20"/>
              </w:rPr>
              <w:t>Gouvernement (dont FFN/CNIAF)</w:t>
            </w:r>
          </w:p>
        </w:tc>
        <w:tc>
          <w:tcPr>
            <w:tcW w:w="1984" w:type="dxa"/>
            <w:vMerge w:val="restart"/>
            <w:tcBorders>
              <w:top w:val="nil"/>
              <w:left w:val="nil"/>
              <w:bottom w:val="single" w:sz="4" w:space="0" w:color="000000"/>
              <w:right w:val="single" w:sz="4" w:space="0" w:color="auto"/>
            </w:tcBorders>
            <w:shd w:val="clear" w:color="auto" w:fill="auto"/>
            <w:vAlign w:val="center"/>
            <w:hideMark/>
          </w:tcPr>
          <w:p w14:paraId="6A6F6FEC" w14:textId="77777777" w:rsidR="00563458" w:rsidRPr="008A0AD5" w:rsidRDefault="00563458" w:rsidP="00442310">
            <w:pPr>
              <w:spacing w:after="0"/>
              <w:jc w:val="left"/>
              <w:rPr>
                <w:color w:val="000000"/>
                <w:sz w:val="20"/>
                <w:szCs w:val="20"/>
              </w:rPr>
            </w:pPr>
            <w:r w:rsidRPr="008A0AD5">
              <w:rPr>
                <w:color w:val="000000"/>
                <w:sz w:val="20"/>
                <w:szCs w:val="20"/>
              </w:rPr>
              <w:t>BM (PFDE)</w:t>
            </w:r>
          </w:p>
        </w:tc>
      </w:tr>
      <w:tr w:rsidR="00563458" w:rsidRPr="007B4F38" w14:paraId="17147A53" w14:textId="77777777" w:rsidTr="00442310">
        <w:trPr>
          <w:trHeight w:val="285"/>
        </w:trPr>
        <w:tc>
          <w:tcPr>
            <w:tcW w:w="993" w:type="dxa"/>
            <w:vMerge/>
            <w:tcBorders>
              <w:top w:val="nil"/>
              <w:left w:val="single" w:sz="4" w:space="0" w:color="auto"/>
              <w:bottom w:val="single" w:sz="4" w:space="0" w:color="auto"/>
              <w:right w:val="nil"/>
            </w:tcBorders>
            <w:vAlign w:val="center"/>
            <w:hideMark/>
          </w:tcPr>
          <w:p w14:paraId="4FCE26B2" w14:textId="77777777" w:rsidR="00563458" w:rsidRPr="008A0AD5" w:rsidRDefault="00563458" w:rsidP="00442310">
            <w:pPr>
              <w:spacing w:after="0"/>
              <w:jc w:val="left"/>
              <w:rPr>
                <w:b/>
                <w:bCs/>
                <w:color w:val="000000"/>
                <w:sz w:val="20"/>
                <w:szCs w:val="20"/>
              </w:rPr>
            </w:pPr>
          </w:p>
        </w:tc>
        <w:tc>
          <w:tcPr>
            <w:tcW w:w="505" w:type="dxa"/>
            <w:vMerge/>
            <w:tcBorders>
              <w:top w:val="nil"/>
              <w:left w:val="single" w:sz="4" w:space="0" w:color="auto"/>
              <w:bottom w:val="single" w:sz="4" w:space="0" w:color="000000"/>
              <w:right w:val="nil"/>
            </w:tcBorders>
            <w:vAlign w:val="center"/>
            <w:hideMark/>
          </w:tcPr>
          <w:p w14:paraId="32AF6703" w14:textId="77777777" w:rsidR="00563458" w:rsidRPr="008A0AD5" w:rsidRDefault="00563458" w:rsidP="00442310">
            <w:pPr>
              <w:spacing w:after="0"/>
              <w:jc w:val="left"/>
              <w:rPr>
                <w:color w:val="000000"/>
                <w:sz w:val="20"/>
                <w:szCs w:val="20"/>
              </w:rPr>
            </w:pPr>
          </w:p>
        </w:tc>
        <w:tc>
          <w:tcPr>
            <w:tcW w:w="3747" w:type="dxa"/>
            <w:vMerge/>
            <w:tcBorders>
              <w:top w:val="nil"/>
              <w:left w:val="nil"/>
              <w:bottom w:val="single" w:sz="4" w:space="0" w:color="000000"/>
              <w:right w:val="nil"/>
            </w:tcBorders>
            <w:vAlign w:val="center"/>
            <w:hideMark/>
          </w:tcPr>
          <w:p w14:paraId="0E0FAA98" w14:textId="77777777" w:rsidR="00563458" w:rsidRPr="008A0AD5" w:rsidRDefault="00563458" w:rsidP="00442310">
            <w:pPr>
              <w:spacing w:after="0"/>
              <w:jc w:val="left"/>
              <w:rPr>
                <w:color w:val="000000"/>
                <w:sz w:val="20"/>
                <w:szCs w:val="20"/>
              </w:rPr>
            </w:pPr>
          </w:p>
        </w:tc>
        <w:tc>
          <w:tcPr>
            <w:tcW w:w="4394" w:type="dxa"/>
            <w:tcBorders>
              <w:top w:val="nil"/>
              <w:left w:val="nil"/>
              <w:bottom w:val="single" w:sz="4" w:space="0" w:color="auto"/>
              <w:right w:val="nil"/>
            </w:tcBorders>
            <w:shd w:val="clear" w:color="auto" w:fill="auto"/>
            <w:vAlign w:val="center"/>
            <w:hideMark/>
          </w:tcPr>
          <w:p w14:paraId="0A104E28" w14:textId="77777777" w:rsidR="00563458" w:rsidRPr="008A0AD5" w:rsidRDefault="00563458" w:rsidP="00442310">
            <w:pPr>
              <w:spacing w:after="0"/>
              <w:jc w:val="left"/>
              <w:rPr>
                <w:sz w:val="20"/>
                <w:szCs w:val="20"/>
              </w:rPr>
            </w:pPr>
            <w:r w:rsidRPr="008A0AD5">
              <w:rPr>
                <w:sz w:val="20"/>
                <w:szCs w:val="20"/>
              </w:rPr>
              <w:t>Opérationnalisation du SI du SIFODD</w:t>
            </w:r>
          </w:p>
        </w:tc>
        <w:tc>
          <w:tcPr>
            <w:tcW w:w="1985" w:type="dxa"/>
            <w:vMerge/>
            <w:tcBorders>
              <w:top w:val="nil"/>
              <w:left w:val="nil"/>
              <w:bottom w:val="single" w:sz="4" w:space="0" w:color="000000"/>
              <w:right w:val="nil"/>
            </w:tcBorders>
            <w:vAlign w:val="center"/>
            <w:hideMark/>
          </w:tcPr>
          <w:p w14:paraId="2E930C34" w14:textId="77777777" w:rsidR="00563458" w:rsidRPr="008A0AD5" w:rsidRDefault="00563458" w:rsidP="00442310">
            <w:pPr>
              <w:spacing w:after="0"/>
              <w:jc w:val="left"/>
              <w:rPr>
                <w:color w:val="000000"/>
                <w:sz w:val="20"/>
                <w:szCs w:val="20"/>
              </w:rPr>
            </w:pPr>
          </w:p>
        </w:tc>
        <w:tc>
          <w:tcPr>
            <w:tcW w:w="1984" w:type="dxa"/>
            <w:vMerge/>
            <w:tcBorders>
              <w:top w:val="nil"/>
              <w:left w:val="nil"/>
              <w:bottom w:val="single" w:sz="4" w:space="0" w:color="000000"/>
              <w:right w:val="single" w:sz="4" w:space="0" w:color="auto"/>
            </w:tcBorders>
            <w:vAlign w:val="center"/>
            <w:hideMark/>
          </w:tcPr>
          <w:p w14:paraId="5A47FF28" w14:textId="77777777" w:rsidR="00563458" w:rsidRPr="008A0AD5" w:rsidRDefault="00563458" w:rsidP="00442310">
            <w:pPr>
              <w:spacing w:after="0"/>
              <w:jc w:val="left"/>
              <w:rPr>
                <w:color w:val="000000"/>
                <w:sz w:val="20"/>
                <w:szCs w:val="20"/>
              </w:rPr>
            </w:pPr>
          </w:p>
        </w:tc>
      </w:tr>
      <w:tr w:rsidR="00563458" w:rsidRPr="007B4F38" w14:paraId="7ED59623" w14:textId="77777777" w:rsidTr="00442310">
        <w:trPr>
          <w:trHeight w:val="285"/>
        </w:trPr>
        <w:tc>
          <w:tcPr>
            <w:tcW w:w="993" w:type="dxa"/>
            <w:vMerge w:val="restart"/>
            <w:tcBorders>
              <w:top w:val="nil"/>
              <w:left w:val="single" w:sz="4" w:space="0" w:color="auto"/>
              <w:bottom w:val="single" w:sz="4" w:space="0" w:color="auto"/>
              <w:right w:val="nil"/>
            </w:tcBorders>
            <w:shd w:val="clear" w:color="000000" w:fill="B8CCE4"/>
            <w:textDirection w:val="btLr"/>
            <w:vAlign w:val="center"/>
            <w:hideMark/>
          </w:tcPr>
          <w:p w14:paraId="07A57EFF" w14:textId="77777777" w:rsidR="00563458" w:rsidRPr="008A0AD5" w:rsidRDefault="00563458" w:rsidP="00442310">
            <w:pPr>
              <w:spacing w:after="0"/>
              <w:jc w:val="center"/>
              <w:rPr>
                <w:b/>
                <w:bCs/>
                <w:color w:val="000000"/>
                <w:sz w:val="20"/>
                <w:szCs w:val="20"/>
              </w:rPr>
            </w:pPr>
            <w:r w:rsidRPr="008A0AD5">
              <w:rPr>
                <w:b/>
                <w:bCs/>
                <w:color w:val="000000"/>
                <w:sz w:val="20"/>
                <w:szCs w:val="20"/>
              </w:rPr>
              <w:t>SO 2.2 Amélioration des techniques en matière d'exploitation et de transformation du bois</w:t>
            </w:r>
          </w:p>
        </w:tc>
        <w:tc>
          <w:tcPr>
            <w:tcW w:w="505" w:type="dxa"/>
            <w:tcBorders>
              <w:top w:val="nil"/>
              <w:left w:val="single" w:sz="4" w:space="0" w:color="auto"/>
              <w:bottom w:val="single" w:sz="4" w:space="0" w:color="auto"/>
              <w:right w:val="nil"/>
            </w:tcBorders>
            <w:shd w:val="clear" w:color="000000" w:fill="F2F2F2"/>
            <w:noWrap/>
            <w:vAlign w:val="center"/>
            <w:hideMark/>
          </w:tcPr>
          <w:p w14:paraId="7305C2FE" w14:textId="77777777" w:rsidR="00563458" w:rsidRPr="008A0AD5" w:rsidRDefault="00563458" w:rsidP="00442310">
            <w:pPr>
              <w:spacing w:after="0"/>
              <w:jc w:val="center"/>
              <w:rPr>
                <w:color w:val="808080"/>
                <w:sz w:val="20"/>
                <w:szCs w:val="20"/>
              </w:rPr>
            </w:pPr>
            <w:r w:rsidRPr="008A0AD5">
              <w:rPr>
                <w:color w:val="808080"/>
                <w:sz w:val="20"/>
                <w:szCs w:val="20"/>
              </w:rPr>
              <w:t>221</w:t>
            </w:r>
          </w:p>
        </w:tc>
        <w:tc>
          <w:tcPr>
            <w:tcW w:w="3747" w:type="dxa"/>
            <w:tcBorders>
              <w:top w:val="nil"/>
              <w:left w:val="nil"/>
              <w:bottom w:val="single" w:sz="4" w:space="0" w:color="auto"/>
              <w:right w:val="nil"/>
            </w:tcBorders>
            <w:shd w:val="clear" w:color="000000" w:fill="F2F2F2"/>
            <w:vAlign w:val="center"/>
            <w:hideMark/>
          </w:tcPr>
          <w:p w14:paraId="3F16799E" w14:textId="77777777" w:rsidR="00563458" w:rsidRPr="008A0AD5" w:rsidRDefault="00563458" w:rsidP="00442310">
            <w:pPr>
              <w:spacing w:after="0"/>
              <w:jc w:val="left"/>
              <w:rPr>
                <w:color w:val="808080"/>
                <w:sz w:val="20"/>
                <w:szCs w:val="20"/>
              </w:rPr>
            </w:pPr>
            <w:r w:rsidRPr="008A0AD5">
              <w:rPr>
                <w:color w:val="808080"/>
                <w:sz w:val="20"/>
                <w:szCs w:val="20"/>
              </w:rPr>
              <w:t xml:space="preserve">Généralisation des pratiques EFIR </w:t>
            </w:r>
          </w:p>
        </w:tc>
        <w:tc>
          <w:tcPr>
            <w:tcW w:w="4394" w:type="dxa"/>
            <w:tcBorders>
              <w:top w:val="nil"/>
              <w:left w:val="nil"/>
              <w:bottom w:val="nil"/>
              <w:right w:val="nil"/>
            </w:tcBorders>
            <w:shd w:val="clear" w:color="000000" w:fill="F2F2F2"/>
            <w:noWrap/>
            <w:vAlign w:val="bottom"/>
            <w:hideMark/>
          </w:tcPr>
          <w:p w14:paraId="5C44793D" w14:textId="77777777" w:rsidR="00563458" w:rsidRPr="008A0AD5" w:rsidRDefault="00563458" w:rsidP="00442310">
            <w:pPr>
              <w:spacing w:after="0"/>
              <w:jc w:val="left"/>
              <w:rPr>
                <w:color w:val="000000"/>
                <w:sz w:val="20"/>
                <w:szCs w:val="20"/>
              </w:rPr>
            </w:pPr>
            <w:r w:rsidRPr="008A0AD5">
              <w:rPr>
                <w:color w:val="000000"/>
                <w:sz w:val="20"/>
                <w:szCs w:val="20"/>
              </w:rPr>
              <w:t> </w:t>
            </w:r>
          </w:p>
        </w:tc>
        <w:tc>
          <w:tcPr>
            <w:tcW w:w="3969" w:type="dxa"/>
            <w:gridSpan w:val="2"/>
            <w:tcBorders>
              <w:top w:val="nil"/>
              <w:left w:val="nil"/>
              <w:bottom w:val="single" w:sz="4" w:space="0" w:color="auto"/>
              <w:right w:val="single" w:sz="4" w:space="0" w:color="000000"/>
            </w:tcBorders>
            <w:shd w:val="clear" w:color="000000" w:fill="F2F2F2"/>
            <w:vAlign w:val="center"/>
            <w:hideMark/>
          </w:tcPr>
          <w:p w14:paraId="49EC0701" w14:textId="77777777" w:rsidR="00563458" w:rsidRPr="008A0AD5" w:rsidRDefault="00563458" w:rsidP="00442310">
            <w:pPr>
              <w:spacing w:after="0"/>
              <w:jc w:val="center"/>
              <w:rPr>
                <w:color w:val="808080"/>
                <w:sz w:val="20"/>
                <w:szCs w:val="20"/>
              </w:rPr>
            </w:pPr>
            <w:r w:rsidRPr="008A0AD5">
              <w:rPr>
                <w:color w:val="808080"/>
                <w:sz w:val="20"/>
                <w:szCs w:val="20"/>
              </w:rPr>
              <w:t xml:space="preserve">Activité couverte par 211 </w:t>
            </w:r>
          </w:p>
        </w:tc>
      </w:tr>
      <w:tr w:rsidR="00563458" w:rsidRPr="007B4F38" w14:paraId="645A4371" w14:textId="77777777" w:rsidTr="00442310">
        <w:trPr>
          <w:trHeight w:val="570"/>
        </w:trPr>
        <w:tc>
          <w:tcPr>
            <w:tcW w:w="993" w:type="dxa"/>
            <w:vMerge/>
            <w:tcBorders>
              <w:top w:val="nil"/>
              <w:left w:val="single" w:sz="4" w:space="0" w:color="auto"/>
              <w:bottom w:val="single" w:sz="4" w:space="0" w:color="auto"/>
              <w:right w:val="nil"/>
            </w:tcBorders>
            <w:vAlign w:val="center"/>
            <w:hideMark/>
          </w:tcPr>
          <w:p w14:paraId="62EDC8AE" w14:textId="77777777" w:rsidR="00563458" w:rsidRPr="008A0AD5" w:rsidRDefault="00563458" w:rsidP="00442310">
            <w:pPr>
              <w:spacing w:after="0"/>
              <w:jc w:val="left"/>
              <w:rPr>
                <w:b/>
                <w:bCs/>
                <w:color w:val="000000"/>
                <w:sz w:val="20"/>
                <w:szCs w:val="20"/>
              </w:rPr>
            </w:pPr>
          </w:p>
        </w:tc>
        <w:tc>
          <w:tcPr>
            <w:tcW w:w="505" w:type="dxa"/>
            <w:vMerge w:val="restart"/>
            <w:tcBorders>
              <w:top w:val="nil"/>
              <w:left w:val="single" w:sz="4" w:space="0" w:color="auto"/>
              <w:bottom w:val="single" w:sz="4" w:space="0" w:color="000000"/>
              <w:right w:val="nil"/>
            </w:tcBorders>
            <w:shd w:val="clear" w:color="auto" w:fill="auto"/>
            <w:noWrap/>
            <w:vAlign w:val="center"/>
            <w:hideMark/>
          </w:tcPr>
          <w:p w14:paraId="5738A0BD" w14:textId="77777777" w:rsidR="00563458" w:rsidRPr="008A0AD5" w:rsidRDefault="00563458" w:rsidP="00442310">
            <w:pPr>
              <w:spacing w:after="0"/>
              <w:jc w:val="center"/>
              <w:rPr>
                <w:sz w:val="20"/>
                <w:szCs w:val="20"/>
              </w:rPr>
            </w:pPr>
            <w:r w:rsidRPr="008A0AD5">
              <w:rPr>
                <w:sz w:val="20"/>
                <w:szCs w:val="20"/>
              </w:rPr>
              <w:t>222</w:t>
            </w:r>
          </w:p>
        </w:tc>
        <w:tc>
          <w:tcPr>
            <w:tcW w:w="3747" w:type="dxa"/>
            <w:vMerge w:val="restart"/>
            <w:tcBorders>
              <w:top w:val="nil"/>
              <w:left w:val="nil"/>
              <w:bottom w:val="single" w:sz="4" w:space="0" w:color="000000"/>
              <w:right w:val="nil"/>
            </w:tcBorders>
            <w:shd w:val="clear" w:color="auto" w:fill="auto"/>
            <w:vAlign w:val="center"/>
            <w:hideMark/>
          </w:tcPr>
          <w:p w14:paraId="327B5139" w14:textId="77777777" w:rsidR="00563458" w:rsidRPr="008A0AD5" w:rsidRDefault="00563458" w:rsidP="00442310">
            <w:pPr>
              <w:spacing w:after="0"/>
              <w:jc w:val="left"/>
              <w:rPr>
                <w:sz w:val="20"/>
                <w:szCs w:val="20"/>
              </w:rPr>
            </w:pPr>
            <w:r w:rsidRPr="008A0AD5">
              <w:rPr>
                <w:sz w:val="20"/>
                <w:szCs w:val="20"/>
              </w:rPr>
              <w:t>Valorisation plus poussée des produits forestiers ligneux et non ligneux</w:t>
            </w:r>
          </w:p>
        </w:tc>
        <w:tc>
          <w:tcPr>
            <w:tcW w:w="4394" w:type="dxa"/>
            <w:tcBorders>
              <w:top w:val="single" w:sz="4" w:space="0" w:color="auto"/>
              <w:left w:val="nil"/>
              <w:bottom w:val="nil"/>
              <w:right w:val="nil"/>
            </w:tcBorders>
            <w:shd w:val="clear" w:color="auto" w:fill="auto"/>
            <w:vAlign w:val="center"/>
            <w:hideMark/>
          </w:tcPr>
          <w:p w14:paraId="3FE7B406" w14:textId="77777777" w:rsidR="00563458" w:rsidRPr="008A0AD5" w:rsidRDefault="00563458" w:rsidP="00442310">
            <w:pPr>
              <w:spacing w:after="0"/>
              <w:jc w:val="left"/>
              <w:rPr>
                <w:sz w:val="20"/>
                <w:szCs w:val="20"/>
              </w:rPr>
            </w:pPr>
            <w:r w:rsidRPr="008A0AD5">
              <w:rPr>
                <w:sz w:val="20"/>
                <w:szCs w:val="20"/>
              </w:rPr>
              <w:t>Mettre en place et opérationnaliser un plan d'industrialisation visant une transformation à 95%</w:t>
            </w:r>
          </w:p>
        </w:tc>
        <w:tc>
          <w:tcPr>
            <w:tcW w:w="1985" w:type="dxa"/>
            <w:tcBorders>
              <w:top w:val="nil"/>
              <w:left w:val="nil"/>
              <w:bottom w:val="nil"/>
              <w:right w:val="nil"/>
            </w:tcBorders>
            <w:shd w:val="clear" w:color="auto" w:fill="auto"/>
            <w:vAlign w:val="center"/>
            <w:hideMark/>
          </w:tcPr>
          <w:p w14:paraId="36F22C7D" w14:textId="77777777" w:rsidR="00563458" w:rsidRPr="008A0AD5" w:rsidRDefault="00563458" w:rsidP="00442310">
            <w:pPr>
              <w:spacing w:after="0"/>
              <w:jc w:val="left"/>
              <w:rPr>
                <w:sz w:val="20"/>
                <w:szCs w:val="20"/>
              </w:rPr>
            </w:pPr>
            <w:r w:rsidRPr="008A0AD5">
              <w:rPr>
                <w:sz w:val="20"/>
                <w:szCs w:val="20"/>
              </w:rPr>
              <w:t>Entreprises forestières</w:t>
            </w:r>
            <w:r w:rsidRPr="008A0AD5">
              <w:rPr>
                <w:sz w:val="20"/>
                <w:szCs w:val="20"/>
              </w:rPr>
              <w:br/>
              <w:t>Gouvernement (dont FFN)</w:t>
            </w:r>
          </w:p>
        </w:tc>
        <w:tc>
          <w:tcPr>
            <w:tcW w:w="1984" w:type="dxa"/>
            <w:tcBorders>
              <w:top w:val="nil"/>
              <w:left w:val="nil"/>
              <w:bottom w:val="nil"/>
              <w:right w:val="single" w:sz="4" w:space="0" w:color="auto"/>
            </w:tcBorders>
            <w:shd w:val="clear" w:color="auto" w:fill="auto"/>
            <w:vAlign w:val="center"/>
            <w:hideMark/>
          </w:tcPr>
          <w:p w14:paraId="03A176E1" w14:textId="77777777" w:rsidR="00563458" w:rsidRPr="008A0AD5" w:rsidRDefault="00563458" w:rsidP="00442310">
            <w:pPr>
              <w:spacing w:after="0"/>
              <w:jc w:val="left"/>
              <w:rPr>
                <w:sz w:val="20"/>
                <w:szCs w:val="20"/>
              </w:rPr>
            </w:pPr>
            <w:r w:rsidRPr="008A0AD5">
              <w:rPr>
                <w:sz w:val="20"/>
                <w:szCs w:val="20"/>
              </w:rPr>
              <w:t>BM (PFDE</w:t>
            </w:r>
            <w:proofErr w:type="gramStart"/>
            <w:r w:rsidRPr="008A0AD5">
              <w:rPr>
                <w:sz w:val="20"/>
                <w:szCs w:val="20"/>
              </w:rPr>
              <w:t>)</w:t>
            </w:r>
            <w:proofErr w:type="gramEnd"/>
            <w:r w:rsidRPr="008A0AD5">
              <w:rPr>
                <w:sz w:val="20"/>
                <w:szCs w:val="20"/>
              </w:rPr>
              <w:br/>
              <w:t>BAD (PACIGOF)</w:t>
            </w:r>
          </w:p>
        </w:tc>
      </w:tr>
      <w:tr w:rsidR="00563458" w:rsidRPr="007B4F38" w14:paraId="2C7612BA" w14:textId="77777777" w:rsidTr="00442310">
        <w:trPr>
          <w:trHeight w:val="285"/>
        </w:trPr>
        <w:tc>
          <w:tcPr>
            <w:tcW w:w="993" w:type="dxa"/>
            <w:vMerge/>
            <w:tcBorders>
              <w:top w:val="nil"/>
              <w:left w:val="single" w:sz="4" w:space="0" w:color="auto"/>
              <w:bottom w:val="single" w:sz="4" w:space="0" w:color="auto"/>
              <w:right w:val="nil"/>
            </w:tcBorders>
            <w:vAlign w:val="center"/>
            <w:hideMark/>
          </w:tcPr>
          <w:p w14:paraId="75DA3E9C" w14:textId="77777777" w:rsidR="00563458" w:rsidRPr="008A0AD5" w:rsidRDefault="00563458" w:rsidP="00442310">
            <w:pPr>
              <w:spacing w:after="0"/>
              <w:jc w:val="left"/>
              <w:rPr>
                <w:b/>
                <w:bCs/>
                <w:color w:val="000000"/>
                <w:sz w:val="20"/>
                <w:szCs w:val="20"/>
              </w:rPr>
            </w:pPr>
          </w:p>
        </w:tc>
        <w:tc>
          <w:tcPr>
            <w:tcW w:w="505" w:type="dxa"/>
            <w:vMerge/>
            <w:tcBorders>
              <w:top w:val="nil"/>
              <w:left w:val="single" w:sz="4" w:space="0" w:color="auto"/>
              <w:bottom w:val="single" w:sz="4" w:space="0" w:color="000000"/>
              <w:right w:val="nil"/>
            </w:tcBorders>
            <w:vAlign w:val="center"/>
            <w:hideMark/>
          </w:tcPr>
          <w:p w14:paraId="50A0CA7A" w14:textId="77777777" w:rsidR="00563458" w:rsidRPr="008A0AD5" w:rsidRDefault="00563458" w:rsidP="00442310">
            <w:pPr>
              <w:spacing w:after="0"/>
              <w:jc w:val="left"/>
              <w:rPr>
                <w:sz w:val="20"/>
                <w:szCs w:val="20"/>
              </w:rPr>
            </w:pPr>
          </w:p>
        </w:tc>
        <w:tc>
          <w:tcPr>
            <w:tcW w:w="3747" w:type="dxa"/>
            <w:vMerge/>
            <w:tcBorders>
              <w:top w:val="nil"/>
              <w:left w:val="nil"/>
              <w:bottom w:val="single" w:sz="4" w:space="0" w:color="000000"/>
              <w:right w:val="nil"/>
            </w:tcBorders>
            <w:vAlign w:val="center"/>
            <w:hideMark/>
          </w:tcPr>
          <w:p w14:paraId="43848210" w14:textId="77777777" w:rsidR="00563458" w:rsidRPr="008A0AD5" w:rsidRDefault="00563458" w:rsidP="00442310">
            <w:pPr>
              <w:spacing w:after="0"/>
              <w:jc w:val="left"/>
              <w:rPr>
                <w:sz w:val="20"/>
                <w:szCs w:val="20"/>
              </w:rPr>
            </w:pPr>
          </w:p>
        </w:tc>
        <w:tc>
          <w:tcPr>
            <w:tcW w:w="4394" w:type="dxa"/>
            <w:tcBorders>
              <w:top w:val="nil"/>
              <w:left w:val="nil"/>
              <w:bottom w:val="nil"/>
              <w:right w:val="nil"/>
            </w:tcBorders>
            <w:shd w:val="clear" w:color="000000" w:fill="F2F2F2"/>
            <w:noWrap/>
            <w:vAlign w:val="center"/>
            <w:hideMark/>
          </w:tcPr>
          <w:p w14:paraId="4D7E6E30" w14:textId="77777777" w:rsidR="00563458" w:rsidRPr="008A0AD5" w:rsidRDefault="00563458" w:rsidP="00442310">
            <w:pPr>
              <w:spacing w:after="0"/>
              <w:jc w:val="left"/>
              <w:rPr>
                <w:color w:val="808080"/>
                <w:sz w:val="20"/>
                <w:szCs w:val="20"/>
              </w:rPr>
            </w:pPr>
            <w:r w:rsidRPr="008A0AD5">
              <w:rPr>
                <w:color w:val="808080"/>
                <w:sz w:val="20"/>
                <w:szCs w:val="20"/>
              </w:rPr>
              <w:t>Valoriser les déchets de l'industrie de transformation</w:t>
            </w:r>
          </w:p>
        </w:tc>
        <w:tc>
          <w:tcPr>
            <w:tcW w:w="3969" w:type="dxa"/>
            <w:gridSpan w:val="2"/>
            <w:tcBorders>
              <w:top w:val="nil"/>
              <w:left w:val="nil"/>
              <w:bottom w:val="nil"/>
              <w:right w:val="single" w:sz="4" w:space="0" w:color="000000"/>
            </w:tcBorders>
            <w:shd w:val="clear" w:color="000000" w:fill="F2F2F2"/>
            <w:vAlign w:val="center"/>
            <w:hideMark/>
          </w:tcPr>
          <w:p w14:paraId="06560121" w14:textId="77777777" w:rsidR="00563458" w:rsidRPr="008A0AD5" w:rsidRDefault="00563458" w:rsidP="00442310">
            <w:pPr>
              <w:spacing w:after="0"/>
              <w:jc w:val="center"/>
              <w:rPr>
                <w:color w:val="808080"/>
                <w:sz w:val="20"/>
                <w:szCs w:val="20"/>
              </w:rPr>
            </w:pPr>
            <w:r w:rsidRPr="008A0AD5">
              <w:rPr>
                <w:color w:val="808080"/>
                <w:sz w:val="20"/>
                <w:szCs w:val="20"/>
              </w:rPr>
              <w:t>Activité couverte par 223</w:t>
            </w:r>
          </w:p>
        </w:tc>
      </w:tr>
      <w:tr w:rsidR="00563458" w:rsidRPr="007B4F38" w14:paraId="59364FAE" w14:textId="77777777" w:rsidTr="005F4572">
        <w:trPr>
          <w:trHeight w:val="285"/>
        </w:trPr>
        <w:tc>
          <w:tcPr>
            <w:tcW w:w="993" w:type="dxa"/>
            <w:vMerge/>
            <w:tcBorders>
              <w:top w:val="nil"/>
              <w:left w:val="single" w:sz="4" w:space="0" w:color="auto"/>
              <w:bottom w:val="single" w:sz="4" w:space="0" w:color="auto"/>
              <w:right w:val="nil"/>
            </w:tcBorders>
            <w:vAlign w:val="center"/>
            <w:hideMark/>
          </w:tcPr>
          <w:p w14:paraId="48B924D7" w14:textId="77777777" w:rsidR="00563458" w:rsidRPr="008A0AD5" w:rsidRDefault="00563458" w:rsidP="00442310">
            <w:pPr>
              <w:spacing w:after="0"/>
              <w:jc w:val="left"/>
              <w:rPr>
                <w:b/>
                <w:bCs/>
                <w:color w:val="000000"/>
                <w:sz w:val="20"/>
                <w:szCs w:val="20"/>
              </w:rPr>
            </w:pPr>
          </w:p>
        </w:tc>
        <w:tc>
          <w:tcPr>
            <w:tcW w:w="505" w:type="dxa"/>
            <w:vMerge/>
            <w:tcBorders>
              <w:top w:val="nil"/>
              <w:left w:val="single" w:sz="4" w:space="0" w:color="auto"/>
              <w:bottom w:val="single" w:sz="4" w:space="0" w:color="000000"/>
              <w:right w:val="nil"/>
            </w:tcBorders>
            <w:vAlign w:val="center"/>
            <w:hideMark/>
          </w:tcPr>
          <w:p w14:paraId="01C71996" w14:textId="77777777" w:rsidR="00563458" w:rsidRPr="008A0AD5" w:rsidRDefault="00563458" w:rsidP="00442310">
            <w:pPr>
              <w:spacing w:after="0"/>
              <w:jc w:val="left"/>
              <w:rPr>
                <w:sz w:val="20"/>
                <w:szCs w:val="20"/>
              </w:rPr>
            </w:pPr>
          </w:p>
        </w:tc>
        <w:tc>
          <w:tcPr>
            <w:tcW w:w="3747" w:type="dxa"/>
            <w:vMerge/>
            <w:tcBorders>
              <w:top w:val="nil"/>
              <w:left w:val="nil"/>
              <w:bottom w:val="single" w:sz="4" w:space="0" w:color="000000"/>
              <w:right w:val="nil"/>
            </w:tcBorders>
            <w:vAlign w:val="center"/>
            <w:hideMark/>
          </w:tcPr>
          <w:p w14:paraId="4E2D3BED" w14:textId="77777777" w:rsidR="00563458" w:rsidRPr="008A0AD5" w:rsidRDefault="00563458" w:rsidP="00442310">
            <w:pPr>
              <w:spacing w:after="0"/>
              <w:jc w:val="left"/>
              <w:rPr>
                <w:sz w:val="20"/>
                <w:szCs w:val="20"/>
              </w:rPr>
            </w:pPr>
          </w:p>
        </w:tc>
        <w:tc>
          <w:tcPr>
            <w:tcW w:w="4394" w:type="dxa"/>
            <w:tcBorders>
              <w:top w:val="nil"/>
              <w:left w:val="nil"/>
              <w:bottom w:val="nil"/>
              <w:right w:val="nil"/>
            </w:tcBorders>
            <w:shd w:val="clear" w:color="000000" w:fill="F2F2F2"/>
            <w:noWrap/>
            <w:vAlign w:val="center"/>
            <w:hideMark/>
          </w:tcPr>
          <w:p w14:paraId="3860C1ED" w14:textId="77777777" w:rsidR="00563458" w:rsidRPr="008A0AD5" w:rsidRDefault="00563458" w:rsidP="00442310">
            <w:pPr>
              <w:spacing w:after="0"/>
              <w:jc w:val="left"/>
              <w:rPr>
                <w:color w:val="808080"/>
                <w:sz w:val="20"/>
                <w:szCs w:val="20"/>
              </w:rPr>
            </w:pPr>
            <w:r w:rsidRPr="008A0AD5">
              <w:rPr>
                <w:color w:val="808080"/>
                <w:sz w:val="20"/>
                <w:szCs w:val="20"/>
              </w:rPr>
              <w:t>Valoriser les PFNL</w:t>
            </w:r>
          </w:p>
        </w:tc>
        <w:tc>
          <w:tcPr>
            <w:tcW w:w="3969" w:type="dxa"/>
            <w:gridSpan w:val="2"/>
            <w:tcBorders>
              <w:top w:val="nil"/>
              <w:left w:val="nil"/>
              <w:bottom w:val="single" w:sz="4" w:space="0" w:color="auto"/>
              <w:right w:val="single" w:sz="4" w:space="0" w:color="000000"/>
            </w:tcBorders>
            <w:shd w:val="clear" w:color="000000" w:fill="F2F2F2"/>
            <w:vAlign w:val="center"/>
            <w:hideMark/>
          </w:tcPr>
          <w:p w14:paraId="72FC6EDF" w14:textId="77777777" w:rsidR="00563458" w:rsidRPr="008A0AD5" w:rsidRDefault="00563458" w:rsidP="00442310">
            <w:pPr>
              <w:spacing w:after="0"/>
              <w:jc w:val="center"/>
              <w:rPr>
                <w:color w:val="808080"/>
                <w:sz w:val="20"/>
                <w:szCs w:val="20"/>
              </w:rPr>
            </w:pPr>
            <w:r w:rsidRPr="008A0AD5">
              <w:rPr>
                <w:color w:val="808080"/>
                <w:sz w:val="20"/>
                <w:szCs w:val="20"/>
              </w:rPr>
              <w:t xml:space="preserve">Activité couverte par 241 et 242 </w:t>
            </w:r>
          </w:p>
        </w:tc>
      </w:tr>
      <w:tr w:rsidR="00563458" w:rsidRPr="00630427" w14:paraId="3CA6D011" w14:textId="77777777" w:rsidTr="005F4572">
        <w:trPr>
          <w:trHeight w:val="1061"/>
        </w:trPr>
        <w:tc>
          <w:tcPr>
            <w:tcW w:w="993" w:type="dxa"/>
            <w:vMerge/>
            <w:tcBorders>
              <w:top w:val="nil"/>
              <w:left w:val="single" w:sz="4" w:space="0" w:color="auto"/>
              <w:bottom w:val="single" w:sz="4" w:space="0" w:color="auto"/>
              <w:right w:val="nil"/>
            </w:tcBorders>
            <w:vAlign w:val="center"/>
            <w:hideMark/>
          </w:tcPr>
          <w:p w14:paraId="139BAAFE" w14:textId="77777777" w:rsidR="00563458" w:rsidRPr="008A0AD5" w:rsidRDefault="00563458" w:rsidP="00442310">
            <w:pPr>
              <w:spacing w:after="0"/>
              <w:jc w:val="left"/>
              <w:rPr>
                <w:b/>
                <w:bCs/>
                <w:color w:val="000000"/>
                <w:sz w:val="20"/>
                <w:szCs w:val="20"/>
              </w:rPr>
            </w:pPr>
          </w:p>
        </w:tc>
        <w:tc>
          <w:tcPr>
            <w:tcW w:w="505" w:type="dxa"/>
            <w:vMerge w:val="restart"/>
            <w:tcBorders>
              <w:top w:val="nil"/>
              <w:left w:val="single" w:sz="4" w:space="0" w:color="auto"/>
              <w:bottom w:val="single" w:sz="4" w:space="0" w:color="000000"/>
              <w:right w:val="nil"/>
            </w:tcBorders>
            <w:shd w:val="clear" w:color="auto" w:fill="auto"/>
            <w:noWrap/>
            <w:vAlign w:val="center"/>
            <w:hideMark/>
          </w:tcPr>
          <w:p w14:paraId="55FB9183" w14:textId="77777777" w:rsidR="00563458" w:rsidRPr="008A0AD5" w:rsidRDefault="00563458" w:rsidP="00442310">
            <w:pPr>
              <w:spacing w:after="0"/>
              <w:jc w:val="center"/>
              <w:rPr>
                <w:sz w:val="20"/>
                <w:szCs w:val="20"/>
              </w:rPr>
            </w:pPr>
            <w:r w:rsidRPr="008A0AD5">
              <w:rPr>
                <w:sz w:val="20"/>
                <w:szCs w:val="20"/>
              </w:rPr>
              <w:t>223</w:t>
            </w:r>
          </w:p>
        </w:tc>
        <w:tc>
          <w:tcPr>
            <w:tcW w:w="3747" w:type="dxa"/>
            <w:vMerge w:val="restart"/>
            <w:tcBorders>
              <w:top w:val="single" w:sz="4" w:space="0" w:color="000000"/>
              <w:left w:val="nil"/>
              <w:bottom w:val="single" w:sz="4" w:space="0" w:color="auto"/>
              <w:right w:val="nil"/>
            </w:tcBorders>
            <w:shd w:val="clear" w:color="auto" w:fill="auto"/>
            <w:vAlign w:val="center"/>
            <w:hideMark/>
          </w:tcPr>
          <w:p w14:paraId="2F0A341E" w14:textId="77777777" w:rsidR="00563458" w:rsidRPr="008A0AD5" w:rsidRDefault="00563458" w:rsidP="00442310">
            <w:pPr>
              <w:spacing w:after="0"/>
              <w:jc w:val="left"/>
              <w:rPr>
                <w:sz w:val="20"/>
                <w:szCs w:val="20"/>
              </w:rPr>
            </w:pPr>
            <w:r w:rsidRPr="008A0AD5">
              <w:rPr>
                <w:sz w:val="20"/>
                <w:szCs w:val="20"/>
              </w:rPr>
              <w:t>Valorisation des déchets forestiers (menuiserie, charbonnage, développement de la cogénération, etc.)</w:t>
            </w:r>
          </w:p>
        </w:tc>
        <w:tc>
          <w:tcPr>
            <w:tcW w:w="4394" w:type="dxa"/>
            <w:tcBorders>
              <w:top w:val="single" w:sz="4" w:space="0" w:color="auto"/>
              <w:left w:val="nil"/>
              <w:bottom w:val="nil"/>
              <w:right w:val="nil"/>
            </w:tcBorders>
            <w:shd w:val="clear" w:color="auto" w:fill="auto"/>
            <w:vAlign w:val="center"/>
            <w:hideMark/>
          </w:tcPr>
          <w:p w14:paraId="357E4175" w14:textId="77777777" w:rsidR="00563458" w:rsidRPr="008A0AD5" w:rsidRDefault="00563458" w:rsidP="00442310">
            <w:pPr>
              <w:spacing w:after="0"/>
              <w:jc w:val="left"/>
              <w:rPr>
                <w:sz w:val="20"/>
                <w:szCs w:val="20"/>
              </w:rPr>
            </w:pPr>
            <w:r w:rsidRPr="008A0AD5">
              <w:rPr>
                <w:sz w:val="20"/>
                <w:szCs w:val="20"/>
              </w:rPr>
              <w:t xml:space="preserve">Développer la menuiserie en utilisant les déchets de transformation avec les communautés locales </w:t>
            </w:r>
          </w:p>
        </w:tc>
        <w:tc>
          <w:tcPr>
            <w:tcW w:w="1985" w:type="dxa"/>
            <w:tcBorders>
              <w:top w:val="nil"/>
              <w:left w:val="nil"/>
              <w:bottom w:val="nil"/>
              <w:right w:val="nil"/>
            </w:tcBorders>
            <w:shd w:val="clear" w:color="auto" w:fill="auto"/>
            <w:vAlign w:val="center"/>
            <w:hideMark/>
          </w:tcPr>
          <w:p w14:paraId="47A2082F" w14:textId="77777777" w:rsidR="00563458" w:rsidRPr="008A0AD5" w:rsidRDefault="00563458" w:rsidP="00442310">
            <w:pPr>
              <w:spacing w:after="0"/>
              <w:jc w:val="left"/>
              <w:rPr>
                <w:sz w:val="20"/>
                <w:szCs w:val="20"/>
              </w:rPr>
            </w:pPr>
            <w:r w:rsidRPr="008A0AD5">
              <w:rPr>
                <w:sz w:val="20"/>
                <w:szCs w:val="20"/>
              </w:rPr>
              <w:t>Gouvernement</w:t>
            </w:r>
            <w:r w:rsidRPr="008A0AD5">
              <w:rPr>
                <w:sz w:val="20"/>
                <w:szCs w:val="20"/>
              </w:rPr>
              <w:br/>
              <w:t>Entreprises (contributions au développement local)</w:t>
            </w:r>
          </w:p>
        </w:tc>
        <w:tc>
          <w:tcPr>
            <w:tcW w:w="1984" w:type="dxa"/>
            <w:tcBorders>
              <w:top w:val="nil"/>
              <w:left w:val="nil"/>
              <w:bottom w:val="nil"/>
              <w:right w:val="single" w:sz="4" w:space="0" w:color="auto"/>
            </w:tcBorders>
            <w:shd w:val="clear" w:color="auto" w:fill="auto"/>
            <w:vAlign w:val="center"/>
            <w:hideMark/>
          </w:tcPr>
          <w:p w14:paraId="2E20D562" w14:textId="77777777" w:rsidR="00563458" w:rsidRPr="008A0AD5" w:rsidRDefault="00563458" w:rsidP="00442310">
            <w:pPr>
              <w:spacing w:after="0"/>
              <w:jc w:val="left"/>
              <w:rPr>
                <w:color w:val="244062"/>
                <w:sz w:val="20"/>
                <w:szCs w:val="20"/>
                <w:lang w:val="en-US"/>
              </w:rPr>
            </w:pPr>
            <w:r w:rsidRPr="008A0AD5">
              <w:rPr>
                <w:i/>
                <w:iCs/>
                <w:color w:val="244062"/>
                <w:sz w:val="20"/>
                <w:szCs w:val="20"/>
                <w:lang w:val="en-US"/>
              </w:rPr>
              <w:t>BDEAC (FEVAC)</w:t>
            </w:r>
            <w:r w:rsidRPr="008A0AD5">
              <w:rPr>
                <w:color w:val="244062"/>
                <w:sz w:val="20"/>
                <w:szCs w:val="20"/>
                <w:lang w:val="en-US"/>
              </w:rPr>
              <w:br/>
            </w:r>
            <w:r w:rsidRPr="008A0AD5">
              <w:rPr>
                <w:i/>
                <w:iCs/>
                <w:color w:val="244062"/>
                <w:sz w:val="20"/>
                <w:szCs w:val="20"/>
                <w:lang w:val="en-US"/>
              </w:rPr>
              <w:t>FFEM (PPI)</w:t>
            </w:r>
            <w:r w:rsidRPr="008A0AD5">
              <w:rPr>
                <w:i/>
                <w:iCs/>
                <w:color w:val="244062"/>
                <w:sz w:val="20"/>
                <w:szCs w:val="20"/>
                <w:lang w:val="en-US"/>
              </w:rPr>
              <w:br/>
              <w:t>FVC</w:t>
            </w:r>
          </w:p>
        </w:tc>
      </w:tr>
      <w:tr w:rsidR="00563458" w:rsidRPr="007B4F38" w14:paraId="52CB66C8" w14:textId="77777777" w:rsidTr="005F4572">
        <w:trPr>
          <w:trHeight w:val="1031"/>
        </w:trPr>
        <w:tc>
          <w:tcPr>
            <w:tcW w:w="993" w:type="dxa"/>
            <w:vMerge/>
            <w:tcBorders>
              <w:top w:val="nil"/>
              <w:left w:val="single" w:sz="4" w:space="0" w:color="auto"/>
              <w:bottom w:val="single" w:sz="4" w:space="0" w:color="auto"/>
              <w:right w:val="nil"/>
            </w:tcBorders>
            <w:vAlign w:val="center"/>
            <w:hideMark/>
          </w:tcPr>
          <w:p w14:paraId="6688F03E" w14:textId="77777777" w:rsidR="00563458" w:rsidRPr="008A0AD5" w:rsidRDefault="00563458" w:rsidP="00442310">
            <w:pPr>
              <w:spacing w:after="0"/>
              <w:jc w:val="left"/>
              <w:rPr>
                <w:b/>
                <w:bCs/>
                <w:color w:val="000000"/>
                <w:sz w:val="20"/>
                <w:szCs w:val="20"/>
                <w:lang w:val="en-US"/>
              </w:rPr>
            </w:pPr>
          </w:p>
        </w:tc>
        <w:tc>
          <w:tcPr>
            <w:tcW w:w="505" w:type="dxa"/>
            <w:vMerge/>
            <w:tcBorders>
              <w:top w:val="nil"/>
              <w:left w:val="single" w:sz="4" w:space="0" w:color="auto"/>
              <w:bottom w:val="single" w:sz="4" w:space="0" w:color="auto"/>
              <w:right w:val="nil"/>
            </w:tcBorders>
            <w:vAlign w:val="center"/>
            <w:hideMark/>
          </w:tcPr>
          <w:p w14:paraId="2E757316" w14:textId="77777777" w:rsidR="00563458" w:rsidRPr="008A0AD5" w:rsidRDefault="00563458" w:rsidP="00442310">
            <w:pPr>
              <w:spacing w:after="0"/>
              <w:jc w:val="left"/>
              <w:rPr>
                <w:sz w:val="20"/>
                <w:szCs w:val="20"/>
                <w:lang w:val="en-US"/>
              </w:rPr>
            </w:pPr>
          </w:p>
        </w:tc>
        <w:tc>
          <w:tcPr>
            <w:tcW w:w="3747" w:type="dxa"/>
            <w:vMerge/>
            <w:tcBorders>
              <w:top w:val="single" w:sz="4" w:space="0" w:color="000000"/>
              <w:left w:val="nil"/>
              <w:bottom w:val="single" w:sz="4" w:space="0" w:color="auto"/>
              <w:right w:val="nil"/>
            </w:tcBorders>
            <w:vAlign w:val="center"/>
            <w:hideMark/>
          </w:tcPr>
          <w:p w14:paraId="6ACCD06E" w14:textId="77777777" w:rsidR="00563458" w:rsidRPr="008A0AD5" w:rsidRDefault="00563458" w:rsidP="00442310">
            <w:pPr>
              <w:spacing w:after="0"/>
              <w:jc w:val="left"/>
              <w:rPr>
                <w:sz w:val="20"/>
                <w:szCs w:val="20"/>
                <w:lang w:val="en-US"/>
              </w:rPr>
            </w:pPr>
          </w:p>
        </w:tc>
        <w:tc>
          <w:tcPr>
            <w:tcW w:w="4394" w:type="dxa"/>
            <w:tcBorders>
              <w:top w:val="nil"/>
              <w:left w:val="nil"/>
              <w:bottom w:val="single" w:sz="4" w:space="0" w:color="auto"/>
              <w:right w:val="nil"/>
            </w:tcBorders>
            <w:shd w:val="clear" w:color="000000" w:fill="F2F2F2"/>
            <w:vAlign w:val="center"/>
            <w:hideMark/>
          </w:tcPr>
          <w:p w14:paraId="4E650A11" w14:textId="77777777" w:rsidR="00563458" w:rsidRPr="008A0AD5" w:rsidRDefault="00563458" w:rsidP="00563458">
            <w:pPr>
              <w:spacing w:after="0"/>
              <w:jc w:val="left"/>
              <w:rPr>
                <w:color w:val="808080"/>
                <w:sz w:val="20"/>
                <w:szCs w:val="20"/>
              </w:rPr>
            </w:pPr>
            <w:r w:rsidRPr="008A0AD5">
              <w:rPr>
                <w:color w:val="808080"/>
                <w:sz w:val="20"/>
                <w:szCs w:val="20"/>
              </w:rPr>
              <w:t xml:space="preserve">Valorisation énergétique des déchets de l'industrie de transformation </w:t>
            </w:r>
          </w:p>
        </w:tc>
        <w:tc>
          <w:tcPr>
            <w:tcW w:w="3969" w:type="dxa"/>
            <w:gridSpan w:val="2"/>
            <w:tcBorders>
              <w:top w:val="nil"/>
              <w:left w:val="nil"/>
              <w:bottom w:val="single" w:sz="4" w:space="0" w:color="auto"/>
              <w:right w:val="single" w:sz="4" w:space="0" w:color="000000"/>
            </w:tcBorders>
            <w:shd w:val="clear" w:color="000000" w:fill="F2F2F2"/>
            <w:vAlign w:val="center"/>
            <w:hideMark/>
          </w:tcPr>
          <w:p w14:paraId="153FFCA1" w14:textId="77777777" w:rsidR="00563458" w:rsidRPr="008A0AD5" w:rsidRDefault="00563458" w:rsidP="00442310">
            <w:pPr>
              <w:spacing w:after="0"/>
              <w:jc w:val="center"/>
              <w:rPr>
                <w:color w:val="808080"/>
                <w:sz w:val="20"/>
                <w:szCs w:val="20"/>
              </w:rPr>
            </w:pPr>
            <w:r w:rsidRPr="008A0AD5">
              <w:rPr>
                <w:color w:val="808080"/>
                <w:sz w:val="20"/>
                <w:szCs w:val="20"/>
              </w:rPr>
              <w:t>Activité couverte par 441 et 442</w:t>
            </w:r>
          </w:p>
        </w:tc>
      </w:tr>
      <w:tr w:rsidR="00563458" w:rsidRPr="00630427" w14:paraId="0A18EDD7" w14:textId="77777777" w:rsidTr="005F4572">
        <w:trPr>
          <w:trHeight w:val="300"/>
        </w:trPr>
        <w:tc>
          <w:tcPr>
            <w:tcW w:w="993" w:type="dxa"/>
            <w:vMerge w:val="restart"/>
            <w:tcBorders>
              <w:top w:val="single" w:sz="4" w:space="0" w:color="auto"/>
              <w:left w:val="single" w:sz="4" w:space="0" w:color="auto"/>
              <w:bottom w:val="single" w:sz="4" w:space="0" w:color="auto"/>
              <w:right w:val="nil"/>
            </w:tcBorders>
            <w:shd w:val="clear" w:color="000000" w:fill="B8CCE4"/>
            <w:textDirection w:val="btLr"/>
            <w:vAlign w:val="center"/>
            <w:hideMark/>
          </w:tcPr>
          <w:p w14:paraId="3368676A" w14:textId="77777777" w:rsidR="00563458" w:rsidRPr="008A0AD5" w:rsidRDefault="00563458" w:rsidP="00442310">
            <w:pPr>
              <w:spacing w:after="0"/>
              <w:jc w:val="center"/>
              <w:rPr>
                <w:b/>
                <w:bCs/>
                <w:color w:val="000000"/>
                <w:sz w:val="20"/>
                <w:szCs w:val="20"/>
              </w:rPr>
            </w:pPr>
            <w:r w:rsidRPr="008A0AD5">
              <w:rPr>
                <w:b/>
                <w:bCs/>
                <w:color w:val="000000"/>
                <w:sz w:val="20"/>
                <w:szCs w:val="20"/>
              </w:rPr>
              <w:lastRenderedPageBreak/>
              <w:t>SO 2.3 Conservation et utilisation durable de la biodiversité</w:t>
            </w:r>
          </w:p>
        </w:tc>
        <w:tc>
          <w:tcPr>
            <w:tcW w:w="505"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47542998" w14:textId="77777777" w:rsidR="00563458" w:rsidRPr="008A0AD5" w:rsidRDefault="00563458" w:rsidP="00442310">
            <w:pPr>
              <w:spacing w:after="0"/>
              <w:jc w:val="center"/>
              <w:rPr>
                <w:color w:val="000000"/>
                <w:sz w:val="20"/>
                <w:szCs w:val="20"/>
              </w:rPr>
            </w:pPr>
            <w:r w:rsidRPr="008A0AD5">
              <w:rPr>
                <w:color w:val="000000"/>
                <w:sz w:val="20"/>
                <w:szCs w:val="20"/>
              </w:rPr>
              <w:t>231</w:t>
            </w:r>
          </w:p>
        </w:tc>
        <w:tc>
          <w:tcPr>
            <w:tcW w:w="3747" w:type="dxa"/>
            <w:vMerge w:val="restart"/>
            <w:tcBorders>
              <w:top w:val="single" w:sz="4" w:space="0" w:color="auto"/>
              <w:left w:val="nil"/>
              <w:bottom w:val="single" w:sz="4" w:space="0" w:color="auto"/>
              <w:right w:val="nil"/>
            </w:tcBorders>
            <w:shd w:val="clear" w:color="auto" w:fill="auto"/>
            <w:vAlign w:val="center"/>
            <w:hideMark/>
          </w:tcPr>
          <w:p w14:paraId="02CC8F21" w14:textId="77777777" w:rsidR="00563458" w:rsidRPr="008A0AD5" w:rsidRDefault="00563458" w:rsidP="00442310">
            <w:pPr>
              <w:spacing w:after="0"/>
              <w:jc w:val="left"/>
              <w:rPr>
                <w:color w:val="000000"/>
                <w:sz w:val="20"/>
                <w:szCs w:val="20"/>
              </w:rPr>
            </w:pPr>
            <w:r w:rsidRPr="008A0AD5">
              <w:rPr>
                <w:color w:val="000000"/>
                <w:sz w:val="20"/>
                <w:szCs w:val="20"/>
              </w:rPr>
              <w:t xml:space="preserve">Renforcement du réseau d'AP </w:t>
            </w:r>
          </w:p>
        </w:tc>
        <w:tc>
          <w:tcPr>
            <w:tcW w:w="4394" w:type="dxa"/>
            <w:tcBorders>
              <w:top w:val="single" w:sz="4" w:space="0" w:color="auto"/>
              <w:left w:val="nil"/>
              <w:right w:val="nil"/>
            </w:tcBorders>
            <w:shd w:val="clear" w:color="auto" w:fill="auto"/>
            <w:vAlign w:val="center"/>
            <w:hideMark/>
          </w:tcPr>
          <w:p w14:paraId="7C9B8F78" w14:textId="77777777" w:rsidR="00563458" w:rsidRPr="008A0AD5" w:rsidRDefault="00563458" w:rsidP="00442310">
            <w:pPr>
              <w:spacing w:after="0"/>
              <w:jc w:val="left"/>
              <w:rPr>
                <w:color w:val="000000"/>
                <w:sz w:val="20"/>
                <w:szCs w:val="20"/>
              </w:rPr>
            </w:pPr>
            <w:r w:rsidRPr="008A0AD5">
              <w:rPr>
                <w:color w:val="000000"/>
                <w:sz w:val="20"/>
                <w:szCs w:val="20"/>
              </w:rPr>
              <w:t>Création d'une aire protégée (</w:t>
            </w:r>
            <w:proofErr w:type="spellStart"/>
            <w:r w:rsidRPr="008A0AD5">
              <w:rPr>
                <w:color w:val="000000"/>
                <w:sz w:val="20"/>
                <w:szCs w:val="20"/>
              </w:rPr>
              <w:t>Ogoue-Lekiti</w:t>
            </w:r>
            <w:proofErr w:type="spellEnd"/>
            <w:r w:rsidRPr="008A0AD5">
              <w:rPr>
                <w:color w:val="000000"/>
                <w:sz w:val="20"/>
                <w:szCs w:val="20"/>
              </w:rPr>
              <w:t>)</w:t>
            </w:r>
          </w:p>
        </w:tc>
        <w:tc>
          <w:tcPr>
            <w:tcW w:w="1985" w:type="dxa"/>
            <w:vMerge w:val="restart"/>
            <w:tcBorders>
              <w:top w:val="single" w:sz="4" w:space="0" w:color="auto"/>
              <w:left w:val="nil"/>
              <w:bottom w:val="single" w:sz="4" w:space="0" w:color="auto"/>
              <w:right w:val="nil"/>
            </w:tcBorders>
            <w:shd w:val="clear" w:color="auto" w:fill="auto"/>
            <w:vAlign w:val="center"/>
            <w:hideMark/>
          </w:tcPr>
          <w:p w14:paraId="76DBEE6C" w14:textId="77777777" w:rsidR="00563458" w:rsidRPr="008A0AD5" w:rsidRDefault="00563458" w:rsidP="00442310">
            <w:pPr>
              <w:spacing w:after="0"/>
              <w:jc w:val="left"/>
              <w:rPr>
                <w:sz w:val="20"/>
                <w:szCs w:val="20"/>
              </w:rPr>
            </w:pPr>
            <w:r w:rsidRPr="008A0AD5">
              <w:rPr>
                <w:sz w:val="20"/>
                <w:szCs w:val="20"/>
              </w:rPr>
              <w:t>Gouvernement (dont FFN/CNIAF)</w:t>
            </w:r>
          </w:p>
        </w:tc>
        <w:tc>
          <w:tcPr>
            <w:tcW w:w="1984" w:type="dxa"/>
            <w:vMerge w:val="restart"/>
            <w:tcBorders>
              <w:top w:val="single" w:sz="4" w:space="0" w:color="auto"/>
              <w:left w:val="nil"/>
              <w:bottom w:val="single" w:sz="4" w:space="0" w:color="auto"/>
              <w:right w:val="single" w:sz="4" w:space="0" w:color="auto"/>
            </w:tcBorders>
            <w:shd w:val="clear" w:color="auto" w:fill="auto"/>
            <w:vAlign w:val="center"/>
            <w:hideMark/>
          </w:tcPr>
          <w:p w14:paraId="6E569181" w14:textId="77777777" w:rsidR="00563458" w:rsidRPr="008A0AD5" w:rsidRDefault="00563458" w:rsidP="00442310">
            <w:pPr>
              <w:spacing w:after="0"/>
              <w:jc w:val="left"/>
              <w:rPr>
                <w:color w:val="000000"/>
                <w:sz w:val="20"/>
                <w:szCs w:val="20"/>
                <w:lang w:val="en-US"/>
              </w:rPr>
            </w:pPr>
            <w:r w:rsidRPr="008A0AD5">
              <w:rPr>
                <w:color w:val="000000"/>
                <w:sz w:val="20"/>
                <w:szCs w:val="20"/>
                <w:lang w:val="en-US"/>
              </w:rPr>
              <w:t>USAID (CARPE)</w:t>
            </w:r>
            <w:r w:rsidRPr="008A0AD5">
              <w:rPr>
                <w:color w:val="000000"/>
                <w:sz w:val="20"/>
                <w:szCs w:val="20"/>
                <w:lang w:val="en-US"/>
              </w:rPr>
              <w:br/>
              <w:t>FEM</w:t>
            </w:r>
            <w:r w:rsidRPr="008A0AD5">
              <w:rPr>
                <w:color w:val="000000"/>
                <w:sz w:val="20"/>
                <w:szCs w:val="20"/>
                <w:lang w:val="en-US"/>
              </w:rPr>
              <w:br/>
              <w:t>ONG (WWF, WCS, African Parks)</w:t>
            </w:r>
            <w:r w:rsidRPr="008A0AD5">
              <w:rPr>
                <w:color w:val="000000"/>
                <w:sz w:val="20"/>
                <w:szCs w:val="20"/>
                <w:lang w:val="en-US"/>
              </w:rPr>
              <w:br/>
              <w:t>FNTS</w:t>
            </w:r>
            <w:r w:rsidRPr="008A0AD5">
              <w:rPr>
                <w:color w:val="000000"/>
                <w:sz w:val="20"/>
                <w:szCs w:val="20"/>
                <w:lang w:val="en-US"/>
              </w:rPr>
              <w:br/>
            </w:r>
            <w:r w:rsidRPr="008A0AD5">
              <w:rPr>
                <w:i/>
                <w:iCs/>
                <w:color w:val="000000"/>
                <w:sz w:val="20"/>
                <w:szCs w:val="20"/>
                <w:lang w:val="en-US"/>
              </w:rPr>
              <w:t>FVC</w:t>
            </w:r>
          </w:p>
        </w:tc>
      </w:tr>
      <w:tr w:rsidR="00563458" w:rsidRPr="007B4F38" w14:paraId="77ACF6B7" w14:textId="77777777" w:rsidTr="00442310">
        <w:trPr>
          <w:trHeight w:val="285"/>
        </w:trPr>
        <w:tc>
          <w:tcPr>
            <w:tcW w:w="993" w:type="dxa"/>
            <w:vMerge/>
            <w:tcBorders>
              <w:top w:val="single" w:sz="4" w:space="0" w:color="auto"/>
              <w:left w:val="single" w:sz="4" w:space="0" w:color="auto"/>
              <w:bottom w:val="single" w:sz="4" w:space="0" w:color="auto"/>
              <w:right w:val="nil"/>
            </w:tcBorders>
            <w:vAlign w:val="center"/>
            <w:hideMark/>
          </w:tcPr>
          <w:p w14:paraId="7968FAD6" w14:textId="77777777" w:rsidR="00563458" w:rsidRPr="008A0AD5" w:rsidRDefault="00563458" w:rsidP="00442310">
            <w:pPr>
              <w:spacing w:after="0"/>
              <w:jc w:val="left"/>
              <w:rPr>
                <w:b/>
                <w:bCs/>
                <w:color w:val="000000"/>
                <w:sz w:val="20"/>
                <w:szCs w:val="20"/>
                <w:lang w:val="en-US"/>
              </w:rPr>
            </w:pPr>
          </w:p>
        </w:tc>
        <w:tc>
          <w:tcPr>
            <w:tcW w:w="505" w:type="dxa"/>
            <w:vMerge/>
            <w:tcBorders>
              <w:top w:val="single" w:sz="4" w:space="0" w:color="auto"/>
              <w:left w:val="single" w:sz="4" w:space="0" w:color="auto"/>
              <w:bottom w:val="single" w:sz="4" w:space="0" w:color="000000"/>
              <w:right w:val="nil"/>
            </w:tcBorders>
            <w:vAlign w:val="center"/>
            <w:hideMark/>
          </w:tcPr>
          <w:p w14:paraId="4B6BEA9D" w14:textId="77777777" w:rsidR="00563458" w:rsidRPr="008A0AD5" w:rsidRDefault="00563458" w:rsidP="00442310">
            <w:pPr>
              <w:spacing w:after="0"/>
              <w:jc w:val="left"/>
              <w:rPr>
                <w:color w:val="000000"/>
                <w:sz w:val="20"/>
                <w:szCs w:val="20"/>
                <w:lang w:val="en-US"/>
              </w:rPr>
            </w:pPr>
          </w:p>
        </w:tc>
        <w:tc>
          <w:tcPr>
            <w:tcW w:w="3747" w:type="dxa"/>
            <w:vMerge/>
            <w:tcBorders>
              <w:top w:val="single" w:sz="4" w:space="0" w:color="auto"/>
              <w:left w:val="nil"/>
              <w:bottom w:val="single" w:sz="4" w:space="0" w:color="000000"/>
              <w:right w:val="nil"/>
            </w:tcBorders>
            <w:vAlign w:val="center"/>
            <w:hideMark/>
          </w:tcPr>
          <w:p w14:paraId="06146114" w14:textId="77777777" w:rsidR="00563458" w:rsidRPr="008A0AD5" w:rsidRDefault="00563458" w:rsidP="00442310">
            <w:pPr>
              <w:spacing w:after="0"/>
              <w:jc w:val="left"/>
              <w:rPr>
                <w:color w:val="000000"/>
                <w:sz w:val="20"/>
                <w:szCs w:val="20"/>
                <w:lang w:val="en-US"/>
              </w:rPr>
            </w:pPr>
          </w:p>
        </w:tc>
        <w:tc>
          <w:tcPr>
            <w:tcW w:w="4394" w:type="dxa"/>
            <w:tcBorders>
              <w:left w:val="nil"/>
              <w:bottom w:val="nil"/>
              <w:right w:val="nil"/>
            </w:tcBorders>
            <w:shd w:val="clear" w:color="auto" w:fill="auto"/>
            <w:vAlign w:val="center"/>
            <w:hideMark/>
          </w:tcPr>
          <w:p w14:paraId="56DD0026" w14:textId="77777777" w:rsidR="00563458" w:rsidRPr="008A0AD5" w:rsidRDefault="00563458" w:rsidP="00442310">
            <w:pPr>
              <w:spacing w:after="0"/>
              <w:jc w:val="left"/>
              <w:rPr>
                <w:sz w:val="20"/>
                <w:szCs w:val="20"/>
              </w:rPr>
            </w:pPr>
            <w:r w:rsidRPr="008A0AD5">
              <w:rPr>
                <w:sz w:val="20"/>
                <w:szCs w:val="20"/>
              </w:rPr>
              <w:t>Finalisation des PA de toutes les AP</w:t>
            </w:r>
          </w:p>
        </w:tc>
        <w:tc>
          <w:tcPr>
            <w:tcW w:w="1985" w:type="dxa"/>
            <w:vMerge/>
            <w:tcBorders>
              <w:top w:val="single" w:sz="4" w:space="0" w:color="auto"/>
              <w:left w:val="nil"/>
              <w:bottom w:val="nil"/>
              <w:right w:val="nil"/>
            </w:tcBorders>
            <w:vAlign w:val="center"/>
            <w:hideMark/>
          </w:tcPr>
          <w:p w14:paraId="775BA15F" w14:textId="77777777" w:rsidR="00563458" w:rsidRPr="008A0AD5" w:rsidRDefault="00563458" w:rsidP="00442310">
            <w:pPr>
              <w:spacing w:after="0"/>
              <w:jc w:val="left"/>
              <w:rPr>
                <w:sz w:val="20"/>
                <w:szCs w:val="20"/>
              </w:rPr>
            </w:pPr>
          </w:p>
        </w:tc>
        <w:tc>
          <w:tcPr>
            <w:tcW w:w="1984" w:type="dxa"/>
            <w:vMerge/>
            <w:tcBorders>
              <w:top w:val="single" w:sz="4" w:space="0" w:color="auto"/>
              <w:left w:val="nil"/>
              <w:bottom w:val="nil"/>
              <w:right w:val="single" w:sz="4" w:space="0" w:color="auto"/>
            </w:tcBorders>
            <w:vAlign w:val="center"/>
            <w:hideMark/>
          </w:tcPr>
          <w:p w14:paraId="114AA51D" w14:textId="77777777" w:rsidR="00563458" w:rsidRPr="008A0AD5" w:rsidRDefault="00563458" w:rsidP="00442310">
            <w:pPr>
              <w:spacing w:after="0"/>
              <w:jc w:val="left"/>
              <w:rPr>
                <w:color w:val="000000"/>
                <w:sz w:val="20"/>
                <w:szCs w:val="20"/>
              </w:rPr>
            </w:pPr>
          </w:p>
        </w:tc>
      </w:tr>
      <w:tr w:rsidR="00563458" w:rsidRPr="007B4F38" w14:paraId="795CA3EC" w14:textId="77777777" w:rsidTr="00442310">
        <w:trPr>
          <w:trHeight w:val="870"/>
        </w:trPr>
        <w:tc>
          <w:tcPr>
            <w:tcW w:w="993" w:type="dxa"/>
            <w:vMerge/>
            <w:tcBorders>
              <w:top w:val="single" w:sz="4" w:space="0" w:color="auto"/>
              <w:left w:val="single" w:sz="4" w:space="0" w:color="auto"/>
              <w:bottom w:val="single" w:sz="4" w:space="0" w:color="auto"/>
              <w:right w:val="nil"/>
            </w:tcBorders>
            <w:vAlign w:val="center"/>
            <w:hideMark/>
          </w:tcPr>
          <w:p w14:paraId="4181B8A0" w14:textId="77777777" w:rsidR="00563458" w:rsidRPr="008A0AD5" w:rsidRDefault="00563458" w:rsidP="00442310">
            <w:pPr>
              <w:spacing w:after="0"/>
              <w:jc w:val="left"/>
              <w:rPr>
                <w:b/>
                <w:bCs/>
                <w:color w:val="000000"/>
                <w:sz w:val="20"/>
                <w:szCs w:val="20"/>
              </w:rPr>
            </w:pPr>
          </w:p>
        </w:tc>
        <w:tc>
          <w:tcPr>
            <w:tcW w:w="505" w:type="dxa"/>
            <w:vMerge/>
            <w:tcBorders>
              <w:top w:val="nil"/>
              <w:left w:val="single" w:sz="4" w:space="0" w:color="auto"/>
              <w:bottom w:val="single" w:sz="4" w:space="0" w:color="000000"/>
              <w:right w:val="nil"/>
            </w:tcBorders>
            <w:vAlign w:val="center"/>
            <w:hideMark/>
          </w:tcPr>
          <w:p w14:paraId="2894AC91" w14:textId="77777777" w:rsidR="00563458" w:rsidRPr="008A0AD5" w:rsidRDefault="00563458" w:rsidP="00442310">
            <w:pPr>
              <w:spacing w:after="0"/>
              <w:jc w:val="left"/>
              <w:rPr>
                <w:color w:val="000000"/>
                <w:sz w:val="20"/>
                <w:szCs w:val="20"/>
              </w:rPr>
            </w:pPr>
          </w:p>
        </w:tc>
        <w:tc>
          <w:tcPr>
            <w:tcW w:w="3747" w:type="dxa"/>
            <w:vMerge/>
            <w:tcBorders>
              <w:top w:val="nil"/>
              <w:left w:val="nil"/>
              <w:bottom w:val="single" w:sz="4" w:space="0" w:color="000000"/>
              <w:right w:val="nil"/>
            </w:tcBorders>
            <w:vAlign w:val="center"/>
            <w:hideMark/>
          </w:tcPr>
          <w:p w14:paraId="6AACF35E" w14:textId="77777777" w:rsidR="00563458" w:rsidRPr="008A0AD5" w:rsidRDefault="00563458" w:rsidP="00442310">
            <w:pPr>
              <w:spacing w:after="0"/>
              <w:jc w:val="left"/>
              <w:rPr>
                <w:color w:val="000000"/>
                <w:sz w:val="20"/>
                <w:szCs w:val="20"/>
              </w:rPr>
            </w:pPr>
          </w:p>
        </w:tc>
        <w:tc>
          <w:tcPr>
            <w:tcW w:w="4394" w:type="dxa"/>
            <w:tcBorders>
              <w:top w:val="nil"/>
              <w:left w:val="nil"/>
              <w:bottom w:val="nil"/>
              <w:right w:val="nil"/>
            </w:tcBorders>
            <w:shd w:val="clear" w:color="auto" w:fill="auto"/>
            <w:vAlign w:val="center"/>
            <w:hideMark/>
          </w:tcPr>
          <w:p w14:paraId="08013BF0" w14:textId="77777777" w:rsidR="00563458" w:rsidRPr="008A0AD5" w:rsidRDefault="00563458" w:rsidP="00442310">
            <w:pPr>
              <w:spacing w:after="0"/>
              <w:jc w:val="left"/>
              <w:rPr>
                <w:sz w:val="20"/>
                <w:szCs w:val="20"/>
              </w:rPr>
            </w:pPr>
            <w:r w:rsidRPr="008A0AD5">
              <w:rPr>
                <w:sz w:val="20"/>
                <w:szCs w:val="20"/>
              </w:rPr>
              <w:t>Mise en œuvre par tous les gestionnaires des AP des plans d'aménagement</w:t>
            </w:r>
          </w:p>
        </w:tc>
        <w:tc>
          <w:tcPr>
            <w:tcW w:w="1985" w:type="dxa"/>
            <w:vMerge/>
            <w:tcBorders>
              <w:top w:val="nil"/>
              <w:left w:val="nil"/>
              <w:bottom w:val="nil"/>
              <w:right w:val="nil"/>
            </w:tcBorders>
            <w:vAlign w:val="center"/>
            <w:hideMark/>
          </w:tcPr>
          <w:p w14:paraId="3265110C" w14:textId="77777777" w:rsidR="00563458" w:rsidRPr="008A0AD5" w:rsidRDefault="00563458" w:rsidP="00442310">
            <w:pPr>
              <w:spacing w:after="0"/>
              <w:jc w:val="left"/>
              <w:rPr>
                <w:sz w:val="20"/>
                <w:szCs w:val="20"/>
              </w:rPr>
            </w:pPr>
          </w:p>
        </w:tc>
        <w:tc>
          <w:tcPr>
            <w:tcW w:w="1984" w:type="dxa"/>
            <w:vMerge/>
            <w:tcBorders>
              <w:top w:val="nil"/>
              <w:left w:val="nil"/>
              <w:bottom w:val="nil"/>
              <w:right w:val="single" w:sz="4" w:space="0" w:color="auto"/>
            </w:tcBorders>
            <w:vAlign w:val="center"/>
            <w:hideMark/>
          </w:tcPr>
          <w:p w14:paraId="6A4BCF4D" w14:textId="77777777" w:rsidR="00563458" w:rsidRPr="008A0AD5" w:rsidRDefault="00563458" w:rsidP="00442310">
            <w:pPr>
              <w:spacing w:after="0"/>
              <w:jc w:val="left"/>
              <w:rPr>
                <w:color w:val="000000"/>
                <w:sz w:val="20"/>
                <w:szCs w:val="20"/>
              </w:rPr>
            </w:pPr>
          </w:p>
        </w:tc>
      </w:tr>
      <w:tr w:rsidR="00563458" w:rsidRPr="007B4F38" w14:paraId="75D9AF0C" w14:textId="77777777" w:rsidTr="00442310">
        <w:trPr>
          <w:trHeight w:val="285"/>
        </w:trPr>
        <w:tc>
          <w:tcPr>
            <w:tcW w:w="993" w:type="dxa"/>
            <w:vMerge/>
            <w:tcBorders>
              <w:top w:val="single" w:sz="4" w:space="0" w:color="auto"/>
              <w:left w:val="single" w:sz="4" w:space="0" w:color="auto"/>
              <w:bottom w:val="single" w:sz="4" w:space="0" w:color="auto"/>
              <w:right w:val="nil"/>
            </w:tcBorders>
            <w:vAlign w:val="center"/>
            <w:hideMark/>
          </w:tcPr>
          <w:p w14:paraId="72098499" w14:textId="77777777" w:rsidR="00563458" w:rsidRPr="008A0AD5" w:rsidRDefault="00563458" w:rsidP="00442310">
            <w:pPr>
              <w:spacing w:after="0"/>
              <w:jc w:val="left"/>
              <w:rPr>
                <w:b/>
                <w:bCs/>
                <w:color w:val="000000"/>
                <w:sz w:val="20"/>
                <w:szCs w:val="20"/>
              </w:rPr>
            </w:pPr>
          </w:p>
        </w:tc>
        <w:tc>
          <w:tcPr>
            <w:tcW w:w="505" w:type="dxa"/>
            <w:vMerge/>
            <w:tcBorders>
              <w:top w:val="nil"/>
              <w:left w:val="single" w:sz="4" w:space="0" w:color="auto"/>
              <w:bottom w:val="single" w:sz="4" w:space="0" w:color="000000"/>
              <w:right w:val="nil"/>
            </w:tcBorders>
            <w:vAlign w:val="center"/>
            <w:hideMark/>
          </w:tcPr>
          <w:p w14:paraId="7230E920" w14:textId="77777777" w:rsidR="00563458" w:rsidRPr="008A0AD5" w:rsidRDefault="00563458" w:rsidP="00442310">
            <w:pPr>
              <w:spacing w:after="0"/>
              <w:jc w:val="left"/>
              <w:rPr>
                <w:color w:val="000000"/>
                <w:sz w:val="20"/>
                <w:szCs w:val="20"/>
              </w:rPr>
            </w:pPr>
          </w:p>
        </w:tc>
        <w:tc>
          <w:tcPr>
            <w:tcW w:w="3747" w:type="dxa"/>
            <w:vMerge/>
            <w:tcBorders>
              <w:top w:val="nil"/>
              <w:left w:val="nil"/>
              <w:bottom w:val="single" w:sz="4" w:space="0" w:color="000000"/>
              <w:right w:val="nil"/>
            </w:tcBorders>
            <w:vAlign w:val="center"/>
            <w:hideMark/>
          </w:tcPr>
          <w:p w14:paraId="596C6117" w14:textId="77777777" w:rsidR="00563458" w:rsidRPr="008A0AD5" w:rsidRDefault="00563458" w:rsidP="00442310">
            <w:pPr>
              <w:spacing w:after="0"/>
              <w:jc w:val="left"/>
              <w:rPr>
                <w:color w:val="000000"/>
                <w:sz w:val="20"/>
                <w:szCs w:val="20"/>
              </w:rPr>
            </w:pPr>
          </w:p>
        </w:tc>
        <w:tc>
          <w:tcPr>
            <w:tcW w:w="4394" w:type="dxa"/>
            <w:tcBorders>
              <w:top w:val="nil"/>
              <w:left w:val="nil"/>
              <w:bottom w:val="single" w:sz="4" w:space="0" w:color="auto"/>
              <w:right w:val="nil"/>
            </w:tcBorders>
            <w:shd w:val="clear" w:color="000000" w:fill="F2F2F2"/>
            <w:vAlign w:val="center"/>
            <w:hideMark/>
          </w:tcPr>
          <w:p w14:paraId="2DD5A1EC" w14:textId="77777777" w:rsidR="00563458" w:rsidRPr="008A0AD5" w:rsidRDefault="00563458" w:rsidP="00442310">
            <w:pPr>
              <w:spacing w:after="0"/>
              <w:jc w:val="left"/>
              <w:rPr>
                <w:color w:val="808080"/>
                <w:sz w:val="20"/>
                <w:szCs w:val="20"/>
              </w:rPr>
            </w:pPr>
            <w:r w:rsidRPr="008A0AD5">
              <w:rPr>
                <w:color w:val="808080"/>
                <w:sz w:val="20"/>
                <w:szCs w:val="20"/>
              </w:rPr>
              <w:t>Les équipe de surveillance de terrain  sont renforcées (éco gardes)</w:t>
            </w:r>
          </w:p>
        </w:tc>
        <w:tc>
          <w:tcPr>
            <w:tcW w:w="3969" w:type="dxa"/>
            <w:gridSpan w:val="2"/>
            <w:tcBorders>
              <w:top w:val="nil"/>
              <w:left w:val="nil"/>
              <w:bottom w:val="single" w:sz="4" w:space="0" w:color="auto"/>
              <w:right w:val="single" w:sz="4" w:space="0" w:color="000000"/>
            </w:tcBorders>
            <w:shd w:val="clear" w:color="000000" w:fill="F2F2F2"/>
            <w:noWrap/>
            <w:vAlign w:val="center"/>
            <w:hideMark/>
          </w:tcPr>
          <w:p w14:paraId="77B1AA28" w14:textId="77777777" w:rsidR="00563458" w:rsidRPr="008A0AD5" w:rsidRDefault="00563458" w:rsidP="00442310">
            <w:pPr>
              <w:spacing w:after="0"/>
              <w:jc w:val="center"/>
              <w:rPr>
                <w:color w:val="808080"/>
                <w:sz w:val="20"/>
                <w:szCs w:val="20"/>
              </w:rPr>
            </w:pPr>
            <w:r w:rsidRPr="008A0AD5">
              <w:rPr>
                <w:color w:val="808080"/>
                <w:sz w:val="20"/>
                <w:szCs w:val="20"/>
              </w:rPr>
              <w:t>Activité couverte par 252</w:t>
            </w:r>
          </w:p>
        </w:tc>
      </w:tr>
      <w:tr w:rsidR="00563458" w:rsidRPr="007B4F38" w14:paraId="40CE6436" w14:textId="77777777" w:rsidTr="00442310">
        <w:trPr>
          <w:trHeight w:val="375"/>
        </w:trPr>
        <w:tc>
          <w:tcPr>
            <w:tcW w:w="993" w:type="dxa"/>
            <w:vMerge/>
            <w:tcBorders>
              <w:top w:val="single" w:sz="4" w:space="0" w:color="auto"/>
              <w:left w:val="single" w:sz="4" w:space="0" w:color="auto"/>
              <w:bottom w:val="single" w:sz="4" w:space="0" w:color="auto"/>
              <w:right w:val="nil"/>
            </w:tcBorders>
            <w:vAlign w:val="center"/>
            <w:hideMark/>
          </w:tcPr>
          <w:p w14:paraId="3B1D5C91" w14:textId="77777777" w:rsidR="00563458" w:rsidRPr="008A0AD5" w:rsidRDefault="00563458" w:rsidP="00442310">
            <w:pPr>
              <w:spacing w:after="0"/>
              <w:jc w:val="left"/>
              <w:rPr>
                <w:b/>
                <w:bCs/>
                <w:color w:val="000000"/>
                <w:sz w:val="20"/>
                <w:szCs w:val="20"/>
              </w:rPr>
            </w:pPr>
          </w:p>
        </w:tc>
        <w:tc>
          <w:tcPr>
            <w:tcW w:w="505" w:type="dxa"/>
            <w:vMerge w:val="restart"/>
            <w:tcBorders>
              <w:top w:val="nil"/>
              <w:left w:val="single" w:sz="4" w:space="0" w:color="auto"/>
              <w:bottom w:val="single" w:sz="4" w:space="0" w:color="000000"/>
              <w:right w:val="nil"/>
            </w:tcBorders>
            <w:shd w:val="clear" w:color="000000" w:fill="F2F2F2"/>
            <w:noWrap/>
            <w:vAlign w:val="center"/>
            <w:hideMark/>
          </w:tcPr>
          <w:p w14:paraId="7074EE3B" w14:textId="77777777" w:rsidR="00563458" w:rsidRPr="008A0AD5" w:rsidRDefault="00563458" w:rsidP="00442310">
            <w:pPr>
              <w:spacing w:after="0"/>
              <w:jc w:val="center"/>
              <w:rPr>
                <w:color w:val="808080"/>
                <w:sz w:val="20"/>
                <w:szCs w:val="20"/>
              </w:rPr>
            </w:pPr>
            <w:r w:rsidRPr="008A0AD5">
              <w:rPr>
                <w:color w:val="808080"/>
                <w:sz w:val="20"/>
                <w:szCs w:val="20"/>
              </w:rPr>
              <w:t>232</w:t>
            </w:r>
          </w:p>
        </w:tc>
        <w:tc>
          <w:tcPr>
            <w:tcW w:w="3747" w:type="dxa"/>
            <w:vMerge w:val="restart"/>
            <w:tcBorders>
              <w:top w:val="nil"/>
              <w:left w:val="nil"/>
              <w:bottom w:val="single" w:sz="4" w:space="0" w:color="000000"/>
              <w:right w:val="nil"/>
            </w:tcBorders>
            <w:shd w:val="clear" w:color="000000" w:fill="F2F2F2"/>
            <w:vAlign w:val="center"/>
            <w:hideMark/>
          </w:tcPr>
          <w:p w14:paraId="50E4392E" w14:textId="77777777" w:rsidR="00563458" w:rsidRPr="008A0AD5" w:rsidRDefault="00563458" w:rsidP="00442310">
            <w:pPr>
              <w:spacing w:after="0"/>
              <w:jc w:val="left"/>
              <w:rPr>
                <w:color w:val="808080"/>
                <w:sz w:val="20"/>
                <w:szCs w:val="20"/>
              </w:rPr>
            </w:pPr>
            <w:r w:rsidRPr="008A0AD5">
              <w:rPr>
                <w:color w:val="808080"/>
                <w:sz w:val="20"/>
                <w:szCs w:val="20"/>
              </w:rPr>
              <w:t>Généralisation du processus d'élaboration et de mise en œuvre des plans d'aménagement des AP</w:t>
            </w:r>
          </w:p>
        </w:tc>
        <w:tc>
          <w:tcPr>
            <w:tcW w:w="4394" w:type="dxa"/>
            <w:tcBorders>
              <w:top w:val="nil"/>
              <w:left w:val="nil"/>
              <w:bottom w:val="nil"/>
              <w:right w:val="nil"/>
            </w:tcBorders>
            <w:shd w:val="clear" w:color="000000" w:fill="F2F2F2"/>
            <w:vAlign w:val="center"/>
            <w:hideMark/>
          </w:tcPr>
          <w:p w14:paraId="5E727B57" w14:textId="77777777" w:rsidR="00563458" w:rsidRPr="008A0AD5" w:rsidRDefault="00563458" w:rsidP="00442310">
            <w:pPr>
              <w:spacing w:after="0"/>
              <w:jc w:val="left"/>
              <w:rPr>
                <w:color w:val="808080"/>
                <w:sz w:val="20"/>
                <w:szCs w:val="20"/>
              </w:rPr>
            </w:pPr>
            <w:r w:rsidRPr="008A0AD5">
              <w:rPr>
                <w:color w:val="808080"/>
                <w:sz w:val="20"/>
                <w:szCs w:val="20"/>
              </w:rPr>
              <w:t xml:space="preserve">Toutes les aires protégées disposent de plan d'aménagement </w:t>
            </w:r>
          </w:p>
        </w:tc>
        <w:tc>
          <w:tcPr>
            <w:tcW w:w="3969" w:type="dxa"/>
            <w:gridSpan w:val="2"/>
            <w:tcBorders>
              <w:top w:val="nil"/>
              <w:left w:val="nil"/>
              <w:bottom w:val="nil"/>
              <w:right w:val="single" w:sz="4" w:space="0" w:color="000000"/>
            </w:tcBorders>
            <w:shd w:val="clear" w:color="000000" w:fill="F2F2F2"/>
            <w:noWrap/>
            <w:vAlign w:val="center"/>
            <w:hideMark/>
          </w:tcPr>
          <w:p w14:paraId="68F2AC71" w14:textId="77777777" w:rsidR="00563458" w:rsidRPr="008A0AD5" w:rsidRDefault="00563458" w:rsidP="00442310">
            <w:pPr>
              <w:spacing w:after="0"/>
              <w:jc w:val="center"/>
              <w:rPr>
                <w:color w:val="808080"/>
                <w:sz w:val="20"/>
                <w:szCs w:val="20"/>
              </w:rPr>
            </w:pPr>
            <w:r w:rsidRPr="008A0AD5">
              <w:rPr>
                <w:color w:val="808080"/>
                <w:sz w:val="20"/>
                <w:szCs w:val="20"/>
              </w:rPr>
              <w:t>Activité couverte par 231</w:t>
            </w:r>
          </w:p>
        </w:tc>
      </w:tr>
      <w:tr w:rsidR="00563458" w:rsidRPr="007B4F38" w14:paraId="0A46C314" w14:textId="77777777" w:rsidTr="00442310">
        <w:trPr>
          <w:trHeight w:val="435"/>
        </w:trPr>
        <w:tc>
          <w:tcPr>
            <w:tcW w:w="993" w:type="dxa"/>
            <w:vMerge/>
            <w:tcBorders>
              <w:top w:val="single" w:sz="4" w:space="0" w:color="auto"/>
              <w:left w:val="single" w:sz="4" w:space="0" w:color="auto"/>
              <w:bottom w:val="single" w:sz="4" w:space="0" w:color="auto"/>
              <w:right w:val="nil"/>
            </w:tcBorders>
            <w:vAlign w:val="center"/>
            <w:hideMark/>
          </w:tcPr>
          <w:p w14:paraId="48E73A71" w14:textId="77777777" w:rsidR="00563458" w:rsidRPr="008A0AD5" w:rsidRDefault="00563458" w:rsidP="00442310">
            <w:pPr>
              <w:spacing w:after="0"/>
              <w:jc w:val="left"/>
              <w:rPr>
                <w:b/>
                <w:bCs/>
                <w:color w:val="000000"/>
                <w:sz w:val="20"/>
                <w:szCs w:val="20"/>
              </w:rPr>
            </w:pPr>
          </w:p>
        </w:tc>
        <w:tc>
          <w:tcPr>
            <w:tcW w:w="505" w:type="dxa"/>
            <w:vMerge/>
            <w:tcBorders>
              <w:top w:val="nil"/>
              <w:left w:val="single" w:sz="4" w:space="0" w:color="auto"/>
              <w:bottom w:val="single" w:sz="4" w:space="0" w:color="000000"/>
              <w:right w:val="nil"/>
            </w:tcBorders>
            <w:vAlign w:val="center"/>
            <w:hideMark/>
          </w:tcPr>
          <w:p w14:paraId="69B9DE2F" w14:textId="77777777" w:rsidR="00563458" w:rsidRPr="008A0AD5" w:rsidRDefault="00563458" w:rsidP="00442310">
            <w:pPr>
              <w:spacing w:after="0"/>
              <w:jc w:val="left"/>
              <w:rPr>
                <w:color w:val="808080"/>
                <w:sz w:val="20"/>
                <w:szCs w:val="20"/>
              </w:rPr>
            </w:pPr>
          </w:p>
        </w:tc>
        <w:tc>
          <w:tcPr>
            <w:tcW w:w="3747" w:type="dxa"/>
            <w:vMerge/>
            <w:tcBorders>
              <w:top w:val="nil"/>
              <w:left w:val="nil"/>
              <w:bottom w:val="single" w:sz="4" w:space="0" w:color="000000"/>
              <w:right w:val="nil"/>
            </w:tcBorders>
            <w:vAlign w:val="center"/>
            <w:hideMark/>
          </w:tcPr>
          <w:p w14:paraId="1A8DA8D0" w14:textId="77777777" w:rsidR="00563458" w:rsidRPr="008A0AD5" w:rsidRDefault="00563458" w:rsidP="00442310">
            <w:pPr>
              <w:spacing w:after="0"/>
              <w:jc w:val="left"/>
              <w:rPr>
                <w:color w:val="808080"/>
                <w:sz w:val="20"/>
                <w:szCs w:val="20"/>
              </w:rPr>
            </w:pPr>
          </w:p>
        </w:tc>
        <w:tc>
          <w:tcPr>
            <w:tcW w:w="4394" w:type="dxa"/>
            <w:tcBorders>
              <w:top w:val="nil"/>
              <w:left w:val="nil"/>
              <w:bottom w:val="nil"/>
              <w:right w:val="nil"/>
            </w:tcBorders>
            <w:shd w:val="clear" w:color="000000" w:fill="F2F2F2"/>
            <w:vAlign w:val="center"/>
            <w:hideMark/>
          </w:tcPr>
          <w:p w14:paraId="4791F114" w14:textId="77777777" w:rsidR="00563458" w:rsidRPr="008A0AD5" w:rsidRDefault="00563458" w:rsidP="00442310">
            <w:pPr>
              <w:spacing w:after="0"/>
              <w:jc w:val="left"/>
              <w:rPr>
                <w:color w:val="808080"/>
                <w:sz w:val="20"/>
                <w:szCs w:val="20"/>
              </w:rPr>
            </w:pPr>
            <w:r w:rsidRPr="008A0AD5">
              <w:rPr>
                <w:color w:val="808080"/>
                <w:sz w:val="20"/>
                <w:szCs w:val="20"/>
              </w:rPr>
              <w:t>Les plans d'aménagements sont mis en œuvre</w:t>
            </w:r>
          </w:p>
        </w:tc>
        <w:tc>
          <w:tcPr>
            <w:tcW w:w="3969" w:type="dxa"/>
            <w:gridSpan w:val="2"/>
            <w:tcBorders>
              <w:top w:val="nil"/>
              <w:left w:val="nil"/>
              <w:bottom w:val="single" w:sz="4" w:space="0" w:color="auto"/>
              <w:right w:val="single" w:sz="4" w:space="0" w:color="000000"/>
            </w:tcBorders>
            <w:shd w:val="clear" w:color="000000" w:fill="F2F2F2"/>
            <w:noWrap/>
            <w:vAlign w:val="center"/>
            <w:hideMark/>
          </w:tcPr>
          <w:p w14:paraId="44DA6AFA" w14:textId="77777777" w:rsidR="00563458" w:rsidRPr="008A0AD5" w:rsidRDefault="00563458" w:rsidP="00442310">
            <w:pPr>
              <w:spacing w:after="0"/>
              <w:jc w:val="center"/>
              <w:rPr>
                <w:color w:val="808080"/>
                <w:sz w:val="20"/>
                <w:szCs w:val="20"/>
              </w:rPr>
            </w:pPr>
            <w:r w:rsidRPr="008A0AD5">
              <w:rPr>
                <w:color w:val="808080"/>
                <w:sz w:val="20"/>
                <w:szCs w:val="20"/>
              </w:rPr>
              <w:t>Activité couverte par 231</w:t>
            </w:r>
          </w:p>
        </w:tc>
      </w:tr>
      <w:tr w:rsidR="00563458" w:rsidRPr="007B4F38" w14:paraId="54D7CA9F" w14:textId="77777777" w:rsidTr="00442310">
        <w:trPr>
          <w:trHeight w:val="570"/>
        </w:trPr>
        <w:tc>
          <w:tcPr>
            <w:tcW w:w="993" w:type="dxa"/>
            <w:vMerge/>
            <w:tcBorders>
              <w:top w:val="single" w:sz="4" w:space="0" w:color="auto"/>
              <w:left w:val="single" w:sz="4" w:space="0" w:color="auto"/>
              <w:bottom w:val="single" w:sz="4" w:space="0" w:color="auto"/>
              <w:right w:val="nil"/>
            </w:tcBorders>
            <w:vAlign w:val="center"/>
            <w:hideMark/>
          </w:tcPr>
          <w:p w14:paraId="57B689F7" w14:textId="77777777" w:rsidR="00563458" w:rsidRPr="008A0AD5" w:rsidRDefault="00563458" w:rsidP="00442310">
            <w:pPr>
              <w:spacing w:after="0"/>
              <w:jc w:val="left"/>
              <w:rPr>
                <w:b/>
                <w:bCs/>
                <w:color w:val="000000"/>
                <w:sz w:val="20"/>
                <w:szCs w:val="20"/>
              </w:rPr>
            </w:pPr>
          </w:p>
        </w:tc>
        <w:tc>
          <w:tcPr>
            <w:tcW w:w="505" w:type="dxa"/>
            <w:vMerge w:val="restart"/>
            <w:tcBorders>
              <w:top w:val="nil"/>
              <w:left w:val="single" w:sz="4" w:space="0" w:color="auto"/>
              <w:bottom w:val="single" w:sz="4" w:space="0" w:color="000000"/>
              <w:right w:val="nil"/>
            </w:tcBorders>
            <w:shd w:val="clear" w:color="auto" w:fill="auto"/>
            <w:noWrap/>
            <w:vAlign w:val="center"/>
            <w:hideMark/>
          </w:tcPr>
          <w:p w14:paraId="10D7AF4F" w14:textId="77777777" w:rsidR="00563458" w:rsidRPr="008A0AD5" w:rsidRDefault="00563458" w:rsidP="00442310">
            <w:pPr>
              <w:spacing w:after="0"/>
              <w:jc w:val="center"/>
              <w:rPr>
                <w:sz w:val="20"/>
                <w:szCs w:val="20"/>
              </w:rPr>
            </w:pPr>
            <w:r w:rsidRPr="008A0AD5">
              <w:rPr>
                <w:sz w:val="20"/>
                <w:szCs w:val="20"/>
              </w:rPr>
              <w:t>233</w:t>
            </w:r>
          </w:p>
        </w:tc>
        <w:tc>
          <w:tcPr>
            <w:tcW w:w="3747" w:type="dxa"/>
            <w:vMerge w:val="restart"/>
            <w:tcBorders>
              <w:top w:val="nil"/>
              <w:left w:val="nil"/>
              <w:bottom w:val="single" w:sz="4" w:space="0" w:color="000000"/>
              <w:right w:val="nil"/>
            </w:tcBorders>
            <w:shd w:val="clear" w:color="auto" w:fill="auto"/>
            <w:vAlign w:val="center"/>
            <w:hideMark/>
          </w:tcPr>
          <w:p w14:paraId="3D6D36BA" w14:textId="77777777" w:rsidR="00563458" w:rsidRPr="008A0AD5" w:rsidRDefault="00563458" w:rsidP="00442310">
            <w:pPr>
              <w:spacing w:after="0"/>
              <w:jc w:val="left"/>
              <w:rPr>
                <w:sz w:val="20"/>
                <w:szCs w:val="20"/>
              </w:rPr>
            </w:pPr>
            <w:r w:rsidRPr="008A0AD5">
              <w:rPr>
                <w:sz w:val="20"/>
                <w:szCs w:val="20"/>
              </w:rPr>
              <w:t>Renforcement de la participation des communautés locales et populations autochtones dans la gestion des AP</w:t>
            </w:r>
          </w:p>
        </w:tc>
        <w:tc>
          <w:tcPr>
            <w:tcW w:w="4394" w:type="dxa"/>
            <w:tcBorders>
              <w:top w:val="single" w:sz="4" w:space="0" w:color="auto"/>
              <w:left w:val="nil"/>
              <w:bottom w:val="nil"/>
              <w:right w:val="nil"/>
            </w:tcBorders>
            <w:shd w:val="clear" w:color="000000" w:fill="F2F2F2"/>
            <w:vAlign w:val="center"/>
            <w:hideMark/>
          </w:tcPr>
          <w:p w14:paraId="21D94CEC" w14:textId="77777777" w:rsidR="00563458" w:rsidRPr="008A0AD5" w:rsidRDefault="00563458" w:rsidP="00442310">
            <w:pPr>
              <w:spacing w:after="0"/>
              <w:jc w:val="left"/>
              <w:rPr>
                <w:color w:val="808080"/>
                <w:sz w:val="20"/>
                <w:szCs w:val="20"/>
              </w:rPr>
            </w:pPr>
            <w:r w:rsidRPr="008A0AD5">
              <w:rPr>
                <w:color w:val="808080"/>
                <w:sz w:val="20"/>
                <w:szCs w:val="20"/>
              </w:rPr>
              <w:t>Les plans d’aménagement et leurs mise en œuvre inclus le renforcement des populations dans la gestion</w:t>
            </w:r>
          </w:p>
        </w:tc>
        <w:tc>
          <w:tcPr>
            <w:tcW w:w="3969" w:type="dxa"/>
            <w:gridSpan w:val="2"/>
            <w:tcBorders>
              <w:top w:val="nil"/>
              <w:left w:val="nil"/>
              <w:bottom w:val="nil"/>
              <w:right w:val="single" w:sz="4" w:space="0" w:color="000000"/>
            </w:tcBorders>
            <w:shd w:val="clear" w:color="000000" w:fill="F2F2F2"/>
            <w:noWrap/>
            <w:vAlign w:val="center"/>
            <w:hideMark/>
          </w:tcPr>
          <w:p w14:paraId="2868BAEC" w14:textId="77777777" w:rsidR="00563458" w:rsidRPr="008A0AD5" w:rsidRDefault="00563458" w:rsidP="00442310">
            <w:pPr>
              <w:spacing w:after="0"/>
              <w:jc w:val="center"/>
              <w:rPr>
                <w:color w:val="808080"/>
                <w:sz w:val="20"/>
                <w:szCs w:val="20"/>
              </w:rPr>
            </w:pPr>
            <w:r w:rsidRPr="008A0AD5">
              <w:rPr>
                <w:color w:val="808080"/>
                <w:sz w:val="20"/>
                <w:szCs w:val="20"/>
              </w:rPr>
              <w:t>Activité couverte par 231</w:t>
            </w:r>
          </w:p>
        </w:tc>
      </w:tr>
      <w:tr w:rsidR="00563458" w:rsidRPr="00630427" w14:paraId="5CD45FC1" w14:textId="77777777" w:rsidTr="00442310">
        <w:trPr>
          <w:trHeight w:val="1380"/>
        </w:trPr>
        <w:tc>
          <w:tcPr>
            <w:tcW w:w="993" w:type="dxa"/>
            <w:vMerge/>
            <w:tcBorders>
              <w:top w:val="single" w:sz="4" w:space="0" w:color="auto"/>
              <w:left w:val="single" w:sz="4" w:space="0" w:color="auto"/>
              <w:bottom w:val="single" w:sz="4" w:space="0" w:color="auto"/>
              <w:right w:val="nil"/>
            </w:tcBorders>
            <w:vAlign w:val="center"/>
            <w:hideMark/>
          </w:tcPr>
          <w:p w14:paraId="75851C43" w14:textId="77777777" w:rsidR="00563458" w:rsidRPr="008A0AD5" w:rsidRDefault="00563458" w:rsidP="00442310">
            <w:pPr>
              <w:spacing w:after="0"/>
              <w:jc w:val="left"/>
              <w:rPr>
                <w:b/>
                <w:bCs/>
                <w:color w:val="000000"/>
                <w:sz w:val="20"/>
                <w:szCs w:val="20"/>
              </w:rPr>
            </w:pPr>
          </w:p>
        </w:tc>
        <w:tc>
          <w:tcPr>
            <w:tcW w:w="505" w:type="dxa"/>
            <w:vMerge/>
            <w:tcBorders>
              <w:top w:val="nil"/>
              <w:left w:val="single" w:sz="4" w:space="0" w:color="auto"/>
              <w:bottom w:val="single" w:sz="4" w:space="0" w:color="000000"/>
              <w:right w:val="nil"/>
            </w:tcBorders>
            <w:vAlign w:val="center"/>
            <w:hideMark/>
          </w:tcPr>
          <w:p w14:paraId="0E9A22C4" w14:textId="77777777" w:rsidR="00563458" w:rsidRPr="008A0AD5" w:rsidRDefault="00563458" w:rsidP="00442310">
            <w:pPr>
              <w:spacing w:after="0"/>
              <w:jc w:val="left"/>
              <w:rPr>
                <w:sz w:val="20"/>
                <w:szCs w:val="20"/>
              </w:rPr>
            </w:pPr>
          </w:p>
        </w:tc>
        <w:tc>
          <w:tcPr>
            <w:tcW w:w="3747" w:type="dxa"/>
            <w:vMerge/>
            <w:tcBorders>
              <w:top w:val="nil"/>
              <w:left w:val="nil"/>
              <w:bottom w:val="single" w:sz="4" w:space="0" w:color="000000"/>
              <w:right w:val="nil"/>
            </w:tcBorders>
            <w:vAlign w:val="center"/>
            <w:hideMark/>
          </w:tcPr>
          <w:p w14:paraId="4A346662" w14:textId="77777777" w:rsidR="00563458" w:rsidRPr="008A0AD5" w:rsidRDefault="00563458" w:rsidP="00442310">
            <w:pPr>
              <w:spacing w:after="0"/>
              <w:jc w:val="left"/>
              <w:rPr>
                <w:sz w:val="20"/>
                <w:szCs w:val="20"/>
              </w:rPr>
            </w:pPr>
          </w:p>
        </w:tc>
        <w:tc>
          <w:tcPr>
            <w:tcW w:w="4394" w:type="dxa"/>
            <w:tcBorders>
              <w:top w:val="nil"/>
              <w:left w:val="nil"/>
              <w:bottom w:val="single" w:sz="4" w:space="0" w:color="auto"/>
              <w:right w:val="nil"/>
            </w:tcBorders>
            <w:shd w:val="clear" w:color="auto" w:fill="auto"/>
            <w:vAlign w:val="center"/>
            <w:hideMark/>
          </w:tcPr>
          <w:p w14:paraId="5748ABBF" w14:textId="77777777" w:rsidR="00563458" w:rsidRPr="008A0AD5" w:rsidRDefault="00563458" w:rsidP="00442310">
            <w:pPr>
              <w:spacing w:after="0"/>
              <w:jc w:val="left"/>
              <w:rPr>
                <w:sz w:val="20"/>
                <w:szCs w:val="20"/>
              </w:rPr>
            </w:pPr>
            <w:r w:rsidRPr="008A0AD5">
              <w:rPr>
                <w:sz w:val="20"/>
                <w:szCs w:val="20"/>
              </w:rPr>
              <w:t>Promotion des activités alternatives autour des AP</w:t>
            </w:r>
          </w:p>
        </w:tc>
        <w:tc>
          <w:tcPr>
            <w:tcW w:w="1985" w:type="dxa"/>
            <w:tcBorders>
              <w:top w:val="nil"/>
              <w:left w:val="nil"/>
              <w:bottom w:val="single" w:sz="4" w:space="0" w:color="auto"/>
              <w:right w:val="nil"/>
            </w:tcBorders>
            <w:shd w:val="clear" w:color="auto" w:fill="auto"/>
            <w:noWrap/>
            <w:vAlign w:val="center"/>
            <w:hideMark/>
          </w:tcPr>
          <w:p w14:paraId="19F198AE" w14:textId="77777777" w:rsidR="00563458" w:rsidRPr="008A0AD5" w:rsidRDefault="00563458" w:rsidP="00442310">
            <w:pPr>
              <w:spacing w:after="0"/>
              <w:jc w:val="left"/>
              <w:rPr>
                <w:sz w:val="20"/>
                <w:szCs w:val="20"/>
              </w:rPr>
            </w:pPr>
            <w:r w:rsidRPr="008A0AD5">
              <w:rPr>
                <w:sz w:val="20"/>
                <w:szCs w:val="20"/>
              </w:rPr>
              <w:t>Gouvernement (FPE)</w:t>
            </w:r>
          </w:p>
        </w:tc>
        <w:tc>
          <w:tcPr>
            <w:tcW w:w="1984" w:type="dxa"/>
            <w:tcBorders>
              <w:top w:val="nil"/>
              <w:left w:val="nil"/>
              <w:bottom w:val="single" w:sz="4" w:space="0" w:color="auto"/>
              <w:right w:val="single" w:sz="4" w:space="0" w:color="auto"/>
            </w:tcBorders>
            <w:shd w:val="clear" w:color="auto" w:fill="auto"/>
            <w:vAlign w:val="center"/>
            <w:hideMark/>
          </w:tcPr>
          <w:p w14:paraId="647AF9F7" w14:textId="77777777" w:rsidR="00563458" w:rsidRPr="008A0AD5" w:rsidRDefault="00563458" w:rsidP="00442310">
            <w:pPr>
              <w:spacing w:after="0"/>
              <w:jc w:val="left"/>
              <w:rPr>
                <w:color w:val="000000"/>
                <w:sz w:val="20"/>
                <w:szCs w:val="20"/>
                <w:lang w:val="en-US"/>
              </w:rPr>
            </w:pPr>
            <w:r w:rsidRPr="008A0AD5">
              <w:rPr>
                <w:color w:val="000000"/>
                <w:sz w:val="20"/>
                <w:szCs w:val="20"/>
                <w:lang w:val="en-US"/>
              </w:rPr>
              <w:t>USAID (CARPE)</w:t>
            </w:r>
            <w:r w:rsidRPr="008A0AD5">
              <w:rPr>
                <w:color w:val="000000"/>
                <w:sz w:val="20"/>
                <w:szCs w:val="20"/>
                <w:lang w:val="en-US"/>
              </w:rPr>
              <w:br/>
              <w:t>FEM</w:t>
            </w:r>
            <w:r w:rsidRPr="008A0AD5">
              <w:rPr>
                <w:color w:val="000000"/>
                <w:sz w:val="20"/>
                <w:szCs w:val="20"/>
                <w:lang w:val="en-US"/>
              </w:rPr>
              <w:br/>
              <w:t>ONG (WWF, WCS, African Parks)</w:t>
            </w:r>
            <w:r w:rsidRPr="008A0AD5">
              <w:rPr>
                <w:color w:val="000000"/>
                <w:sz w:val="20"/>
                <w:szCs w:val="20"/>
                <w:lang w:val="en-US"/>
              </w:rPr>
              <w:br/>
              <w:t>FNTS</w:t>
            </w:r>
            <w:r w:rsidRPr="008A0AD5">
              <w:rPr>
                <w:color w:val="000000"/>
                <w:sz w:val="20"/>
                <w:szCs w:val="20"/>
                <w:lang w:val="en-US"/>
              </w:rPr>
              <w:br/>
              <w:t>FVC</w:t>
            </w:r>
          </w:p>
        </w:tc>
      </w:tr>
      <w:tr w:rsidR="00563458" w:rsidRPr="007B4F38" w14:paraId="1BC3D3B1" w14:textId="77777777" w:rsidTr="00442310">
        <w:trPr>
          <w:trHeight w:val="540"/>
        </w:trPr>
        <w:tc>
          <w:tcPr>
            <w:tcW w:w="993" w:type="dxa"/>
            <w:vMerge/>
            <w:tcBorders>
              <w:top w:val="single" w:sz="4" w:space="0" w:color="auto"/>
              <w:left w:val="single" w:sz="4" w:space="0" w:color="auto"/>
              <w:bottom w:val="single" w:sz="4" w:space="0" w:color="auto"/>
              <w:right w:val="nil"/>
            </w:tcBorders>
            <w:vAlign w:val="center"/>
            <w:hideMark/>
          </w:tcPr>
          <w:p w14:paraId="5A6A65F3" w14:textId="77777777" w:rsidR="00563458" w:rsidRPr="008A0AD5" w:rsidRDefault="00563458" w:rsidP="00442310">
            <w:pPr>
              <w:spacing w:after="0"/>
              <w:jc w:val="left"/>
              <w:rPr>
                <w:b/>
                <w:bCs/>
                <w:color w:val="000000"/>
                <w:sz w:val="20"/>
                <w:szCs w:val="20"/>
                <w:lang w:val="en-US"/>
              </w:rPr>
            </w:pPr>
          </w:p>
        </w:tc>
        <w:tc>
          <w:tcPr>
            <w:tcW w:w="505" w:type="dxa"/>
            <w:vMerge w:val="restart"/>
            <w:tcBorders>
              <w:top w:val="nil"/>
              <w:left w:val="single" w:sz="4" w:space="0" w:color="auto"/>
              <w:bottom w:val="single" w:sz="4" w:space="0" w:color="000000"/>
              <w:right w:val="nil"/>
            </w:tcBorders>
            <w:shd w:val="clear" w:color="auto" w:fill="auto"/>
            <w:noWrap/>
            <w:vAlign w:val="center"/>
            <w:hideMark/>
          </w:tcPr>
          <w:p w14:paraId="3ED5F844" w14:textId="77777777" w:rsidR="00563458" w:rsidRPr="008A0AD5" w:rsidRDefault="00563458" w:rsidP="00442310">
            <w:pPr>
              <w:spacing w:after="0"/>
              <w:jc w:val="center"/>
              <w:rPr>
                <w:sz w:val="20"/>
                <w:szCs w:val="20"/>
              </w:rPr>
            </w:pPr>
            <w:r w:rsidRPr="008A0AD5">
              <w:rPr>
                <w:sz w:val="20"/>
                <w:szCs w:val="20"/>
              </w:rPr>
              <w:t>234</w:t>
            </w:r>
          </w:p>
        </w:tc>
        <w:tc>
          <w:tcPr>
            <w:tcW w:w="3747" w:type="dxa"/>
            <w:vMerge w:val="restart"/>
            <w:tcBorders>
              <w:top w:val="nil"/>
              <w:left w:val="nil"/>
              <w:bottom w:val="single" w:sz="4" w:space="0" w:color="000000"/>
              <w:right w:val="nil"/>
            </w:tcBorders>
            <w:shd w:val="clear" w:color="auto" w:fill="auto"/>
            <w:vAlign w:val="center"/>
            <w:hideMark/>
          </w:tcPr>
          <w:p w14:paraId="31A20C24" w14:textId="77777777" w:rsidR="00563458" w:rsidRPr="008A0AD5" w:rsidRDefault="00563458" w:rsidP="00442310">
            <w:pPr>
              <w:spacing w:after="0"/>
              <w:jc w:val="left"/>
              <w:rPr>
                <w:sz w:val="20"/>
                <w:szCs w:val="20"/>
              </w:rPr>
            </w:pPr>
            <w:r w:rsidRPr="008A0AD5">
              <w:rPr>
                <w:sz w:val="20"/>
                <w:szCs w:val="20"/>
              </w:rPr>
              <w:t>Promotion et valorisation économique des AP, de la filière faune et de l'écotourisme</w:t>
            </w:r>
          </w:p>
        </w:tc>
        <w:tc>
          <w:tcPr>
            <w:tcW w:w="4394" w:type="dxa"/>
            <w:tcBorders>
              <w:top w:val="nil"/>
              <w:left w:val="nil"/>
              <w:bottom w:val="nil"/>
              <w:right w:val="nil"/>
            </w:tcBorders>
            <w:shd w:val="clear" w:color="000000" w:fill="F2F2F2"/>
            <w:vAlign w:val="bottom"/>
            <w:hideMark/>
          </w:tcPr>
          <w:p w14:paraId="30B886D6" w14:textId="77777777" w:rsidR="00563458" w:rsidRPr="008A0AD5" w:rsidRDefault="00563458" w:rsidP="00442310">
            <w:pPr>
              <w:spacing w:after="0"/>
              <w:jc w:val="left"/>
              <w:rPr>
                <w:color w:val="808080"/>
                <w:sz w:val="20"/>
                <w:szCs w:val="20"/>
              </w:rPr>
            </w:pPr>
            <w:r w:rsidRPr="008A0AD5">
              <w:rPr>
                <w:color w:val="808080"/>
                <w:sz w:val="20"/>
                <w:szCs w:val="20"/>
              </w:rPr>
              <w:t>Les PA et leurs mise en œuvre inclus la valorisation économique</w:t>
            </w:r>
          </w:p>
        </w:tc>
        <w:tc>
          <w:tcPr>
            <w:tcW w:w="3969" w:type="dxa"/>
            <w:gridSpan w:val="2"/>
            <w:tcBorders>
              <w:top w:val="nil"/>
              <w:left w:val="nil"/>
              <w:bottom w:val="nil"/>
              <w:right w:val="single" w:sz="4" w:space="0" w:color="000000"/>
            </w:tcBorders>
            <w:shd w:val="clear" w:color="000000" w:fill="F2F2F2"/>
            <w:noWrap/>
            <w:vAlign w:val="center"/>
            <w:hideMark/>
          </w:tcPr>
          <w:p w14:paraId="32199DB4" w14:textId="77777777" w:rsidR="00563458" w:rsidRPr="008A0AD5" w:rsidRDefault="00563458" w:rsidP="00442310">
            <w:pPr>
              <w:spacing w:after="0"/>
              <w:jc w:val="center"/>
              <w:rPr>
                <w:color w:val="808080"/>
                <w:sz w:val="20"/>
                <w:szCs w:val="20"/>
              </w:rPr>
            </w:pPr>
            <w:r w:rsidRPr="008A0AD5">
              <w:rPr>
                <w:color w:val="808080"/>
                <w:sz w:val="20"/>
                <w:szCs w:val="20"/>
              </w:rPr>
              <w:t>Activité couverte par 231</w:t>
            </w:r>
          </w:p>
        </w:tc>
      </w:tr>
      <w:tr w:rsidR="00563458" w:rsidRPr="00630427" w14:paraId="357C7203" w14:textId="77777777" w:rsidTr="00442310">
        <w:trPr>
          <w:trHeight w:val="570"/>
        </w:trPr>
        <w:tc>
          <w:tcPr>
            <w:tcW w:w="993" w:type="dxa"/>
            <w:vMerge/>
            <w:tcBorders>
              <w:top w:val="single" w:sz="4" w:space="0" w:color="auto"/>
              <w:left w:val="single" w:sz="4" w:space="0" w:color="auto"/>
              <w:bottom w:val="single" w:sz="4" w:space="0" w:color="auto"/>
              <w:right w:val="nil"/>
            </w:tcBorders>
            <w:vAlign w:val="center"/>
            <w:hideMark/>
          </w:tcPr>
          <w:p w14:paraId="429CE3D9" w14:textId="77777777" w:rsidR="00563458" w:rsidRPr="008A0AD5" w:rsidRDefault="00563458" w:rsidP="00442310">
            <w:pPr>
              <w:spacing w:after="0"/>
              <w:jc w:val="left"/>
              <w:rPr>
                <w:b/>
                <w:bCs/>
                <w:color w:val="000000"/>
                <w:sz w:val="20"/>
                <w:szCs w:val="20"/>
              </w:rPr>
            </w:pPr>
          </w:p>
        </w:tc>
        <w:tc>
          <w:tcPr>
            <w:tcW w:w="505" w:type="dxa"/>
            <w:vMerge/>
            <w:tcBorders>
              <w:top w:val="nil"/>
              <w:left w:val="single" w:sz="4" w:space="0" w:color="auto"/>
              <w:bottom w:val="single" w:sz="4" w:space="0" w:color="000000"/>
              <w:right w:val="nil"/>
            </w:tcBorders>
            <w:vAlign w:val="center"/>
            <w:hideMark/>
          </w:tcPr>
          <w:p w14:paraId="17DDDEAA" w14:textId="77777777" w:rsidR="00563458" w:rsidRPr="008A0AD5" w:rsidRDefault="00563458" w:rsidP="00442310">
            <w:pPr>
              <w:spacing w:after="0"/>
              <w:jc w:val="left"/>
              <w:rPr>
                <w:sz w:val="20"/>
                <w:szCs w:val="20"/>
              </w:rPr>
            </w:pPr>
          </w:p>
        </w:tc>
        <w:tc>
          <w:tcPr>
            <w:tcW w:w="3747" w:type="dxa"/>
            <w:vMerge/>
            <w:tcBorders>
              <w:top w:val="nil"/>
              <w:left w:val="nil"/>
              <w:bottom w:val="single" w:sz="4" w:space="0" w:color="000000"/>
              <w:right w:val="nil"/>
            </w:tcBorders>
            <w:vAlign w:val="center"/>
            <w:hideMark/>
          </w:tcPr>
          <w:p w14:paraId="35B3E9A3" w14:textId="77777777" w:rsidR="00563458" w:rsidRPr="008A0AD5" w:rsidRDefault="00563458" w:rsidP="00442310">
            <w:pPr>
              <w:spacing w:after="0"/>
              <w:jc w:val="left"/>
              <w:rPr>
                <w:sz w:val="20"/>
                <w:szCs w:val="20"/>
              </w:rPr>
            </w:pPr>
          </w:p>
        </w:tc>
        <w:tc>
          <w:tcPr>
            <w:tcW w:w="4394" w:type="dxa"/>
            <w:tcBorders>
              <w:top w:val="nil"/>
              <w:left w:val="nil"/>
              <w:bottom w:val="single" w:sz="4" w:space="0" w:color="auto"/>
              <w:right w:val="nil"/>
            </w:tcBorders>
            <w:shd w:val="clear" w:color="auto" w:fill="auto"/>
            <w:vAlign w:val="center"/>
            <w:hideMark/>
          </w:tcPr>
          <w:p w14:paraId="5216EFCD" w14:textId="77777777" w:rsidR="00563458" w:rsidRPr="008A0AD5" w:rsidRDefault="00563458" w:rsidP="00442310">
            <w:pPr>
              <w:spacing w:after="0"/>
              <w:jc w:val="left"/>
              <w:rPr>
                <w:sz w:val="20"/>
                <w:szCs w:val="20"/>
              </w:rPr>
            </w:pPr>
            <w:r w:rsidRPr="008A0AD5">
              <w:rPr>
                <w:sz w:val="20"/>
                <w:szCs w:val="20"/>
              </w:rPr>
              <w:t xml:space="preserve">Renforcer les capacités de l'API pour faire la promotion des ressources fauniques dans les AP auprès des investisseurs </w:t>
            </w:r>
          </w:p>
        </w:tc>
        <w:tc>
          <w:tcPr>
            <w:tcW w:w="1985" w:type="dxa"/>
            <w:tcBorders>
              <w:top w:val="nil"/>
              <w:left w:val="nil"/>
              <w:bottom w:val="nil"/>
              <w:right w:val="nil"/>
            </w:tcBorders>
            <w:shd w:val="clear" w:color="auto" w:fill="auto"/>
            <w:vAlign w:val="center"/>
            <w:hideMark/>
          </w:tcPr>
          <w:p w14:paraId="54FA604A" w14:textId="77777777" w:rsidR="00563458" w:rsidRPr="008A0AD5" w:rsidRDefault="00563458" w:rsidP="00442310">
            <w:pPr>
              <w:spacing w:after="0"/>
              <w:jc w:val="left"/>
              <w:rPr>
                <w:color w:val="000000"/>
                <w:sz w:val="20"/>
                <w:szCs w:val="20"/>
              </w:rPr>
            </w:pPr>
            <w:r w:rsidRPr="008A0AD5">
              <w:rPr>
                <w:color w:val="000000"/>
                <w:sz w:val="20"/>
                <w:szCs w:val="20"/>
              </w:rPr>
              <w:t xml:space="preserve">Gouvernement </w:t>
            </w:r>
          </w:p>
        </w:tc>
        <w:tc>
          <w:tcPr>
            <w:tcW w:w="1984" w:type="dxa"/>
            <w:tcBorders>
              <w:top w:val="nil"/>
              <w:left w:val="nil"/>
              <w:bottom w:val="single" w:sz="4" w:space="0" w:color="auto"/>
              <w:right w:val="single" w:sz="4" w:space="0" w:color="auto"/>
            </w:tcBorders>
            <w:shd w:val="clear" w:color="auto" w:fill="auto"/>
            <w:vAlign w:val="center"/>
            <w:hideMark/>
          </w:tcPr>
          <w:p w14:paraId="244CE867" w14:textId="77777777" w:rsidR="00563458" w:rsidRPr="008A0AD5" w:rsidRDefault="00563458" w:rsidP="00442310">
            <w:pPr>
              <w:spacing w:after="0"/>
              <w:jc w:val="left"/>
              <w:rPr>
                <w:color w:val="000000"/>
                <w:sz w:val="20"/>
                <w:szCs w:val="20"/>
                <w:lang w:val="en-US"/>
              </w:rPr>
            </w:pPr>
            <w:r w:rsidRPr="008A0AD5">
              <w:rPr>
                <w:color w:val="000000"/>
                <w:sz w:val="20"/>
                <w:szCs w:val="20"/>
                <w:lang w:val="en-US"/>
              </w:rPr>
              <w:t>BAD (PACIGOF)</w:t>
            </w:r>
            <w:r w:rsidRPr="008A0AD5">
              <w:rPr>
                <w:color w:val="000000"/>
                <w:sz w:val="20"/>
                <w:szCs w:val="20"/>
                <w:lang w:val="en-US"/>
              </w:rPr>
              <w:br/>
              <w:t>USAID (CARPE/EMAPS)</w:t>
            </w:r>
          </w:p>
        </w:tc>
      </w:tr>
      <w:tr w:rsidR="00563458" w:rsidRPr="00630427" w14:paraId="10F6F737" w14:textId="77777777" w:rsidTr="00442310">
        <w:trPr>
          <w:trHeight w:val="1140"/>
        </w:trPr>
        <w:tc>
          <w:tcPr>
            <w:tcW w:w="993" w:type="dxa"/>
            <w:vMerge w:val="restart"/>
            <w:tcBorders>
              <w:top w:val="nil"/>
              <w:left w:val="single" w:sz="4" w:space="0" w:color="auto"/>
              <w:bottom w:val="single" w:sz="4" w:space="0" w:color="auto"/>
              <w:right w:val="nil"/>
            </w:tcBorders>
            <w:shd w:val="clear" w:color="000000" w:fill="B8CCE4"/>
            <w:textDirection w:val="btLr"/>
            <w:vAlign w:val="center"/>
            <w:hideMark/>
          </w:tcPr>
          <w:p w14:paraId="022EB895" w14:textId="77777777" w:rsidR="00563458" w:rsidRPr="008A0AD5" w:rsidRDefault="00563458" w:rsidP="00442310">
            <w:pPr>
              <w:spacing w:after="0"/>
              <w:jc w:val="center"/>
              <w:rPr>
                <w:b/>
                <w:bCs/>
                <w:color w:val="000000"/>
                <w:sz w:val="20"/>
                <w:szCs w:val="20"/>
              </w:rPr>
            </w:pPr>
            <w:r w:rsidRPr="008A0AD5">
              <w:rPr>
                <w:b/>
                <w:bCs/>
                <w:color w:val="000000"/>
                <w:sz w:val="20"/>
                <w:szCs w:val="20"/>
              </w:rPr>
              <w:t>SO 2.4 Promotion et valorisation des PFNL</w:t>
            </w:r>
          </w:p>
        </w:tc>
        <w:tc>
          <w:tcPr>
            <w:tcW w:w="505" w:type="dxa"/>
            <w:tcBorders>
              <w:top w:val="nil"/>
              <w:left w:val="single" w:sz="4" w:space="0" w:color="auto"/>
              <w:bottom w:val="single" w:sz="4" w:space="0" w:color="auto"/>
              <w:right w:val="nil"/>
            </w:tcBorders>
            <w:shd w:val="clear" w:color="auto" w:fill="auto"/>
            <w:noWrap/>
            <w:vAlign w:val="center"/>
            <w:hideMark/>
          </w:tcPr>
          <w:p w14:paraId="556BD749" w14:textId="77777777" w:rsidR="00563458" w:rsidRPr="008A0AD5" w:rsidRDefault="00563458" w:rsidP="00442310">
            <w:pPr>
              <w:spacing w:after="0"/>
              <w:jc w:val="center"/>
              <w:rPr>
                <w:color w:val="000000"/>
                <w:sz w:val="20"/>
                <w:szCs w:val="20"/>
              </w:rPr>
            </w:pPr>
            <w:r w:rsidRPr="008A0AD5">
              <w:rPr>
                <w:color w:val="000000"/>
                <w:sz w:val="20"/>
                <w:szCs w:val="20"/>
              </w:rPr>
              <w:t>241</w:t>
            </w:r>
          </w:p>
        </w:tc>
        <w:tc>
          <w:tcPr>
            <w:tcW w:w="3747" w:type="dxa"/>
            <w:tcBorders>
              <w:top w:val="nil"/>
              <w:left w:val="nil"/>
              <w:bottom w:val="single" w:sz="4" w:space="0" w:color="auto"/>
              <w:right w:val="nil"/>
            </w:tcBorders>
            <w:shd w:val="clear" w:color="auto" w:fill="auto"/>
            <w:vAlign w:val="center"/>
            <w:hideMark/>
          </w:tcPr>
          <w:p w14:paraId="252EFD57" w14:textId="77777777" w:rsidR="00563458" w:rsidRPr="008A0AD5" w:rsidRDefault="00563458" w:rsidP="00442310">
            <w:pPr>
              <w:spacing w:after="0"/>
              <w:jc w:val="left"/>
              <w:rPr>
                <w:color w:val="000000"/>
                <w:sz w:val="20"/>
                <w:szCs w:val="20"/>
              </w:rPr>
            </w:pPr>
            <w:r w:rsidRPr="008A0AD5">
              <w:rPr>
                <w:color w:val="000000"/>
                <w:sz w:val="20"/>
                <w:szCs w:val="20"/>
              </w:rPr>
              <w:t>Amélioration de la chaîne de valeur des PFNL (incluant le développement des pratiques de conservation des PFNL)</w:t>
            </w:r>
          </w:p>
        </w:tc>
        <w:tc>
          <w:tcPr>
            <w:tcW w:w="4394" w:type="dxa"/>
            <w:tcBorders>
              <w:top w:val="nil"/>
              <w:left w:val="nil"/>
              <w:bottom w:val="single" w:sz="4" w:space="0" w:color="auto"/>
              <w:right w:val="nil"/>
            </w:tcBorders>
            <w:shd w:val="clear" w:color="auto" w:fill="auto"/>
            <w:vAlign w:val="center"/>
            <w:hideMark/>
          </w:tcPr>
          <w:p w14:paraId="16B9B9B7" w14:textId="77777777" w:rsidR="00563458" w:rsidRPr="008A0AD5" w:rsidRDefault="00563458" w:rsidP="00442310">
            <w:pPr>
              <w:spacing w:after="0"/>
              <w:jc w:val="left"/>
              <w:rPr>
                <w:color w:val="000000"/>
                <w:sz w:val="20"/>
                <w:szCs w:val="20"/>
              </w:rPr>
            </w:pPr>
            <w:r w:rsidRPr="008A0AD5">
              <w:rPr>
                <w:color w:val="000000"/>
                <w:sz w:val="20"/>
                <w:szCs w:val="20"/>
              </w:rPr>
              <w:t>Le gnetum est domestiqué</w:t>
            </w:r>
          </w:p>
        </w:tc>
        <w:tc>
          <w:tcPr>
            <w:tcW w:w="1985" w:type="dxa"/>
            <w:tcBorders>
              <w:top w:val="single" w:sz="4" w:space="0" w:color="auto"/>
              <w:left w:val="nil"/>
              <w:bottom w:val="single" w:sz="4" w:space="0" w:color="auto"/>
              <w:right w:val="nil"/>
            </w:tcBorders>
            <w:shd w:val="clear" w:color="auto" w:fill="auto"/>
            <w:noWrap/>
            <w:vAlign w:val="center"/>
            <w:hideMark/>
          </w:tcPr>
          <w:p w14:paraId="6E16636A" w14:textId="77777777" w:rsidR="00563458" w:rsidRPr="008A0AD5" w:rsidRDefault="00563458" w:rsidP="00442310">
            <w:pPr>
              <w:spacing w:after="0"/>
              <w:jc w:val="left"/>
              <w:rPr>
                <w:color w:val="000000"/>
                <w:sz w:val="20"/>
                <w:szCs w:val="20"/>
              </w:rPr>
            </w:pPr>
            <w:r w:rsidRPr="008A0AD5">
              <w:rPr>
                <w:color w:val="000000"/>
                <w:sz w:val="20"/>
                <w:szCs w:val="20"/>
              </w:rPr>
              <w:t>Gouvernement (dont FFN)</w:t>
            </w:r>
          </w:p>
        </w:tc>
        <w:tc>
          <w:tcPr>
            <w:tcW w:w="1984" w:type="dxa"/>
            <w:tcBorders>
              <w:top w:val="nil"/>
              <w:left w:val="nil"/>
              <w:bottom w:val="single" w:sz="4" w:space="0" w:color="auto"/>
              <w:right w:val="single" w:sz="4" w:space="0" w:color="auto"/>
            </w:tcBorders>
            <w:shd w:val="clear" w:color="auto" w:fill="auto"/>
            <w:vAlign w:val="center"/>
            <w:hideMark/>
          </w:tcPr>
          <w:p w14:paraId="6BF0D3B7" w14:textId="77777777" w:rsidR="00563458" w:rsidRPr="008A0AD5" w:rsidRDefault="00563458" w:rsidP="00442310">
            <w:pPr>
              <w:spacing w:after="0"/>
              <w:jc w:val="left"/>
              <w:rPr>
                <w:color w:val="000000"/>
                <w:sz w:val="20"/>
                <w:szCs w:val="20"/>
                <w:lang w:val="en-US"/>
              </w:rPr>
            </w:pPr>
            <w:r w:rsidRPr="008A0AD5">
              <w:rPr>
                <w:color w:val="000000"/>
                <w:sz w:val="20"/>
                <w:szCs w:val="20"/>
                <w:lang w:val="en-US"/>
              </w:rPr>
              <w:t>BMEL</w:t>
            </w:r>
            <w:r w:rsidRPr="008A0AD5">
              <w:rPr>
                <w:color w:val="000000"/>
                <w:sz w:val="20"/>
                <w:szCs w:val="20"/>
                <w:lang w:val="en-US"/>
              </w:rPr>
              <w:br/>
              <w:t>USAID (CARPE)</w:t>
            </w:r>
            <w:r w:rsidRPr="008A0AD5">
              <w:rPr>
                <w:color w:val="000000"/>
                <w:sz w:val="20"/>
                <w:szCs w:val="20"/>
                <w:lang w:val="en-US"/>
              </w:rPr>
              <w:br/>
            </w:r>
            <w:r w:rsidRPr="008A0AD5">
              <w:rPr>
                <w:i/>
                <w:iCs/>
                <w:color w:val="244062"/>
                <w:sz w:val="20"/>
                <w:szCs w:val="20"/>
                <w:lang w:val="en-US"/>
              </w:rPr>
              <w:t>BDEAC (FEVAC)</w:t>
            </w:r>
          </w:p>
        </w:tc>
      </w:tr>
      <w:tr w:rsidR="00563458" w:rsidRPr="00630427" w14:paraId="7C25DC13" w14:textId="77777777" w:rsidTr="00442310">
        <w:trPr>
          <w:trHeight w:val="1140"/>
        </w:trPr>
        <w:tc>
          <w:tcPr>
            <w:tcW w:w="993" w:type="dxa"/>
            <w:vMerge/>
            <w:tcBorders>
              <w:top w:val="nil"/>
              <w:left w:val="single" w:sz="4" w:space="0" w:color="auto"/>
              <w:bottom w:val="single" w:sz="4" w:space="0" w:color="auto"/>
              <w:right w:val="nil"/>
            </w:tcBorders>
            <w:vAlign w:val="center"/>
            <w:hideMark/>
          </w:tcPr>
          <w:p w14:paraId="6D76A376" w14:textId="77777777" w:rsidR="00563458" w:rsidRPr="008A0AD5" w:rsidRDefault="00563458" w:rsidP="00442310">
            <w:pPr>
              <w:spacing w:after="0"/>
              <w:jc w:val="left"/>
              <w:rPr>
                <w:b/>
                <w:bCs/>
                <w:color w:val="000000"/>
                <w:sz w:val="20"/>
                <w:szCs w:val="20"/>
                <w:lang w:val="en-US"/>
              </w:rPr>
            </w:pPr>
          </w:p>
        </w:tc>
        <w:tc>
          <w:tcPr>
            <w:tcW w:w="505" w:type="dxa"/>
            <w:vMerge w:val="restart"/>
            <w:tcBorders>
              <w:top w:val="nil"/>
              <w:left w:val="single" w:sz="4" w:space="0" w:color="auto"/>
              <w:bottom w:val="single" w:sz="4" w:space="0" w:color="000000"/>
              <w:right w:val="nil"/>
            </w:tcBorders>
            <w:shd w:val="clear" w:color="auto" w:fill="auto"/>
            <w:noWrap/>
            <w:vAlign w:val="center"/>
            <w:hideMark/>
          </w:tcPr>
          <w:p w14:paraId="7B69E5B1" w14:textId="77777777" w:rsidR="00563458" w:rsidRPr="008A0AD5" w:rsidRDefault="00563458" w:rsidP="00442310">
            <w:pPr>
              <w:spacing w:after="0"/>
              <w:jc w:val="center"/>
              <w:rPr>
                <w:color w:val="000000"/>
                <w:sz w:val="20"/>
                <w:szCs w:val="20"/>
              </w:rPr>
            </w:pPr>
            <w:r w:rsidRPr="008A0AD5">
              <w:rPr>
                <w:color w:val="000000"/>
                <w:sz w:val="20"/>
                <w:szCs w:val="20"/>
              </w:rPr>
              <w:t>242</w:t>
            </w:r>
          </w:p>
        </w:tc>
        <w:tc>
          <w:tcPr>
            <w:tcW w:w="3747" w:type="dxa"/>
            <w:vMerge w:val="restart"/>
            <w:tcBorders>
              <w:top w:val="nil"/>
              <w:left w:val="nil"/>
              <w:bottom w:val="single" w:sz="4" w:space="0" w:color="000000"/>
              <w:right w:val="nil"/>
            </w:tcBorders>
            <w:shd w:val="clear" w:color="auto" w:fill="auto"/>
            <w:vAlign w:val="center"/>
            <w:hideMark/>
          </w:tcPr>
          <w:p w14:paraId="289DB302" w14:textId="77777777" w:rsidR="00563458" w:rsidRPr="008A0AD5" w:rsidRDefault="00563458" w:rsidP="00442310">
            <w:pPr>
              <w:spacing w:after="0"/>
              <w:jc w:val="left"/>
              <w:rPr>
                <w:color w:val="000000"/>
                <w:sz w:val="20"/>
                <w:szCs w:val="20"/>
              </w:rPr>
            </w:pPr>
            <w:r w:rsidRPr="008A0AD5">
              <w:rPr>
                <w:color w:val="000000"/>
                <w:sz w:val="20"/>
                <w:szCs w:val="20"/>
              </w:rPr>
              <w:t>Augmenter les revenus des populations locales et autochtones par la valorisation durable des PFNL</w:t>
            </w:r>
          </w:p>
        </w:tc>
        <w:tc>
          <w:tcPr>
            <w:tcW w:w="4394" w:type="dxa"/>
            <w:tcBorders>
              <w:top w:val="nil"/>
              <w:left w:val="nil"/>
              <w:bottom w:val="nil"/>
              <w:right w:val="nil"/>
            </w:tcBorders>
            <w:shd w:val="clear" w:color="auto" w:fill="auto"/>
            <w:vAlign w:val="center"/>
            <w:hideMark/>
          </w:tcPr>
          <w:p w14:paraId="44E9295F" w14:textId="77777777" w:rsidR="00563458" w:rsidRPr="008A0AD5" w:rsidRDefault="00563458" w:rsidP="00442310">
            <w:pPr>
              <w:spacing w:after="0"/>
              <w:jc w:val="left"/>
              <w:rPr>
                <w:color w:val="000000"/>
                <w:sz w:val="20"/>
                <w:szCs w:val="20"/>
              </w:rPr>
            </w:pPr>
            <w:r w:rsidRPr="008A0AD5">
              <w:rPr>
                <w:color w:val="000000"/>
                <w:sz w:val="20"/>
                <w:szCs w:val="20"/>
              </w:rPr>
              <w:t>L'apiculture est développée</w:t>
            </w:r>
          </w:p>
        </w:tc>
        <w:tc>
          <w:tcPr>
            <w:tcW w:w="1985" w:type="dxa"/>
            <w:tcBorders>
              <w:top w:val="nil"/>
              <w:left w:val="nil"/>
              <w:bottom w:val="nil"/>
              <w:right w:val="nil"/>
            </w:tcBorders>
            <w:shd w:val="clear" w:color="auto" w:fill="auto"/>
            <w:noWrap/>
            <w:vAlign w:val="center"/>
            <w:hideMark/>
          </w:tcPr>
          <w:p w14:paraId="3FE4EC97" w14:textId="77777777" w:rsidR="00563458" w:rsidRPr="008A0AD5" w:rsidRDefault="00563458" w:rsidP="00442310">
            <w:pPr>
              <w:spacing w:after="0"/>
              <w:jc w:val="left"/>
              <w:rPr>
                <w:color w:val="000000"/>
                <w:sz w:val="20"/>
                <w:szCs w:val="20"/>
              </w:rPr>
            </w:pPr>
            <w:r w:rsidRPr="008A0AD5">
              <w:rPr>
                <w:color w:val="000000"/>
                <w:sz w:val="20"/>
                <w:szCs w:val="20"/>
              </w:rPr>
              <w:t>Gouvernement (dont FFN)</w:t>
            </w:r>
          </w:p>
        </w:tc>
        <w:tc>
          <w:tcPr>
            <w:tcW w:w="1984" w:type="dxa"/>
            <w:tcBorders>
              <w:top w:val="nil"/>
              <w:left w:val="nil"/>
              <w:bottom w:val="nil"/>
              <w:right w:val="single" w:sz="4" w:space="0" w:color="auto"/>
            </w:tcBorders>
            <w:shd w:val="clear" w:color="auto" w:fill="auto"/>
            <w:vAlign w:val="center"/>
            <w:hideMark/>
          </w:tcPr>
          <w:p w14:paraId="4C5536D8" w14:textId="77777777" w:rsidR="00563458" w:rsidRPr="008A0AD5" w:rsidRDefault="00563458" w:rsidP="00442310">
            <w:pPr>
              <w:spacing w:after="0"/>
              <w:jc w:val="left"/>
              <w:rPr>
                <w:color w:val="000000"/>
                <w:sz w:val="20"/>
                <w:szCs w:val="20"/>
                <w:lang w:val="en-US"/>
              </w:rPr>
            </w:pPr>
            <w:r w:rsidRPr="008A0AD5">
              <w:rPr>
                <w:color w:val="000000"/>
                <w:sz w:val="20"/>
                <w:szCs w:val="20"/>
                <w:lang w:val="en-US"/>
              </w:rPr>
              <w:t>BMEL</w:t>
            </w:r>
            <w:r w:rsidRPr="008A0AD5">
              <w:rPr>
                <w:color w:val="000000"/>
                <w:sz w:val="20"/>
                <w:szCs w:val="20"/>
                <w:lang w:val="en-US"/>
              </w:rPr>
              <w:br/>
              <w:t>BAD (FFBC)</w:t>
            </w:r>
            <w:r w:rsidRPr="008A0AD5">
              <w:rPr>
                <w:color w:val="000000"/>
                <w:sz w:val="20"/>
                <w:szCs w:val="20"/>
                <w:lang w:val="en-US"/>
              </w:rPr>
              <w:br/>
              <w:t>USAID (CARPE)</w:t>
            </w:r>
            <w:r w:rsidRPr="008A0AD5">
              <w:rPr>
                <w:color w:val="000000"/>
                <w:sz w:val="20"/>
                <w:szCs w:val="20"/>
                <w:lang w:val="en-US"/>
              </w:rPr>
              <w:br/>
            </w:r>
            <w:r w:rsidRPr="008A0AD5">
              <w:rPr>
                <w:i/>
                <w:iCs/>
                <w:color w:val="244062"/>
                <w:sz w:val="20"/>
                <w:szCs w:val="20"/>
                <w:lang w:val="en-US"/>
              </w:rPr>
              <w:t>BDEAC (FEVAC)</w:t>
            </w:r>
          </w:p>
        </w:tc>
      </w:tr>
      <w:tr w:rsidR="00563458" w:rsidRPr="007B4F38" w14:paraId="60CA68DF" w14:textId="77777777" w:rsidTr="00442310">
        <w:trPr>
          <w:trHeight w:val="630"/>
        </w:trPr>
        <w:tc>
          <w:tcPr>
            <w:tcW w:w="993" w:type="dxa"/>
            <w:vMerge/>
            <w:tcBorders>
              <w:top w:val="nil"/>
              <w:left w:val="single" w:sz="4" w:space="0" w:color="auto"/>
              <w:bottom w:val="single" w:sz="4" w:space="0" w:color="auto"/>
              <w:right w:val="nil"/>
            </w:tcBorders>
            <w:vAlign w:val="center"/>
            <w:hideMark/>
          </w:tcPr>
          <w:p w14:paraId="5378BC6A" w14:textId="77777777" w:rsidR="00563458" w:rsidRPr="008A0AD5" w:rsidRDefault="00563458" w:rsidP="00442310">
            <w:pPr>
              <w:spacing w:after="0"/>
              <w:jc w:val="left"/>
              <w:rPr>
                <w:b/>
                <w:bCs/>
                <w:color w:val="000000"/>
                <w:sz w:val="20"/>
                <w:szCs w:val="20"/>
                <w:lang w:val="en-US"/>
              </w:rPr>
            </w:pPr>
          </w:p>
        </w:tc>
        <w:tc>
          <w:tcPr>
            <w:tcW w:w="505" w:type="dxa"/>
            <w:vMerge/>
            <w:tcBorders>
              <w:top w:val="nil"/>
              <w:left w:val="single" w:sz="4" w:space="0" w:color="auto"/>
              <w:bottom w:val="single" w:sz="4" w:space="0" w:color="auto"/>
              <w:right w:val="nil"/>
            </w:tcBorders>
            <w:vAlign w:val="center"/>
            <w:hideMark/>
          </w:tcPr>
          <w:p w14:paraId="59E0FD8E" w14:textId="77777777" w:rsidR="00563458" w:rsidRPr="008A0AD5" w:rsidRDefault="00563458" w:rsidP="00442310">
            <w:pPr>
              <w:spacing w:after="0"/>
              <w:jc w:val="left"/>
              <w:rPr>
                <w:color w:val="000000"/>
                <w:sz w:val="20"/>
                <w:szCs w:val="20"/>
                <w:lang w:val="en-US"/>
              </w:rPr>
            </w:pPr>
          </w:p>
        </w:tc>
        <w:tc>
          <w:tcPr>
            <w:tcW w:w="3747" w:type="dxa"/>
            <w:vMerge/>
            <w:tcBorders>
              <w:top w:val="nil"/>
              <w:left w:val="nil"/>
              <w:bottom w:val="single" w:sz="4" w:space="0" w:color="auto"/>
              <w:right w:val="nil"/>
            </w:tcBorders>
            <w:vAlign w:val="center"/>
            <w:hideMark/>
          </w:tcPr>
          <w:p w14:paraId="276C22A1" w14:textId="77777777" w:rsidR="00563458" w:rsidRPr="008A0AD5" w:rsidRDefault="00563458" w:rsidP="00442310">
            <w:pPr>
              <w:spacing w:after="0"/>
              <w:jc w:val="left"/>
              <w:rPr>
                <w:color w:val="000000"/>
                <w:sz w:val="20"/>
                <w:szCs w:val="20"/>
                <w:lang w:val="en-US"/>
              </w:rPr>
            </w:pPr>
          </w:p>
        </w:tc>
        <w:tc>
          <w:tcPr>
            <w:tcW w:w="4394" w:type="dxa"/>
            <w:tcBorders>
              <w:top w:val="nil"/>
              <w:left w:val="nil"/>
              <w:bottom w:val="single" w:sz="4" w:space="0" w:color="auto"/>
              <w:right w:val="nil"/>
            </w:tcBorders>
            <w:shd w:val="clear" w:color="auto" w:fill="auto"/>
            <w:vAlign w:val="center"/>
            <w:hideMark/>
          </w:tcPr>
          <w:p w14:paraId="7A793F7E" w14:textId="77777777" w:rsidR="00563458" w:rsidRPr="008A0AD5" w:rsidRDefault="00563458" w:rsidP="00442310">
            <w:pPr>
              <w:spacing w:after="0"/>
              <w:jc w:val="left"/>
              <w:rPr>
                <w:color w:val="000000"/>
                <w:sz w:val="20"/>
                <w:szCs w:val="20"/>
              </w:rPr>
            </w:pPr>
            <w:r w:rsidRPr="008A0AD5">
              <w:rPr>
                <w:color w:val="000000"/>
                <w:sz w:val="20"/>
                <w:szCs w:val="20"/>
              </w:rPr>
              <w:t>La vannerie est développée</w:t>
            </w:r>
          </w:p>
        </w:tc>
        <w:tc>
          <w:tcPr>
            <w:tcW w:w="1985" w:type="dxa"/>
            <w:tcBorders>
              <w:top w:val="nil"/>
              <w:left w:val="nil"/>
              <w:bottom w:val="single" w:sz="4" w:space="0" w:color="auto"/>
              <w:right w:val="nil"/>
            </w:tcBorders>
            <w:shd w:val="clear" w:color="auto" w:fill="auto"/>
            <w:noWrap/>
            <w:vAlign w:val="center"/>
            <w:hideMark/>
          </w:tcPr>
          <w:p w14:paraId="1885D025" w14:textId="77777777" w:rsidR="00563458" w:rsidRPr="008A0AD5" w:rsidRDefault="00563458" w:rsidP="00442310">
            <w:pPr>
              <w:spacing w:after="0"/>
              <w:jc w:val="left"/>
              <w:rPr>
                <w:color w:val="000000"/>
                <w:sz w:val="20"/>
                <w:szCs w:val="20"/>
              </w:rPr>
            </w:pPr>
            <w:r w:rsidRPr="008A0AD5">
              <w:rPr>
                <w:color w:val="000000"/>
                <w:sz w:val="20"/>
                <w:szCs w:val="20"/>
              </w:rPr>
              <w:t>Gouvernement (dont ANA)</w:t>
            </w:r>
          </w:p>
        </w:tc>
        <w:tc>
          <w:tcPr>
            <w:tcW w:w="1984" w:type="dxa"/>
            <w:tcBorders>
              <w:top w:val="nil"/>
              <w:left w:val="nil"/>
              <w:bottom w:val="single" w:sz="4" w:space="0" w:color="auto"/>
              <w:right w:val="single" w:sz="4" w:space="0" w:color="auto"/>
            </w:tcBorders>
            <w:shd w:val="clear" w:color="auto" w:fill="auto"/>
            <w:vAlign w:val="center"/>
            <w:hideMark/>
          </w:tcPr>
          <w:p w14:paraId="608EC939" w14:textId="77777777" w:rsidR="00563458" w:rsidRPr="008A0AD5" w:rsidRDefault="00563458" w:rsidP="00442310">
            <w:pPr>
              <w:spacing w:after="0"/>
              <w:jc w:val="left"/>
              <w:rPr>
                <w:color w:val="000000"/>
                <w:sz w:val="20"/>
                <w:szCs w:val="20"/>
              </w:rPr>
            </w:pPr>
            <w:r w:rsidRPr="008A0AD5">
              <w:rPr>
                <w:color w:val="000000"/>
                <w:sz w:val="20"/>
                <w:szCs w:val="20"/>
              </w:rPr>
              <w:t>BMEL</w:t>
            </w:r>
            <w:r w:rsidRPr="008A0AD5">
              <w:rPr>
                <w:color w:val="000000"/>
                <w:sz w:val="20"/>
                <w:szCs w:val="20"/>
              </w:rPr>
              <w:br/>
            </w:r>
            <w:r w:rsidRPr="008A0AD5">
              <w:rPr>
                <w:i/>
                <w:iCs/>
                <w:color w:val="244062"/>
                <w:sz w:val="20"/>
                <w:szCs w:val="20"/>
              </w:rPr>
              <w:t>BDEAC (FEVAC)</w:t>
            </w:r>
          </w:p>
        </w:tc>
      </w:tr>
      <w:tr w:rsidR="00563458" w:rsidRPr="00630427" w14:paraId="4F92D574" w14:textId="77777777" w:rsidTr="00442310">
        <w:trPr>
          <w:trHeight w:val="2640"/>
        </w:trPr>
        <w:tc>
          <w:tcPr>
            <w:tcW w:w="993" w:type="dxa"/>
            <w:tcBorders>
              <w:top w:val="single" w:sz="4" w:space="0" w:color="auto"/>
              <w:left w:val="single" w:sz="4" w:space="0" w:color="auto"/>
              <w:bottom w:val="single" w:sz="4" w:space="0" w:color="auto"/>
              <w:right w:val="nil"/>
            </w:tcBorders>
            <w:shd w:val="clear" w:color="000000" w:fill="B8CCE4"/>
            <w:textDirection w:val="btLr"/>
            <w:vAlign w:val="center"/>
            <w:hideMark/>
          </w:tcPr>
          <w:p w14:paraId="502612B2" w14:textId="77777777" w:rsidR="00563458" w:rsidRPr="008A0AD5" w:rsidRDefault="00563458" w:rsidP="00442310">
            <w:pPr>
              <w:spacing w:after="0"/>
              <w:jc w:val="center"/>
              <w:rPr>
                <w:b/>
                <w:bCs/>
                <w:color w:val="000000"/>
                <w:sz w:val="20"/>
                <w:szCs w:val="20"/>
              </w:rPr>
            </w:pPr>
            <w:r w:rsidRPr="008A0AD5">
              <w:rPr>
                <w:b/>
                <w:bCs/>
                <w:color w:val="000000"/>
                <w:sz w:val="20"/>
                <w:szCs w:val="20"/>
              </w:rPr>
              <w:lastRenderedPageBreak/>
              <w:t>SO 2.5 Renforcement des stocks de carbone forestier</w:t>
            </w:r>
          </w:p>
        </w:tc>
        <w:tc>
          <w:tcPr>
            <w:tcW w:w="505" w:type="dxa"/>
            <w:tcBorders>
              <w:top w:val="single" w:sz="4" w:space="0" w:color="auto"/>
              <w:left w:val="single" w:sz="4" w:space="0" w:color="auto"/>
              <w:bottom w:val="single" w:sz="4" w:space="0" w:color="auto"/>
              <w:right w:val="nil"/>
            </w:tcBorders>
            <w:shd w:val="clear" w:color="auto" w:fill="auto"/>
            <w:noWrap/>
            <w:vAlign w:val="center"/>
            <w:hideMark/>
          </w:tcPr>
          <w:p w14:paraId="5FA80EC7" w14:textId="77777777" w:rsidR="00563458" w:rsidRPr="008A0AD5" w:rsidRDefault="00563458" w:rsidP="00442310">
            <w:pPr>
              <w:spacing w:after="0"/>
              <w:jc w:val="center"/>
              <w:rPr>
                <w:color w:val="000000"/>
                <w:sz w:val="20"/>
                <w:szCs w:val="20"/>
              </w:rPr>
            </w:pPr>
            <w:r w:rsidRPr="008A0AD5">
              <w:rPr>
                <w:color w:val="000000"/>
                <w:sz w:val="20"/>
                <w:szCs w:val="20"/>
              </w:rPr>
              <w:t>251</w:t>
            </w:r>
          </w:p>
        </w:tc>
        <w:tc>
          <w:tcPr>
            <w:tcW w:w="3747" w:type="dxa"/>
            <w:tcBorders>
              <w:top w:val="single" w:sz="4" w:space="0" w:color="auto"/>
              <w:left w:val="nil"/>
              <w:bottom w:val="single" w:sz="4" w:space="0" w:color="auto"/>
              <w:right w:val="nil"/>
            </w:tcBorders>
            <w:shd w:val="clear" w:color="auto" w:fill="auto"/>
            <w:vAlign w:val="center"/>
            <w:hideMark/>
          </w:tcPr>
          <w:p w14:paraId="4D4BD982" w14:textId="77777777" w:rsidR="00563458" w:rsidRPr="008A0AD5" w:rsidRDefault="00563458" w:rsidP="00442310">
            <w:pPr>
              <w:spacing w:after="0"/>
              <w:jc w:val="left"/>
              <w:rPr>
                <w:color w:val="000000"/>
                <w:sz w:val="20"/>
                <w:szCs w:val="20"/>
              </w:rPr>
            </w:pPr>
            <w:r w:rsidRPr="008A0AD5">
              <w:rPr>
                <w:color w:val="000000"/>
                <w:sz w:val="20"/>
                <w:szCs w:val="20"/>
              </w:rPr>
              <w:t>Appui à l'opérationnalisation du PRONAR</w:t>
            </w:r>
          </w:p>
        </w:tc>
        <w:tc>
          <w:tcPr>
            <w:tcW w:w="4394" w:type="dxa"/>
            <w:tcBorders>
              <w:top w:val="single" w:sz="4" w:space="0" w:color="auto"/>
              <w:left w:val="nil"/>
              <w:bottom w:val="single" w:sz="4" w:space="0" w:color="auto"/>
              <w:right w:val="nil"/>
            </w:tcBorders>
            <w:shd w:val="clear" w:color="auto" w:fill="auto"/>
            <w:vAlign w:val="center"/>
            <w:hideMark/>
          </w:tcPr>
          <w:p w14:paraId="71E43BAC" w14:textId="77777777" w:rsidR="00563458" w:rsidRPr="008A0AD5" w:rsidRDefault="00563458" w:rsidP="00442310">
            <w:pPr>
              <w:spacing w:after="0"/>
              <w:jc w:val="left"/>
              <w:rPr>
                <w:color w:val="000000"/>
                <w:sz w:val="20"/>
                <w:szCs w:val="20"/>
              </w:rPr>
            </w:pPr>
            <w:r w:rsidRPr="008A0AD5">
              <w:rPr>
                <w:color w:val="000000"/>
                <w:sz w:val="20"/>
                <w:szCs w:val="20"/>
              </w:rPr>
              <w:t>Mise en œuvre du PRONAR</w:t>
            </w:r>
          </w:p>
        </w:tc>
        <w:tc>
          <w:tcPr>
            <w:tcW w:w="1985" w:type="dxa"/>
            <w:tcBorders>
              <w:top w:val="single" w:sz="4" w:space="0" w:color="auto"/>
              <w:left w:val="nil"/>
              <w:bottom w:val="single" w:sz="4" w:space="0" w:color="auto"/>
              <w:right w:val="nil"/>
            </w:tcBorders>
            <w:shd w:val="clear" w:color="auto" w:fill="auto"/>
            <w:vAlign w:val="center"/>
            <w:hideMark/>
          </w:tcPr>
          <w:p w14:paraId="5BD22174" w14:textId="77777777" w:rsidR="00563458" w:rsidRPr="008A0AD5" w:rsidRDefault="00563458" w:rsidP="00442310">
            <w:pPr>
              <w:spacing w:after="0"/>
              <w:jc w:val="left"/>
              <w:rPr>
                <w:color w:val="000000"/>
                <w:sz w:val="20"/>
                <w:szCs w:val="20"/>
              </w:rPr>
            </w:pPr>
            <w:r w:rsidRPr="008A0AD5">
              <w:rPr>
                <w:color w:val="000000"/>
                <w:sz w:val="20"/>
                <w:szCs w:val="20"/>
              </w:rPr>
              <w:t>Gouvernement (dont FFN/SNR)</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75A559B" w14:textId="77777777" w:rsidR="00563458" w:rsidRPr="008A0AD5" w:rsidRDefault="00563458" w:rsidP="00442310">
            <w:pPr>
              <w:spacing w:after="0"/>
              <w:jc w:val="left"/>
              <w:rPr>
                <w:color w:val="000000"/>
                <w:sz w:val="20"/>
                <w:szCs w:val="20"/>
                <w:lang w:val="en-US"/>
              </w:rPr>
            </w:pPr>
            <w:r w:rsidRPr="008A0AD5">
              <w:rPr>
                <w:color w:val="000000"/>
                <w:sz w:val="20"/>
                <w:szCs w:val="20"/>
                <w:lang w:val="en-US"/>
              </w:rPr>
              <w:t>BM (PFDE)</w:t>
            </w:r>
            <w:r w:rsidRPr="008A0AD5">
              <w:rPr>
                <w:color w:val="000000"/>
                <w:sz w:val="20"/>
                <w:szCs w:val="20"/>
                <w:lang w:val="en-US"/>
              </w:rPr>
              <w:br/>
              <w:t>AFD (FERN)</w:t>
            </w:r>
            <w:r w:rsidRPr="008A0AD5">
              <w:rPr>
                <w:color w:val="000000"/>
                <w:sz w:val="20"/>
                <w:szCs w:val="20"/>
                <w:lang w:val="en-US"/>
              </w:rPr>
              <w:br/>
              <w:t>BAD (FFBC)</w:t>
            </w:r>
          </w:p>
        </w:tc>
      </w:tr>
      <w:tr w:rsidR="00563458" w:rsidRPr="007B4F38" w14:paraId="1DD057A0" w14:textId="77777777" w:rsidTr="00442310">
        <w:trPr>
          <w:trHeight w:val="570"/>
        </w:trPr>
        <w:tc>
          <w:tcPr>
            <w:tcW w:w="993" w:type="dxa"/>
            <w:vMerge w:val="restart"/>
            <w:tcBorders>
              <w:top w:val="single" w:sz="4" w:space="0" w:color="auto"/>
              <w:left w:val="single" w:sz="4" w:space="0" w:color="auto"/>
              <w:bottom w:val="single" w:sz="4" w:space="0" w:color="auto"/>
              <w:right w:val="nil"/>
            </w:tcBorders>
            <w:shd w:val="clear" w:color="000000" w:fill="B8CCE4"/>
            <w:textDirection w:val="btLr"/>
            <w:vAlign w:val="center"/>
            <w:hideMark/>
          </w:tcPr>
          <w:p w14:paraId="4F139B2E" w14:textId="77777777" w:rsidR="00563458" w:rsidRPr="008A0AD5" w:rsidRDefault="00563458" w:rsidP="00442310">
            <w:pPr>
              <w:spacing w:after="0"/>
              <w:jc w:val="center"/>
              <w:rPr>
                <w:b/>
                <w:bCs/>
                <w:color w:val="000000"/>
                <w:sz w:val="20"/>
                <w:szCs w:val="20"/>
              </w:rPr>
            </w:pPr>
            <w:r w:rsidRPr="008A0AD5">
              <w:rPr>
                <w:b/>
                <w:bCs/>
                <w:color w:val="000000"/>
                <w:sz w:val="20"/>
                <w:szCs w:val="20"/>
              </w:rPr>
              <w:t>SO 2.6 Renforcement de capacité de l'administration forestière</w:t>
            </w:r>
          </w:p>
        </w:tc>
        <w:tc>
          <w:tcPr>
            <w:tcW w:w="505"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3E351DF6" w14:textId="77777777" w:rsidR="00563458" w:rsidRPr="008A0AD5" w:rsidRDefault="00563458" w:rsidP="00442310">
            <w:pPr>
              <w:spacing w:after="0"/>
              <w:jc w:val="center"/>
              <w:rPr>
                <w:sz w:val="20"/>
                <w:szCs w:val="20"/>
              </w:rPr>
            </w:pPr>
            <w:r w:rsidRPr="008A0AD5">
              <w:rPr>
                <w:sz w:val="20"/>
                <w:szCs w:val="20"/>
              </w:rPr>
              <w:t>261</w:t>
            </w:r>
          </w:p>
        </w:tc>
        <w:tc>
          <w:tcPr>
            <w:tcW w:w="3747" w:type="dxa"/>
            <w:vMerge w:val="restart"/>
            <w:tcBorders>
              <w:top w:val="single" w:sz="4" w:space="0" w:color="auto"/>
              <w:left w:val="nil"/>
              <w:bottom w:val="single" w:sz="4" w:space="0" w:color="000000"/>
              <w:right w:val="nil"/>
            </w:tcBorders>
            <w:shd w:val="clear" w:color="auto" w:fill="auto"/>
            <w:vAlign w:val="center"/>
            <w:hideMark/>
          </w:tcPr>
          <w:p w14:paraId="16CB2F93" w14:textId="77777777" w:rsidR="00563458" w:rsidRPr="008A0AD5" w:rsidRDefault="00563458" w:rsidP="00442310">
            <w:pPr>
              <w:spacing w:after="0"/>
              <w:jc w:val="left"/>
              <w:rPr>
                <w:sz w:val="20"/>
                <w:szCs w:val="20"/>
              </w:rPr>
            </w:pPr>
            <w:r w:rsidRPr="008A0AD5">
              <w:rPr>
                <w:sz w:val="20"/>
                <w:szCs w:val="20"/>
              </w:rPr>
              <w:t>Renforcement des moyens d'intervention des agents chargés d'assurer le contrôle forestier et leurs capacités en matière de procédures</w:t>
            </w:r>
          </w:p>
        </w:tc>
        <w:tc>
          <w:tcPr>
            <w:tcW w:w="4394" w:type="dxa"/>
            <w:tcBorders>
              <w:top w:val="single" w:sz="4" w:space="0" w:color="auto"/>
              <w:left w:val="nil"/>
              <w:bottom w:val="nil"/>
              <w:right w:val="nil"/>
            </w:tcBorders>
            <w:shd w:val="clear" w:color="000000" w:fill="F2F2F2"/>
            <w:vAlign w:val="bottom"/>
            <w:hideMark/>
          </w:tcPr>
          <w:p w14:paraId="0BECDFA4" w14:textId="77777777" w:rsidR="00563458" w:rsidRPr="008A0AD5" w:rsidRDefault="00563458" w:rsidP="00442310">
            <w:pPr>
              <w:spacing w:after="0"/>
              <w:jc w:val="left"/>
              <w:rPr>
                <w:color w:val="808080"/>
                <w:sz w:val="20"/>
                <w:szCs w:val="20"/>
              </w:rPr>
            </w:pPr>
            <w:r w:rsidRPr="008A0AD5">
              <w:rPr>
                <w:color w:val="808080"/>
                <w:sz w:val="20"/>
                <w:szCs w:val="20"/>
              </w:rPr>
              <w:t>Renforcer les capacités de l’administration et des collectivités territoriales dans l’optique de la mise en œuvre du SNVL</w:t>
            </w:r>
          </w:p>
        </w:tc>
        <w:tc>
          <w:tcPr>
            <w:tcW w:w="3969" w:type="dxa"/>
            <w:gridSpan w:val="2"/>
            <w:tcBorders>
              <w:top w:val="single" w:sz="4" w:space="0" w:color="auto"/>
              <w:left w:val="nil"/>
              <w:bottom w:val="nil"/>
              <w:right w:val="single" w:sz="4" w:space="0" w:color="000000"/>
            </w:tcBorders>
            <w:shd w:val="clear" w:color="000000" w:fill="F2F2F2"/>
            <w:noWrap/>
            <w:vAlign w:val="center"/>
            <w:hideMark/>
          </w:tcPr>
          <w:p w14:paraId="194C43C3" w14:textId="77777777" w:rsidR="00563458" w:rsidRPr="008A0AD5" w:rsidRDefault="00563458" w:rsidP="00442310">
            <w:pPr>
              <w:spacing w:after="0"/>
              <w:jc w:val="center"/>
              <w:rPr>
                <w:color w:val="808080"/>
                <w:sz w:val="20"/>
                <w:szCs w:val="20"/>
              </w:rPr>
            </w:pPr>
            <w:r w:rsidRPr="008A0AD5">
              <w:rPr>
                <w:color w:val="808080"/>
                <w:sz w:val="20"/>
                <w:szCs w:val="20"/>
              </w:rPr>
              <w:t>Activité couverte par 213</w:t>
            </w:r>
          </w:p>
        </w:tc>
      </w:tr>
      <w:tr w:rsidR="00563458" w:rsidRPr="00630427" w14:paraId="27E6A015" w14:textId="77777777" w:rsidTr="00442310">
        <w:trPr>
          <w:trHeight w:val="510"/>
        </w:trPr>
        <w:tc>
          <w:tcPr>
            <w:tcW w:w="993" w:type="dxa"/>
            <w:vMerge/>
            <w:tcBorders>
              <w:top w:val="nil"/>
              <w:left w:val="single" w:sz="4" w:space="0" w:color="auto"/>
              <w:bottom w:val="single" w:sz="4" w:space="0" w:color="auto"/>
              <w:right w:val="nil"/>
            </w:tcBorders>
            <w:vAlign w:val="center"/>
            <w:hideMark/>
          </w:tcPr>
          <w:p w14:paraId="5CBE490D" w14:textId="77777777" w:rsidR="00563458" w:rsidRPr="008A0AD5" w:rsidRDefault="00563458" w:rsidP="00442310">
            <w:pPr>
              <w:spacing w:after="0"/>
              <w:jc w:val="left"/>
              <w:rPr>
                <w:b/>
                <w:bCs/>
                <w:color w:val="000000"/>
                <w:sz w:val="20"/>
                <w:szCs w:val="20"/>
              </w:rPr>
            </w:pPr>
          </w:p>
        </w:tc>
        <w:tc>
          <w:tcPr>
            <w:tcW w:w="505" w:type="dxa"/>
            <w:vMerge/>
            <w:tcBorders>
              <w:top w:val="nil"/>
              <w:left w:val="single" w:sz="4" w:space="0" w:color="auto"/>
              <w:bottom w:val="single" w:sz="4" w:space="0" w:color="000000"/>
              <w:right w:val="nil"/>
            </w:tcBorders>
            <w:vAlign w:val="center"/>
            <w:hideMark/>
          </w:tcPr>
          <w:p w14:paraId="0B054CD8" w14:textId="77777777" w:rsidR="00563458" w:rsidRPr="008A0AD5" w:rsidRDefault="00563458" w:rsidP="00442310">
            <w:pPr>
              <w:spacing w:after="0"/>
              <w:jc w:val="left"/>
              <w:rPr>
                <w:sz w:val="20"/>
                <w:szCs w:val="20"/>
              </w:rPr>
            </w:pPr>
          </w:p>
        </w:tc>
        <w:tc>
          <w:tcPr>
            <w:tcW w:w="3747" w:type="dxa"/>
            <w:vMerge/>
            <w:tcBorders>
              <w:top w:val="nil"/>
              <w:left w:val="nil"/>
              <w:bottom w:val="single" w:sz="4" w:space="0" w:color="000000"/>
              <w:right w:val="nil"/>
            </w:tcBorders>
            <w:vAlign w:val="center"/>
            <w:hideMark/>
          </w:tcPr>
          <w:p w14:paraId="6561BB21" w14:textId="77777777" w:rsidR="00563458" w:rsidRPr="008A0AD5" w:rsidRDefault="00563458" w:rsidP="00442310">
            <w:pPr>
              <w:spacing w:after="0"/>
              <w:jc w:val="left"/>
              <w:rPr>
                <w:sz w:val="20"/>
                <w:szCs w:val="20"/>
              </w:rPr>
            </w:pPr>
          </w:p>
        </w:tc>
        <w:tc>
          <w:tcPr>
            <w:tcW w:w="4394" w:type="dxa"/>
            <w:tcBorders>
              <w:top w:val="nil"/>
              <w:left w:val="nil"/>
              <w:bottom w:val="nil"/>
              <w:right w:val="nil"/>
            </w:tcBorders>
            <w:shd w:val="clear" w:color="auto" w:fill="auto"/>
            <w:noWrap/>
            <w:vAlign w:val="center"/>
            <w:hideMark/>
          </w:tcPr>
          <w:p w14:paraId="7154D7D2" w14:textId="77777777" w:rsidR="00563458" w:rsidRPr="008A0AD5" w:rsidRDefault="00563458" w:rsidP="00442310">
            <w:pPr>
              <w:spacing w:after="0"/>
              <w:jc w:val="left"/>
              <w:rPr>
                <w:sz w:val="20"/>
                <w:szCs w:val="20"/>
              </w:rPr>
            </w:pPr>
            <w:r w:rsidRPr="008A0AD5">
              <w:rPr>
                <w:sz w:val="20"/>
                <w:szCs w:val="20"/>
              </w:rPr>
              <w:t>Renforcement des brigades</w:t>
            </w:r>
          </w:p>
        </w:tc>
        <w:tc>
          <w:tcPr>
            <w:tcW w:w="1985" w:type="dxa"/>
            <w:vMerge w:val="restart"/>
            <w:tcBorders>
              <w:top w:val="nil"/>
              <w:left w:val="nil"/>
              <w:bottom w:val="single" w:sz="4" w:space="0" w:color="000000"/>
              <w:right w:val="nil"/>
            </w:tcBorders>
            <w:shd w:val="clear" w:color="auto" w:fill="auto"/>
            <w:vAlign w:val="center"/>
            <w:hideMark/>
          </w:tcPr>
          <w:p w14:paraId="5EE896A3" w14:textId="77777777" w:rsidR="00563458" w:rsidRPr="008A0AD5" w:rsidRDefault="00563458" w:rsidP="00442310">
            <w:pPr>
              <w:spacing w:after="0"/>
              <w:jc w:val="left"/>
              <w:rPr>
                <w:color w:val="000000"/>
                <w:sz w:val="20"/>
                <w:szCs w:val="20"/>
              </w:rPr>
            </w:pPr>
            <w:proofErr w:type="spellStart"/>
            <w:r w:rsidRPr="008A0AD5">
              <w:rPr>
                <w:color w:val="000000"/>
                <w:sz w:val="20"/>
                <w:szCs w:val="20"/>
              </w:rPr>
              <w:t>Governement</w:t>
            </w:r>
            <w:proofErr w:type="spellEnd"/>
            <w:r w:rsidRPr="008A0AD5">
              <w:rPr>
                <w:color w:val="000000"/>
                <w:sz w:val="20"/>
                <w:szCs w:val="20"/>
              </w:rPr>
              <w:t xml:space="preserve"> (dont FFN)</w:t>
            </w:r>
          </w:p>
        </w:tc>
        <w:tc>
          <w:tcPr>
            <w:tcW w:w="1984" w:type="dxa"/>
            <w:vMerge w:val="restart"/>
            <w:tcBorders>
              <w:top w:val="nil"/>
              <w:left w:val="nil"/>
              <w:bottom w:val="single" w:sz="4" w:space="0" w:color="000000"/>
              <w:right w:val="single" w:sz="4" w:space="0" w:color="auto"/>
            </w:tcBorders>
            <w:shd w:val="clear" w:color="auto" w:fill="auto"/>
            <w:vAlign w:val="center"/>
            <w:hideMark/>
          </w:tcPr>
          <w:p w14:paraId="1BE7D517" w14:textId="77777777" w:rsidR="00563458" w:rsidRPr="008A0AD5" w:rsidRDefault="00563458" w:rsidP="00442310">
            <w:pPr>
              <w:spacing w:after="0"/>
              <w:jc w:val="left"/>
              <w:rPr>
                <w:color w:val="000000"/>
                <w:sz w:val="20"/>
                <w:szCs w:val="20"/>
                <w:lang w:val="en-US"/>
              </w:rPr>
            </w:pPr>
            <w:r w:rsidRPr="008A0AD5">
              <w:rPr>
                <w:color w:val="000000"/>
                <w:sz w:val="20"/>
                <w:szCs w:val="20"/>
                <w:lang w:val="en-US"/>
              </w:rPr>
              <w:t>BM (PFDE)</w:t>
            </w:r>
            <w:r w:rsidRPr="008A0AD5">
              <w:rPr>
                <w:color w:val="000000"/>
                <w:sz w:val="20"/>
                <w:szCs w:val="20"/>
                <w:lang w:val="en-US"/>
              </w:rPr>
              <w:br/>
              <w:t xml:space="preserve">DFID </w:t>
            </w:r>
            <w:r w:rsidRPr="008A0AD5">
              <w:rPr>
                <w:color w:val="000000"/>
                <w:sz w:val="20"/>
                <w:szCs w:val="20"/>
                <w:lang w:val="en-US"/>
              </w:rPr>
              <w:br/>
              <w:t>BAD (PACIGOF)</w:t>
            </w:r>
          </w:p>
        </w:tc>
      </w:tr>
      <w:tr w:rsidR="00563458" w:rsidRPr="007B4F38" w14:paraId="1A979AF8" w14:textId="77777777" w:rsidTr="00442310">
        <w:trPr>
          <w:trHeight w:val="600"/>
        </w:trPr>
        <w:tc>
          <w:tcPr>
            <w:tcW w:w="993" w:type="dxa"/>
            <w:vMerge/>
            <w:tcBorders>
              <w:top w:val="nil"/>
              <w:left w:val="single" w:sz="4" w:space="0" w:color="auto"/>
              <w:bottom w:val="single" w:sz="4" w:space="0" w:color="auto"/>
              <w:right w:val="nil"/>
            </w:tcBorders>
            <w:vAlign w:val="center"/>
            <w:hideMark/>
          </w:tcPr>
          <w:p w14:paraId="55981F78" w14:textId="77777777" w:rsidR="00563458" w:rsidRPr="008A0AD5" w:rsidRDefault="00563458" w:rsidP="00442310">
            <w:pPr>
              <w:spacing w:after="0"/>
              <w:jc w:val="left"/>
              <w:rPr>
                <w:b/>
                <w:bCs/>
                <w:color w:val="000000"/>
                <w:sz w:val="20"/>
                <w:szCs w:val="20"/>
                <w:lang w:val="en-US"/>
              </w:rPr>
            </w:pPr>
          </w:p>
        </w:tc>
        <w:tc>
          <w:tcPr>
            <w:tcW w:w="505" w:type="dxa"/>
            <w:vMerge/>
            <w:tcBorders>
              <w:top w:val="nil"/>
              <w:left w:val="single" w:sz="4" w:space="0" w:color="auto"/>
              <w:bottom w:val="single" w:sz="4" w:space="0" w:color="000000"/>
              <w:right w:val="nil"/>
            </w:tcBorders>
            <w:vAlign w:val="center"/>
            <w:hideMark/>
          </w:tcPr>
          <w:p w14:paraId="47FC1044" w14:textId="77777777" w:rsidR="00563458" w:rsidRPr="008A0AD5" w:rsidRDefault="00563458" w:rsidP="00442310">
            <w:pPr>
              <w:spacing w:after="0"/>
              <w:jc w:val="left"/>
              <w:rPr>
                <w:sz w:val="20"/>
                <w:szCs w:val="20"/>
                <w:lang w:val="en-US"/>
              </w:rPr>
            </w:pPr>
          </w:p>
        </w:tc>
        <w:tc>
          <w:tcPr>
            <w:tcW w:w="3747" w:type="dxa"/>
            <w:vMerge/>
            <w:tcBorders>
              <w:top w:val="nil"/>
              <w:left w:val="nil"/>
              <w:bottom w:val="single" w:sz="4" w:space="0" w:color="000000"/>
              <w:right w:val="nil"/>
            </w:tcBorders>
            <w:vAlign w:val="center"/>
            <w:hideMark/>
          </w:tcPr>
          <w:p w14:paraId="2C08DA18" w14:textId="77777777" w:rsidR="00563458" w:rsidRPr="008A0AD5" w:rsidRDefault="00563458" w:rsidP="00442310">
            <w:pPr>
              <w:spacing w:after="0"/>
              <w:jc w:val="left"/>
              <w:rPr>
                <w:sz w:val="20"/>
                <w:szCs w:val="20"/>
                <w:lang w:val="en-US"/>
              </w:rPr>
            </w:pPr>
          </w:p>
        </w:tc>
        <w:tc>
          <w:tcPr>
            <w:tcW w:w="4394" w:type="dxa"/>
            <w:tcBorders>
              <w:top w:val="nil"/>
              <w:left w:val="nil"/>
              <w:bottom w:val="single" w:sz="4" w:space="0" w:color="auto"/>
              <w:right w:val="nil"/>
            </w:tcBorders>
            <w:shd w:val="clear" w:color="auto" w:fill="auto"/>
            <w:noWrap/>
            <w:vAlign w:val="center"/>
            <w:hideMark/>
          </w:tcPr>
          <w:p w14:paraId="6AA398F1" w14:textId="77777777" w:rsidR="00563458" w:rsidRPr="008A0AD5" w:rsidRDefault="00563458" w:rsidP="00442310">
            <w:pPr>
              <w:spacing w:after="0"/>
              <w:jc w:val="left"/>
              <w:rPr>
                <w:sz w:val="20"/>
                <w:szCs w:val="20"/>
              </w:rPr>
            </w:pPr>
            <w:r w:rsidRPr="008A0AD5">
              <w:rPr>
                <w:sz w:val="20"/>
                <w:szCs w:val="20"/>
              </w:rPr>
              <w:t>Renforcement des directions départementales</w:t>
            </w:r>
          </w:p>
        </w:tc>
        <w:tc>
          <w:tcPr>
            <w:tcW w:w="1985" w:type="dxa"/>
            <w:vMerge/>
            <w:tcBorders>
              <w:top w:val="nil"/>
              <w:left w:val="nil"/>
              <w:bottom w:val="single" w:sz="4" w:space="0" w:color="000000"/>
              <w:right w:val="nil"/>
            </w:tcBorders>
            <w:vAlign w:val="center"/>
            <w:hideMark/>
          </w:tcPr>
          <w:p w14:paraId="212F47AB" w14:textId="77777777" w:rsidR="00563458" w:rsidRPr="008A0AD5" w:rsidRDefault="00563458" w:rsidP="00442310">
            <w:pPr>
              <w:spacing w:after="0"/>
              <w:jc w:val="left"/>
              <w:rPr>
                <w:color w:val="000000"/>
                <w:sz w:val="20"/>
                <w:szCs w:val="20"/>
              </w:rPr>
            </w:pPr>
          </w:p>
        </w:tc>
        <w:tc>
          <w:tcPr>
            <w:tcW w:w="1984" w:type="dxa"/>
            <w:vMerge/>
            <w:tcBorders>
              <w:top w:val="nil"/>
              <w:left w:val="nil"/>
              <w:bottom w:val="single" w:sz="4" w:space="0" w:color="000000"/>
              <w:right w:val="single" w:sz="4" w:space="0" w:color="auto"/>
            </w:tcBorders>
            <w:vAlign w:val="center"/>
            <w:hideMark/>
          </w:tcPr>
          <w:p w14:paraId="2DDD371A" w14:textId="77777777" w:rsidR="00563458" w:rsidRPr="008A0AD5" w:rsidRDefault="00563458" w:rsidP="00442310">
            <w:pPr>
              <w:spacing w:after="0"/>
              <w:jc w:val="left"/>
              <w:rPr>
                <w:color w:val="000000"/>
                <w:sz w:val="20"/>
                <w:szCs w:val="20"/>
              </w:rPr>
            </w:pPr>
          </w:p>
        </w:tc>
      </w:tr>
      <w:tr w:rsidR="00563458" w:rsidRPr="007B4F38" w14:paraId="080DA8B0" w14:textId="77777777" w:rsidTr="00442310">
        <w:trPr>
          <w:trHeight w:val="570"/>
        </w:trPr>
        <w:tc>
          <w:tcPr>
            <w:tcW w:w="993" w:type="dxa"/>
            <w:vMerge/>
            <w:tcBorders>
              <w:top w:val="nil"/>
              <w:left w:val="single" w:sz="4" w:space="0" w:color="auto"/>
              <w:bottom w:val="single" w:sz="4" w:space="0" w:color="auto"/>
              <w:right w:val="nil"/>
            </w:tcBorders>
            <w:vAlign w:val="center"/>
            <w:hideMark/>
          </w:tcPr>
          <w:p w14:paraId="4520CA40" w14:textId="77777777" w:rsidR="00563458" w:rsidRPr="008A0AD5" w:rsidRDefault="00563458" w:rsidP="00442310">
            <w:pPr>
              <w:spacing w:after="0"/>
              <w:jc w:val="left"/>
              <w:rPr>
                <w:b/>
                <w:bCs/>
                <w:color w:val="000000"/>
                <w:sz w:val="20"/>
                <w:szCs w:val="20"/>
              </w:rPr>
            </w:pPr>
          </w:p>
        </w:tc>
        <w:tc>
          <w:tcPr>
            <w:tcW w:w="505" w:type="dxa"/>
            <w:vMerge w:val="restart"/>
            <w:tcBorders>
              <w:top w:val="nil"/>
              <w:left w:val="single" w:sz="4" w:space="0" w:color="auto"/>
              <w:bottom w:val="single" w:sz="4" w:space="0" w:color="000000"/>
              <w:right w:val="nil"/>
            </w:tcBorders>
            <w:shd w:val="clear" w:color="auto" w:fill="auto"/>
            <w:noWrap/>
            <w:vAlign w:val="center"/>
            <w:hideMark/>
          </w:tcPr>
          <w:p w14:paraId="15FBCEE5" w14:textId="77777777" w:rsidR="00563458" w:rsidRPr="008A0AD5" w:rsidRDefault="00563458" w:rsidP="00442310">
            <w:pPr>
              <w:spacing w:after="0"/>
              <w:jc w:val="center"/>
              <w:rPr>
                <w:sz w:val="20"/>
                <w:szCs w:val="20"/>
              </w:rPr>
            </w:pPr>
            <w:r w:rsidRPr="008A0AD5">
              <w:rPr>
                <w:sz w:val="20"/>
                <w:szCs w:val="20"/>
              </w:rPr>
              <w:t>262</w:t>
            </w:r>
          </w:p>
        </w:tc>
        <w:tc>
          <w:tcPr>
            <w:tcW w:w="3747" w:type="dxa"/>
            <w:vMerge w:val="restart"/>
            <w:tcBorders>
              <w:top w:val="nil"/>
              <w:left w:val="nil"/>
              <w:bottom w:val="single" w:sz="4" w:space="0" w:color="000000"/>
              <w:right w:val="nil"/>
            </w:tcBorders>
            <w:shd w:val="clear" w:color="auto" w:fill="auto"/>
            <w:vAlign w:val="center"/>
            <w:hideMark/>
          </w:tcPr>
          <w:p w14:paraId="783CF244" w14:textId="77777777" w:rsidR="00563458" w:rsidRPr="008A0AD5" w:rsidRDefault="00563458" w:rsidP="00442310">
            <w:pPr>
              <w:spacing w:after="0"/>
              <w:jc w:val="left"/>
              <w:rPr>
                <w:sz w:val="20"/>
                <w:szCs w:val="20"/>
              </w:rPr>
            </w:pPr>
            <w:r w:rsidRPr="008A0AD5">
              <w:rPr>
                <w:sz w:val="20"/>
                <w:szCs w:val="20"/>
              </w:rPr>
              <w:t>Renforcement des moyens de surveillance, de contrôle sur le terrain</w:t>
            </w:r>
          </w:p>
        </w:tc>
        <w:tc>
          <w:tcPr>
            <w:tcW w:w="4394" w:type="dxa"/>
            <w:tcBorders>
              <w:top w:val="nil"/>
              <w:left w:val="nil"/>
              <w:bottom w:val="nil"/>
              <w:right w:val="nil"/>
            </w:tcBorders>
            <w:shd w:val="clear" w:color="000000" w:fill="F2F2F2"/>
            <w:vAlign w:val="bottom"/>
            <w:hideMark/>
          </w:tcPr>
          <w:p w14:paraId="55271B0E" w14:textId="77777777" w:rsidR="00563458" w:rsidRPr="008A0AD5" w:rsidRDefault="00563458" w:rsidP="00442310">
            <w:pPr>
              <w:spacing w:after="0"/>
              <w:jc w:val="left"/>
              <w:rPr>
                <w:color w:val="808080"/>
                <w:sz w:val="20"/>
                <w:szCs w:val="20"/>
              </w:rPr>
            </w:pPr>
            <w:r w:rsidRPr="008A0AD5">
              <w:rPr>
                <w:color w:val="808080"/>
                <w:sz w:val="20"/>
                <w:szCs w:val="20"/>
              </w:rPr>
              <w:t>Renforcer les capacités de l’administration et des collectivités territoriales dans l’optique de la mise en œuvre du SNVL</w:t>
            </w:r>
          </w:p>
        </w:tc>
        <w:tc>
          <w:tcPr>
            <w:tcW w:w="3969" w:type="dxa"/>
            <w:gridSpan w:val="2"/>
            <w:tcBorders>
              <w:top w:val="nil"/>
              <w:left w:val="nil"/>
              <w:bottom w:val="nil"/>
              <w:right w:val="single" w:sz="4" w:space="0" w:color="000000"/>
            </w:tcBorders>
            <w:shd w:val="clear" w:color="000000" w:fill="F2F2F2"/>
            <w:noWrap/>
            <w:vAlign w:val="center"/>
            <w:hideMark/>
          </w:tcPr>
          <w:p w14:paraId="5845C7C5" w14:textId="77777777" w:rsidR="00563458" w:rsidRPr="008A0AD5" w:rsidRDefault="00563458" w:rsidP="00442310">
            <w:pPr>
              <w:spacing w:after="0"/>
              <w:jc w:val="center"/>
              <w:rPr>
                <w:color w:val="808080"/>
                <w:sz w:val="20"/>
                <w:szCs w:val="20"/>
              </w:rPr>
            </w:pPr>
            <w:r w:rsidRPr="008A0AD5">
              <w:rPr>
                <w:color w:val="808080"/>
                <w:sz w:val="20"/>
                <w:szCs w:val="20"/>
              </w:rPr>
              <w:t>Activité couverte par 213</w:t>
            </w:r>
          </w:p>
        </w:tc>
      </w:tr>
      <w:tr w:rsidR="00563458" w:rsidRPr="007B4F38" w14:paraId="6C3A6125" w14:textId="77777777" w:rsidTr="00442310">
        <w:trPr>
          <w:trHeight w:val="570"/>
        </w:trPr>
        <w:tc>
          <w:tcPr>
            <w:tcW w:w="993" w:type="dxa"/>
            <w:vMerge/>
            <w:tcBorders>
              <w:top w:val="nil"/>
              <w:left w:val="single" w:sz="4" w:space="0" w:color="auto"/>
              <w:bottom w:val="single" w:sz="4" w:space="0" w:color="auto"/>
              <w:right w:val="nil"/>
            </w:tcBorders>
            <w:vAlign w:val="center"/>
            <w:hideMark/>
          </w:tcPr>
          <w:p w14:paraId="0F0D0C6E" w14:textId="77777777" w:rsidR="00563458" w:rsidRPr="008A0AD5" w:rsidRDefault="00563458" w:rsidP="00442310">
            <w:pPr>
              <w:spacing w:after="0"/>
              <w:jc w:val="left"/>
              <w:rPr>
                <w:b/>
                <w:bCs/>
                <w:color w:val="000000"/>
                <w:sz w:val="20"/>
                <w:szCs w:val="20"/>
              </w:rPr>
            </w:pPr>
          </w:p>
        </w:tc>
        <w:tc>
          <w:tcPr>
            <w:tcW w:w="505" w:type="dxa"/>
            <w:vMerge/>
            <w:tcBorders>
              <w:top w:val="nil"/>
              <w:left w:val="single" w:sz="4" w:space="0" w:color="auto"/>
              <w:bottom w:val="single" w:sz="4" w:space="0" w:color="000000"/>
              <w:right w:val="nil"/>
            </w:tcBorders>
            <w:vAlign w:val="center"/>
            <w:hideMark/>
          </w:tcPr>
          <w:p w14:paraId="02A29D0D" w14:textId="77777777" w:rsidR="00563458" w:rsidRPr="008A0AD5" w:rsidRDefault="00563458" w:rsidP="00442310">
            <w:pPr>
              <w:spacing w:after="0"/>
              <w:jc w:val="left"/>
              <w:rPr>
                <w:sz w:val="20"/>
                <w:szCs w:val="20"/>
              </w:rPr>
            </w:pPr>
          </w:p>
        </w:tc>
        <w:tc>
          <w:tcPr>
            <w:tcW w:w="3747" w:type="dxa"/>
            <w:vMerge/>
            <w:tcBorders>
              <w:top w:val="nil"/>
              <w:left w:val="nil"/>
              <w:bottom w:val="single" w:sz="4" w:space="0" w:color="000000"/>
              <w:right w:val="nil"/>
            </w:tcBorders>
            <w:vAlign w:val="center"/>
            <w:hideMark/>
          </w:tcPr>
          <w:p w14:paraId="336F9AF8" w14:textId="77777777" w:rsidR="00563458" w:rsidRPr="008A0AD5" w:rsidRDefault="00563458" w:rsidP="00442310">
            <w:pPr>
              <w:spacing w:after="0"/>
              <w:jc w:val="left"/>
              <w:rPr>
                <w:sz w:val="20"/>
                <w:szCs w:val="20"/>
              </w:rPr>
            </w:pPr>
          </w:p>
        </w:tc>
        <w:tc>
          <w:tcPr>
            <w:tcW w:w="4394" w:type="dxa"/>
            <w:tcBorders>
              <w:top w:val="nil"/>
              <w:left w:val="nil"/>
              <w:bottom w:val="nil"/>
              <w:right w:val="nil"/>
            </w:tcBorders>
            <w:shd w:val="clear" w:color="000000" w:fill="F2F2F2"/>
            <w:vAlign w:val="center"/>
            <w:hideMark/>
          </w:tcPr>
          <w:p w14:paraId="5B98EC1E" w14:textId="77777777" w:rsidR="00563458" w:rsidRPr="008A0AD5" w:rsidRDefault="00563458" w:rsidP="00442310">
            <w:pPr>
              <w:spacing w:after="0"/>
              <w:jc w:val="left"/>
              <w:rPr>
                <w:color w:val="808080"/>
                <w:sz w:val="20"/>
                <w:szCs w:val="20"/>
              </w:rPr>
            </w:pPr>
            <w:r w:rsidRPr="008A0AD5">
              <w:rPr>
                <w:color w:val="808080"/>
                <w:sz w:val="20"/>
                <w:szCs w:val="20"/>
              </w:rPr>
              <w:t xml:space="preserve">Renforcement des équipes de terrain de l'ACFAP (effectif, formation et matériel) </w:t>
            </w:r>
          </w:p>
        </w:tc>
        <w:tc>
          <w:tcPr>
            <w:tcW w:w="3969" w:type="dxa"/>
            <w:gridSpan w:val="2"/>
            <w:tcBorders>
              <w:top w:val="nil"/>
              <w:left w:val="nil"/>
              <w:bottom w:val="nil"/>
              <w:right w:val="single" w:sz="4" w:space="0" w:color="000000"/>
            </w:tcBorders>
            <w:shd w:val="clear" w:color="000000" w:fill="F2F2F2"/>
            <w:noWrap/>
            <w:vAlign w:val="center"/>
            <w:hideMark/>
          </w:tcPr>
          <w:p w14:paraId="14A72B72" w14:textId="77777777" w:rsidR="00563458" w:rsidRPr="008A0AD5" w:rsidRDefault="00563458" w:rsidP="00442310">
            <w:pPr>
              <w:spacing w:after="0"/>
              <w:jc w:val="center"/>
              <w:rPr>
                <w:color w:val="808080"/>
                <w:sz w:val="20"/>
                <w:szCs w:val="20"/>
              </w:rPr>
            </w:pPr>
            <w:r w:rsidRPr="008A0AD5">
              <w:rPr>
                <w:color w:val="808080"/>
                <w:sz w:val="20"/>
                <w:szCs w:val="20"/>
              </w:rPr>
              <w:t>Activité couverte par 231</w:t>
            </w:r>
          </w:p>
        </w:tc>
      </w:tr>
      <w:tr w:rsidR="00563458" w:rsidRPr="007B4F38" w14:paraId="53474408" w14:textId="77777777" w:rsidTr="00442310">
        <w:trPr>
          <w:trHeight w:val="570"/>
        </w:trPr>
        <w:tc>
          <w:tcPr>
            <w:tcW w:w="993" w:type="dxa"/>
            <w:vMerge/>
            <w:tcBorders>
              <w:top w:val="nil"/>
              <w:left w:val="single" w:sz="4" w:space="0" w:color="auto"/>
              <w:bottom w:val="single" w:sz="4" w:space="0" w:color="auto"/>
              <w:right w:val="nil"/>
            </w:tcBorders>
            <w:vAlign w:val="center"/>
            <w:hideMark/>
          </w:tcPr>
          <w:p w14:paraId="16ADB324" w14:textId="77777777" w:rsidR="00563458" w:rsidRPr="008A0AD5" w:rsidRDefault="00563458" w:rsidP="00442310">
            <w:pPr>
              <w:spacing w:after="0"/>
              <w:jc w:val="left"/>
              <w:rPr>
                <w:b/>
                <w:bCs/>
                <w:color w:val="000000"/>
                <w:sz w:val="20"/>
                <w:szCs w:val="20"/>
              </w:rPr>
            </w:pPr>
          </w:p>
        </w:tc>
        <w:tc>
          <w:tcPr>
            <w:tcW w:w="505" w:type="dxa"/>
            <w:vMerge/>
            <w:tcBorders>
              <w:top w:val="nil"/>
              <w:left w:val="single" w:sz="4" w:space="0" w:color="auto"/>
              <w:bottom w:val="single" w:sz="4" w:space="0" w:color="000000"/>
              <w:right w:val="nil"/>
            </w:tcBorders>
            <w:vAlign w:val="center"/>
            <w:hideMark/>
          </w:tcPr>
          <w:p w14:paraId="20BE38BB" w14:textId="77777777" w:rsidR="00563458" w:rsidRPr="008A0AD5" w:rsidRDefault="00563458" w:rsidP="00442310">
            <w:pPr>
              <w:spacing w:after="0"/>
              <w:jc w:val="left"/>
              <w:rPr>
                <w:sz w:val="20"/>
                <w:szCs w:val="20"/>
              </w:rPr>
            </w:pPr>
          </w:p>
        </w:tc>
        <w:tc>
          <w:tcPr>
            <w:tcW w:w="3747" w:type="dxa"/>
            <w:vMerge/>
            <w:tcBorders>
              <w:top w:val="nil"/>
              <w:left w:val="nil"/>
              <w:bottom w:val="single" w:sz="4" w:space="0" w:color="000000"/>
              <w:right w:val="nil"/>
            </w:tcBorders>
            <w:vAlign w:val="center"/>
            <w:hideMark/>
          </w:tcPr>
          <w:p w14:paraId="3C9330CE" w14:textId="77777777" w:rsidR="00563458" w:rsidRPr="008A0AD5" w:rsidRDefault="00563458" w:rsidP="00442310">
            <w:pPr>
              <w:spacing w:after="0"/>
              <w:jc w:val="left"/>
              <w:rPr>
                <w:sz w:val="20"/>
                <w:szCs w:val="20"/>
              </w:rPr>
            </w:pPr>
          </w:p>
        </w:tc>
        <w:tc>
          <w:tcPr>
            <w:tcW w:w="4394" w:type="dxa"/>
            <w:tcBorders>
              <w:top w:val="nil"/>
              <w:left w:val="nil"/>
              <w:bottom w:val="nil"/>
              <w:right w:val="nil"/>
            </w:tcBorders>
            <w:shd w:val="clear" w:color="auto" w:fill="auto"/>
            <w:vAlign w:val="center"/>
            <w:hideMark/>
          </w:tcPr>
          <w:p w14:paraId="75C424A0" w14:textId="77777777" w:rsidR="00563458" w:rsidRPr="008A0AD5" w:rsidRDefault="00563458" w:rsidP="00442310">
            <w:pPr>
              <w:spacing w:after="0"/>
              <w:jc w:val="left"/>
              <w:rPr>
                <w:sz w:val="20"/>
                <w:szCs w:val="20"/>
              </w:rPr>
            </w:pPr>
            <w:r w:rsidRPr="008A0AD5">
              <w:rPr>
                <w:sz w:val="20"/>
                <w:szCs w:val="20"/>
              </w:rPr>
              <w:t>Création et renforcement des capacités (effectif, formation et matériel) des antennes départementales</w:t>
            </w:r>
          </w:p>
        </w:tc>
        <w:tc>
          <w:tcPr>
            <w:tcW w:w="1985" w:type="dxa"/>
            <w:tcBorders>
              <w:top w:val="nil"/>
              <w:left w:val="nil"/>
              <w:bottom w:val="single" w:sz="4" w:space="0" w:color="auto"/>
              <w:right w:val="nil"/>
            </w:tcBorders>
            <w:shd w:val="clear" w:color="auto" w:fill="auto"/>
            <w:vAlign w:val="center"/>
            <w:hideMark/>
          </w:tcPr>
          <w:p w14:paraId="00BE0D82" w14:textId="77777777" w:rsidR="00563458" w:rsidRPr="008A0AD5" w:rsidRDefault="00563458" w:rsidP="00442310">
            <w:pPr>
              <w:spacing w:after="0"/>
              <w:jc w:val="left"/>
              <w:rPr>
                <w:sz w:val="20"/>
                <w:szCs w:val="20"/>
              </w:rPr>
            </w:pPr>
            <w:r w:rsidRPr="008A0AD5">
              <w:rPr>
                <w:sz w:val="20"/>
                <w:szCs w:val="20"/>
              </w:rPr>
              <w:t>Gouvernement (dont FFN)</w:t>
            </w:r>
          </w:p>
        </w:tc>
        <w:tc>
          <w:tcPr>
            <w:tcW w:w="1984" w:type="dxa"/>
            <w:tcBorders>
              <w:top w:val="nil"/>
              <w:left w:val="nil"/>
              <w:bottom w:val="single" w:sz="4" w:space="0" w:color="auto"/>
              <w:right w:val="single" w:sz="4" w:space="0" w:color="auto"/>
            </w:tcBorders>
            <w:shd w:val="clear" w:color="auto" w:fill="auto"/>
            <w:vAlign w:val="center"/>
            <w:hideMark/>
          </w:tcPr>
          <w:p w14:paraId="1618DF9D" w14:textId="77777777" w:rsidR="00563458" w:rsidRPr="008A0AD5" w:rsidRDefault="00563458" w:rsidP="00442310">
            <w:pPr>
              <w:spacing w:after="0"/>
              <w:jc w:val="left"/>
              <w:rPr>
                <w:color w:val="000000"/>
                <w:sz w:val="20"/>
                <w:szCs w:val="20"/>
              </w:rPr>
            </w:pPr>
            <w:r w:rsidRPr="008A0AD5">
              <w:rPr>
                <w:color w:val="000000"/>
                <w:sz w:val="20"/>
                <w:szCs w:val="20"/>
              </w:rPr>
              <w:t>USAID (projet CARPE)</w:t>
            </w:r>
          </w:p>
        </w:tc>
      </w:tr>
      <w:tr w:rsidR="00563458" w:rsidRPr="007B4F38" w14:paraId="4980514D" w14:textId="77777777" w:rsidTr="00442310">
        <w:trPr>
          <w:trHeight w:val="570"/>
        </w:trPr>
        <w:tc>
          <w:tcPr>
            <w:tcW w:w="993" w:type="dxa"/>
            <w:vMerge/>
            <w:tcBorders>
              <w:top w:val="nil"/>
              <w:left w:val="single" w:sz="4" w:space="0" w:color="auto"/>
              <w:bottom w:val="single" w:sz="4" w:space="0" w:color="auto"/>
              <w:right w:val="nil"/>
            </w:tcBorders>
            <w:vAlign w:val="center"/>
            <w:hideMark/>
          </w:tcPr>
          <w:p w14:paraId="7009BC82" w14:textId="77777777" w:rsidR="00563458" w:rsidRPr="008A0AD5" w:rsidRDefault="00563458" w:rsidP="00442310">
            <w:pPr>
              <w:spacing w:after="0"/>
              <w:jc w:val="left"/>
              <w:rPr>
                <w:b/>
                <w:bCs/>
                <w:color w:val="000000"/>
                <w:sz w:val="20"/>
                <w:szCs w:val="20"/>
              </w:rPr>
            </w:pPr>
          </w:p>
        </w:tc>
        <w:tc>
          <w:tcPr>
            <w:tcW w:w="505" w:type="dxa"/>
            <w:tcBorders>
              <w:top w:val="nil"/>
              <w:left w:val="single" w:sz="4" w:space="0" w:color="auto"/>
              <w:bottom w:val="single" w:sz="4" w:space="0" w:color="auto"/>
              <w:right w:val="nil"/>
            </w:tcBorders>
            <w:shd w:val="clear" w:color="000000" w:fill="F2F2F2"/>
            <w:noWrap/>
            <w:vAlign w:val="center"/>
            <w:hideMark/>
          </w:tcPr>
          <w:p w14:paraId="4091C867" w14:textId="77777777" w:rsidR="00563458" w:rsidRPr="008A0AD5" w:rsidRDefault="00563458" w:rsidP="00442310">
            <w:pPr>
              <w:spacing w:after="0"/>
              <w:jc w:val="center"/>
              <w:rPr>
                <w:color w:val="808080"/>
                <w:sz w:val="20"/>
                <w:szCs w:val="20"/>
              </w:rPr>
            </w:pPr>
            <w:r w:rsidRPr="008A0AD5">
              <w:rPr>
                <w:color w:val="808080"/>
                <w:sz w:val="20"/>
                <w:szCs w:val="20"/>
              </w:rPr>
              <w:t>263</w:t>
            </w:r>
          </w:p>
        </w:tc>
        <w:tc>
          <w:tcPr>
            <w:tcW w:w="3747" w:type="dxa"/>
            <w:tcBorders>
              <w:top w:val="nil"/>
              <w:left w:val="nil"/>
              <w:bottom w:val="single" w:sz="4" w:space="0" w:color="auto"/>
              <w:right w:val="nil"/>
            </w:tcBorders>
            <w:shd w:val="clear" w:color="000000" w:fill="F2F2F2"/>
            <w:vAlign w:val="center"/>
            <w:hideMark/>
          </w:tcPr>
          <w:p w14:paraId="33C1F6F4" w14:textId="77777777" w:rsidR="00563458" w:rsidRPr="008A0AD5" w:rsidRDefault="00563458" w:rsidP="00442310">
            <w:pPr>
              <w:spacing w:after="0"/>
              <w:jc w:val="left"/>
              <w:rPr>
                <w:color w:val="808080"/>
                <w:sz w:val="20"/>
                <w:szCs w:val="20"/>
              </w:rPr>
            </w:pPr>
            <w:r w:rsidRPr="008A0AD5">
              <w:rPr>
                <w:color w:val="808080"/>
                <w:sz w:val="20"/>
                <w:szCs w:val="20"/>
              </w:rPr>
              <w:t>Renforcement des capacités des usagers de la forêt</w:t>
            </w:r>
          </w:p>
        </w:tc>
        <w:tc>
          <w:tcPr>
            <w:tcW w:w="4394" w:type="dxa"/>
            <w:tcBorders>
              <w:top w:val="single" w:sz="4" w:space="0" w:color="auto"/>
              <w:left w:val="nil"/>
              <w:bottom w:val="single" w:sz="4" w:space="0" w:color="auto"/>
              <w:right w:val="nil"/>
            </w:tcBorders>
            <w:shd w:val="clear" w:color="000000" w:fill="F2F2F2"/>
            <w:vAlign w:val="center"/>
            <w:hideMark/>
          </w:tcPr>
          <w:p w14:paraId="332BB8D2" w14:textId="77777777" w:rsidR="00563458" w:rsidRPr="008A0AD5" w:rsidRDefault="00563458" w:rsidP="00442310">
            <w:pPr>
              <w:spacing w:after="0"/>
              <w:jc w:val="left"/>
              <w:rPr>
                <w:color w:val="808080"/>
                <w:sz w:val="20"/>
                <w:szCs w:val="20"/>
              </w:rPr>
            </w:pPr>
            <w:r w:rsidRPr="008A0AD5">
              <w:rPr>
                <w:color w:val="808080"/>
                <w:sz w:val="20"/>
                <w:szCs w:val="20"/>
              </w:rPr>
              <w:t>Les agents de surveillance de terrain de l'administration, usagers de la forêt,  sont renforcés</w:t>
            </w:r>
          </w:p>
        </w:tc>
        <w:tc>
          <w:tcPr>
            <w:tcW w:w="3969" w:type="dxa"/>
            <w:gridSpan w:val="2"/>
            <w:tcBorders>
              <w:top w:val="nil"/>
              <w:left w:val="nil"/>
              <w:bottom w:val="single" w:sz="4" w:space="0" w:color="auto"/>
              <w:right w:val="single" w:sz="4" w:space="0" w:color="000000"/>
            </w:tcBorders>
            <w:shd w:val="clear" w:color="000000" w:fill="F2F2F2"/>
            <w:noWrap/>
            <w:vAlign w:val="center"/>
            <w:hideMark/>
          </w:tcPr>
          <w:p w14:paraId="2F5E2363" w14:textId="77777777" w:rsidR="00563458" w:rsidRPr="008A0AD5" w:rsidRDefault="00563458" w:rsidP="00442310">
            <w:pPr>
              <w:spacing w:after="0"/>
              <w:jc w:val="center"/>
              <w:rPr>
                <w:color w:val="808080"/>
                <w:sz w:val="20"/>
                <w:szCs w:val="20"/>
              </w:rPr>
            </w:pPr>
            <w:r w:rsidRPr="008A0AD5">
              <w:rPr>
                <w:color w:val="808080"/>
                <w:sz w:val="20"/>
                <w:szCs w:val="20"/>
              </w:rPr>
              <w:t>Activité couverte par 261 et 262</w:t>
            </w:r>
          </w:p>
        </w:tc>
      </w:tr>
    </w:tbl>
    <w:p w14:paraId="7CEDCDA9" w14:textId="77777777" w:rsidR="00563458" w:rsidRDefault="00563458" w:rsidP="00643127">
      <w:pPr>
        <w:rPr>
          <w:highlight w:val="yellow"/>
        </w:rPr>
      </w:pPr>
    </w:p>
    <w:p w14:paraId="49F7BB4A" w14:textId="77777777" w:rsidR="00563458" w:rsidRDefault="00563458" w:rsidP="00643127">
      <w:pPr>
        <w:rPr>
          <w:highlight w:val="yellow"/>
        </w:rPr>
      </w:pPr>
    </w:p>
    <w:p w14:paraId="42A46717" w14:textId="77777777" w:rsidR="00563458" w:rsidRDefault="00563458" w:rsidP="00643127">
      <w:pPr>
        <w:rPr>
          <w:highlight w:val="yellow"/>
        </w:rPr>
      </w:pPr>
    </w:p>
    <w:p w14:paraId="043456A4" w14:textId="77777777" w:rsidR="00442310" w:rsidRDefault="00442310" w:rsidP="00643127">
      <w:pPr>
        <w:rPr>
          <w:highlight w:val="yellow"/>
        </w:rPr>
      </w:pPr>
    </w:p>
    <w:p w14:paraId="66EC82BB" w14:textId="77777777" w:rsidR="00442310" w:rsidRDefault="00442310" w:rsidP="00643127">
      <w:pPr>
        <w:rPr>
          <w:highlight w:val="yellow"/>
        </w:rPr>
      </w:pPr>
    </w:p>
    <w:p w14:paraId="3813B7DF" w14:textId="77777777" w:rsidR="00563458" w:rsidRDefault="00563458" w:rsidP="00643127">
      <w:pPr>
        <w:rPr>
          <w:highlight w:val="yellow"/>
        </w:rPr>
      </w:pPr>
    </w:p>
    <w:tbl>
      <w:tblPr>
        <w:tblW w:w="13608" w:type="dxa"/>
        <w:tblInd w:w="70" w:type="dxa"/>
        <w:tblCellMar>
          <w:left w:w="70" w:type="dxa"/>
          <w:right w:w="70" w:type="dxa"/>
        </w:tblCellMar>
        <w:tblLook w:val="04A0" w:firstRow="1" w:lastRow="0" w:firstColumn="1" w:lastColumn="0" w:noHBand="0" w:noVBand="1"/>
      </w:tblPr>
      <w:tblGrid>
        <w:gridCol w:w="993"/>
        <w:gridCol w:w="554"/>
        <w:gridCol w:w="3698"/>
        <w:gridCol w:w="4394"/>
        <w:gridCol w:w="1985"/>
        <w:gridCol w:w="1984"/>
      </w:tblGrid>
      <w:tr w:rsidR="00442310" w:rsidRPr="00442310" w14:paraId="4904DE29" w14:textId="77777777" w:rsidTr="0075216C">
        <w:trPr>
          <w:trHeight w:val="315"/>
        </w:trPr>
        <w:tc>
          <w:tcPr>
            <w:tcW w:w="5245" w:type="dxa"/>
            <w:gridSpan w:val="3"/>
            <w:tcBorders>
              <w:top w:val="single" w:sz="4" w:space="0" w:color="auto"/>
              <w:left w:val="single" w:sz="4" w:space="0" w:color="auto"/>
              <w:right w:val="nil"/>
            </w:tcBorders>
            <w:shd w:val="clear" w:color="000000" w:fill="F79646"/>
            <w:noWrap/>
            <w:vAlign w:val="bottom"/>
            <w:hideMark/>
          </w:tcPr>
          <w:p w14:paraId="2C74B2A1" w14:textId="77777777" w:rsidR="00442310" w:rsidRPr="00442310" w:rsidRDefault="00442310" w:rsidP="00442310">
            <w:pPr>
              <w:spacing w:after="0"/>
              <w:jc w:val="left"/>
              <w:rPr>
                <w:rFonts w:ascii="Tw Cen MT" w:hAnsi="Tw Cen MT"/>
                <w:b/>
                <w:bCs/>
                <w:sz w:val="20"/>
                <w:szCs w:val="20"/>
              </w:rPr>
            </w:pPr>
            <w:r w:rsidRPr="00442310">
              <w:rPr>
                <w:rFonts w:ascii="Tw Cen MT" w:hAnsi="Tw Cen MT"/>
                <w:b/>
                <w:bCs/>
                <w:sz w:val="20"/>
                <w:szCs w:val="20"/>
              </w:rPr>
              <w:lastRenderedPageBreak/>
              <w:t>OPTION 3 : Amélioration des systèmes agricoles</w:t>
            </w:r>
          </w:p>
        </w:tc>
        <w:tc>
          <w:tcPr>
            <w:tcW w:w="4394" w:type="dxa"/>
            <w:tcBorders>
              <w:top w:val="single" w:sz="4" w:space="0" w:color="auto"/>
              <w:left w:val="nil"/>
              <w:right w:val="nil"/>
            </w:tcBorders>
            <w:shd w:val="clear" w:color="000000" w:fill="F79646"/>
            <w:noWrap/>
            <w:vAlign w:val="bottom"/>
            <w:hideMark/>
          </w:tcPr>
          <w:p w14:paraId="13F5975E" w14:textId="77777777" w:rsidR="00442310" w:rsidRPr="00442310" w:rsidRDefault="00442310" w:rsidP="00442310">
            <w:pPr>
              <w:spacing w:after="0"/>
              <w:jc w:val="left"/>
              <w:rPr>
                <w:rFonts w:ascii="Tw Cen MT" w:hAnsi="Tw Cen MT"/>
                <w:b/>
                <w:bCs/>
                <w:sz w:val="20"/>
                <w:szCs w:val="20"/>
              </w:rPr>
            </w:pPr>
            <w:r w:rsidRPr="00442310">
              <w:rPr>
                <w:rFonts w:ascii="Tw Cen MT" w:hAnsi="Tw Cen MT"/>
                <w:b/>
                <w:bCs/>
                <w:sz w:val="20"/>
                <w:szCs w:val="20"/>
              </w:rPr>
              <w:t> </w:t>
            </w:r>
          </w:p>
        </w:tc>
        <w:tc>
          <w:tcPr>
            <w:tcW w:w="1985" w:type="dxa"/>
            <w:tcBorders>
              <w:top w:val="single" w:sz="4" w:space="0" w:color="auto"/>
              <w:left w:val="nil"/>
              <w:right w:val="nil"/>
            </w:tcBorders>
            <w:shd w:val="clear" w:color="000000" w:fill="F79646"/>
            <w:noWrap/>
            <w:vAlign w:val="bottom"/>
            <w:hideMark/>
          </w:tcPr>
          <w:p w14:paraId="4FBCB28F" w14:textId="77777777" w:rsidR="00442310" w:rsidRPr="00442310" w:rsidRDefault="00442310" w:rsidP="00442310">
            <w:pPr>
              <w:spacing w:after="0"/>
              <w:jc w:val="left"/>
              <w:rPr>
                <w:rFonts w:ascii="Tw Cen MT" w:hAnsi="Tw Cen MT"/>
                <w:color w:val="000000"/>
                <w:sz w:val="20"/>
                <w:szCs w:val="20"/>
              </w:rPr>
            </w:pPr>
            <w:r w:rsidRPr="00442310">
              <w:rPr>
                <w:rFonts w:ascii="Tw Cen MT" w:hAnsi="Tw Cen MT"/>
                <w:color w:val="000000"/>
                <w:sz w:val="20"/>
                <w:szCs w:val="20"/>
              </w:rPr>
              <w:t> </w:t>
            </w:r>
          </w:p>
        </w:tc>
        <w:tc>
          <w:tcPr>
            <w:tcW w:w="1984" w:type="dxa"/>
            <w:tcBorders>
              <w:top w:val="single" w:sz="4" w:space="0" w:color="auto"/>
              <w:left w:val="nil"/>
              <w:right w:val="single" w:sz="4" w:space="0" w:color="auto"/>
            </w:tcBorders>
            <w:shd w:val="clear" w:color="000000" w:fill="F79646"/>
            <w:noWrap/>
            <w:vAlign w:val="center"/>
            <w:hideMark/>
          </w:tcPr>
          <w:p w14:paraId="151B07BF" w14:textId="77777777" w:rsidR="00442310" w:rsidRPr="00442310" w:rsidRDefault="00442310" w:rsidP="00442310">
            <w:pPr>
              <w:spacing w:after="0"/>
              <w:jc w:val="center"/>
              <w:rPr>
                <w:rFonts w:ascii="Tw Cen MT" w:hAnsi="Tw Cen MT"/>
                <w:color w:val="000000"/>
                <w:sz w:val="20"/>
                <w:szCs w:val="20"/>
              </w:rPr>
            </w:pPr>
            <w:r w:rsidRPr="00442310">
              <w:rPr>
                <w:rFonts w:ascii="Tw Cen MT" w:hAnsi="Tw Cen MT"/>
                <w:color w:val="000000"/>
                <w:sz w:val="20"/>
                <w:szCs w:val="20"/>
              </w:rPr>
              <w:t> </w:t>
            </w:r>
          </w:p>
        </w:tc>
      </w:tr>
      <w:tr w:rsidR="00442310" w:rsidRPr="00442310" w14:paraId="149AB23B" w14:textId="77777777" w:rsidTr="0075216C">
        <w:trPr>
          <w:trHeight w:val="285"/>
        </w:trPr>
        <w:tc>
          <w:tcPr>
            <w:tcW w:w="993" w:type="dxa"/>
            <w:vMerge w:val="restart"/>
            <w:tcBorders>
              <w:top w:val="nil"/>
              <w:left w:val="single" w:sz="4" w:space="0" w:color="auto"/>
              <w:bottom w:val="nil"/>
              <w:right w:val="nil"/>
            </w:tcBorders>
            <w:shd w:val="clear" w:color="000000" w:fill="B8CCE4"/>
            <w:vAlign w:val="center"/>
            <w:hideMark/>
          </w:tcPr>
          <w:p w14:paraId="5ACBB870" w14:textId="77777777" w:rsidR="00442310" w:rsidRPr="00442310" w:rsidRDefault="00442310" w:rsidP="00442310">
            <w:pPr>
              <w:spacing w:after="0"/>
              <w:jc w:val="center"/>
              <w:rPr>
                <w:rFonts w:ascii="Tw Cen MT" w:hAnsi="Tw Cen MT"/>
                <w:b/>
                <w:bCs/>
                <w:color w:val="000000"/>
                <w:sz w:val="20"/>
                <w:szCs w:val="20"/>
              </w:rPr>
            </w:pPr>
            <w:r w:rsidRPr="00442310">
              <w:rPr>
                <w:rFonts w:ascii="Tw Cen MT" w:hAnsi="Tw Cen MT"/>
                <w:b/>
                <w:bCs/>
                <w:color w:val="000000"/>
                <w:sz w:val="20"/>
                <w:szCs w:val="20"/>
              </w:rPr>
              <w:t> </w:t>
            </w:r>
          </w:p>
        </w:tc>
        <w:tc>
          <w:tcPr>
            <w:tcW w:w="4252" w:type="dxa"/>
            <w:gridSpan w:val="2"/>
            <w:vMerge w:val="restart"/>
            <w:tcBorders>
              <w:top w:val="nil"/>
              <w:left w:val="nil"/>
              <w:bottom w:val="nil"/>
              <w:right w:val="nil"/>
            </w:tcBorders>
            <w:shd w:val="clear" w:color="000000" w:fill="B8CCE4"/>
            <w:vAlign w:val="center"/>
            <w:hideMark/>
          </w:tcPr>
          <w:p w14:paraId="546F8FF5" w14:textId="77777777" w:rsidR="00442310" w:rsidRPr="00442310" w:rsidRDefault="00442310" w:rsidP="00442310">
            <w:pPr>
              <w:spacing w:after="0"/>
              <w:jc w:val="center"/>
              <w:rPr>
                <w:rFonts w:ascii="Tw Cen MT" w:hAnsi="Tw Cen MT"/>
                <w:b/>
                <w:bCs/>
                <w:color w:val="000000"/>
                <w:sz w:val="20"/>
                <w:szCs w:val="20"/>
              </w:rPr>
            </w:pPr>
            <w:r w:rsidRPr="00442310">
              <w:rPr>
                <w:rFonts w:ascii="Tw Cen MT" w:hAnsi="Tw Cen MT"/>
                <w:b/>
                <w:bCs/>
                <w:color w:val="000000"/>
                <w:sz w:val="20"/>
                <w:szCs w:val="20"/>
              </w:rPr>
              <w:t xml:space="preserve">Activité </w:t>
            </w:r>
          </w:p>
        </w:tc>
        <w:tc>
          <w:tcPr>
            <w:tcW w:w="4394" w:type="dxa"/>
            <w:vMerge w:val="restart"/>
            <w:tcBorders>
              <w:top w:val="nil"/>
              <w:left w:val="nil"/>
              <w:bottom w:val="nil"/>
              <w:right w:val="nil"/>
            </w:tcBorders>
            <w:shd w:val="clear" w:color="000000" w:fill="B8CCE4"/>
            <w:vAlign w:val="center"/>
            <w:hideMark/>
          </w:tcPr>
          <w:p w14:paraId="56F279BA" w14:textId="77777777" w:rsidR="00442310" w:rsidRPr="00442310" w:rsidRDefault="00442310" w:rsidP="00442310">
            <w:pPr>
              <w:spacing w:after="0"/>
              <w:jc w:val="center"/>
              <w:rPr>
                <w:rFonts w:ascii="Tw Cen MT" w:hAnsi="Tw Cen MT"/>
                <w:b/>
                <w:bCs/>
                <w:color w:val="000000"/>
                <w:sz w:val="20"/>
                <w:szCs w:val="20"/>
              </w:rPr>
            </w:pPr>
            <w:r w:rsidRPr="00442310">
              <w:rPr>
                <w:rFonts w:ascii="Tw Cen MT" w:hAnsi="Tw Cen MT"/>
                <w:b/>
                <w:bCs/>
                <w:color w:val="000000"/>
                <w:sz w:val="20"/>
                <w:szCs w:val="20"/>
              </w:rPr>
              <w:t>Sous-activité</w:t>
            </w:r>
          </w:p>
        </w:tc>
        <w:tc>
          <w:tcPr>
            <w:tcW w:w="3969" w:type="dxa"/>
            <w:gridSpan w:val="2"/>
            <w:tcBorders>
              <w:top w:val="nil"/>
              <w:left w:val="nil"/>
              <w:bottom w:val="nil"/>
              <w:right w:val="single" w:sz="4" w:space="0" w:color="000000"/>
            </w:tcBorders>
            <w:shd w:val="clear" w:color="000000" w:fill="B8CCE4"/>
            <w:noWrap/>
            <w:vAlign w:val="bottom"/>
            <w:hideMark/>
          </w:tcPr>
          <w:p w14:paraId="2F34B89A" w14:textId="77777777" w:rsidR="00442310" w:rsidRPr="00442310" w:rsidRDefault="00442310" w:rsidP="00442310">
            <w:pPr>
              <w:spacing w:after="0"/>
              <w:jc w:val="center"/>
              <w:rPr>
                <w:rFonts w:ascii="Tw Cen MT" w:hAnsi="Tw Cen MT"/>
                <w:b/>
                <w:bCs/>
                <w:sz w:val="20"/>
                <w:szCs w:val="20"/>
              </w:rPr>
            </w:pPr>
            <w:r w:rsidRPr="00442310">
              <w:rPr>
                <w:rFonts w:ascii="Tw Cen MT" w:hAnsi="Tw Cen MT"/>
                <w:b/>
                <w:bCs/>
                <w:sz w:val="20"/>
                <w:szCs w:val="20"/>
              </w:rPr>
              <w:t>Sources de financement potentielles</w:t>
            </w:r>
          </w:p>
        </w:tc>
      </w:tr>
      <w:tr w:rsidR="00442310" w:rsidRPr="00442310" w14:paraId="60E8C0A2" w14:textId="77777777" w:rsidTr="0075216C">
        <w:trPr>
          <w:trHeight w:val="285"/>
        </w:trPr>
        <w:tc>
          <w:tcPr>
            <w:tcW w:w="993" w:type="dxa"/>
            <w:vMerge/>
            <w:tcBorders>
              <w:top w:val="nil"/>
              <w:left w:val="single" w:sz="4" w:space="0" w:color="auto"/>
              <w:bottom w:val="single" w:sz="4" w:space="0" w:color="auto"/>
              <w:right w:val="nil"/>
            </w:tcBorders>
            <w:vAlign w:val="center"/>
            <w:hideMark/>
          </w:tcPr>
          <w:p w14:paraId="0DB44373" w14:textId="77777777" w:rsidR="00442310" w:rsidRPr="00442310" w:rsidRDefault="00442310" w:rsidP="00442310">
            <w:pPr>
              <w:spacing w:after="0"/>
              <w:jc w:val="left"/>
              <w:rPr>
                <w:rFonts w:ascii="Tw Cen MT" w:hAnsi="Tw Cen MT"/>
                <w:b/>
                <w:bCs/>
                <w:color w:val="000000"/>
                <w:sz w:val="20"/>
                <w:szCs w:val="20"/>
              </w:rPr>
            </w:pPr>
          </w:p>
        </w:tc>
        <w:tc>
          <w:tcPr>
            <w:tcW w:w="4252" w:type="dxa"/>
            <w:gridSpan w:val="2"/>
            <w:vMerge/>
            <w:tcBorders>
              <w:top w:val="nil"/>
              <w:left w:val="nil"/>
              <w:bottom w:val="single" w:sz="4" w:space="0" w:color="auto"/>
              <w:right w:val="nil"/>
            </w:tcBorders>
            <w:vAlign w:val="center"/>
            <w:hideMark/>
          </w:tcPr>
          <w:p w14:paraId="578C473A" w14:textId="77777777" w:rsidR="00442310" w:rsidRPr="00442310" w:rsidRDefault="00442310" w:rsidP="00442310">
            <w:pPr>
              <w:spacing w:after="0"/>
              <w:jc w:val="left"/>
              <w:rPr>
                <w:rFonts w:ascii="Tw Cen MT" w:hAnsi="Tw Cen MT"/>
                <w:b/>
                <w:bCs/>
                <w:color w:val="000000"/>
                <w:sz w:val="20"/>
                <w:szCs w:val="20"/>
              </w:rPr>
            </w:pPr>
          </w:p>
        </w:tc>
        <w:tc>
          <w:tcPr>
            <w:tcW w:w="4394" w:type="dxa"/>
            <w:vMerge/>
            <w:tcBorders>
              <w:top w:val="nil"/>
              <w:left w:val="nil"/>
              <w:bottom w:val="single" w:sz="4" w:space="0" w:color="auto"/>
              <w:right w:val="nil"/>
            </w:tcBorders>
            <w:vAlign w:val="center"/>
            <w:hideMark/>
          </w:tcPr>
          <w:p w14:paraId="3B955B9B" w14:textId="77777777" w:rsidR="00442310" w:rsidRPr="00442310" w:rsidRDefault="00442310" w:rsidP="00442310">
            <w:pPr>
              <w:spacing w:after="0"/>
              <w:jc w:val="left"/>
              <w:rPr>
                <w:rFonts w:ascii="Tw Cen MT" w:hAnsi="Tw Cen MT"/>
                <w:b/>
                <w:bCs/>
                <w:color w:val="000000"/>
                <w:sz w:val="20"/>
                <w:szCs w:val="20"/>
              </w:rPr>
            </w:pPr>
          </w:p>
        </w:tc>
        <w:tc>
          <w:tcPr>
            <w:tcW w:w="1985" w:type="dxa"/>
            <w:tcBorders>
              <w:top w:val="nil"/>
              <w:left w:val="nil"/>
              <w:bottom w:val="single" w:sz="4" w:space="0" w:color="auto"/>
              <w:right w:val="nil"/>
            </w:tcBorders>
            <w:shd w:val="clear" w:color="000000" w:fill="B8CCE4"/>
            <w:vAlign w:val="center"/>
            <w:hideMark/>
          </w:tcPr>
          <w:p w14:paraId="6BE8137C" w14:textId="77777777" w:rsidR="00442310" w:rsidRPr="00442310" w:rsidRDefault="00442310" w:rsidP="00442310">
            <w:pPr>
              <w:spacing w:after="0"/>
              <w:jc w:val="center"/>
              <w:rPr>
                <w:rFonts w:ascii="Tw Cen MT" w:hAnsi="Tw Cen MT"/>
                <w:b/>
                <w:bCs/>
                <w:color w:val="000000"/>
                <w:sz w:val="20"/>
                <w:szCs w:val="20"/>
              </w:rPr>
            </w:pPr>
            <w:r w:rsidRPr="00442310">
              <w:rPr>
                <w:rFonts w:ascii="Tw Cen MT" w:hAnsi="Tw Cen MT"/>
                <w:b/>
                <w:bCs/>
                <w:color w:val="000000"/>
                <w:sz w:val="20"/>
                <w:szCs w:val="20"/>
              </w:rPr>
              <w:t>Domestique</w:t>
            </w:r>
          </w:p>
        </w:tc>
        <w:tc>
          <w:tcPr>
            <w:tcW w:w="1984" w:type="dxa"/>
            <w:tcBorders>
              <w:top w:val="nil"/>
              <w:left w:val="nil"/>
              <w:bottom w:val="single" w:sz="4" w:space="0" w:color="auto"/>
              <w:right w:val="single" w:sz="4" w:space="0" w:color="auto"/>
            </w:tcBorders>
            <w:shd w:val="clear" w:color="000000" w:fill="B8CCE4"/>
            <w:vAlign w:val="center"/>
            <w:hideMark/>
          </w:tcPr>
          <w:p w14:paraId="41407582" w14:textId="77777777" w:rsidR="00442310" w:rsidRPr="00442310" w:rsidRDefault="00442310" w:rsidP="00442310">
            <w:pPr>
              <w:spacing w:after="0"/>
              <w:jc w:val="center"/>
              <w:rPr>
                <w:rFonts w:ascii="Tw Cen MT" w:hAnsi="Tw Cen MT"/>
                <w:b/>
                <w:bCs/>
                <w:color w:val="000000"/>
                <w:sz w:val="20"/>
                <w:szCs w:val="20"/>
              </w:rPr>
            </w:pPr>
            <w:r w:rsidRPr="00442310">
              <w:rPr>
                <w:rFonts w:ascii="Tw Cen MT" w:hAnsi="Tw Cen MT"/>
                <w:b/>
                <w:bCs/>
                <w:color w:val="000000"/>
                <w:sz w:val="20"/>
                <w:szCs w:val="20"/>
              </w:rPr>
              <w:t>Internationale</w:t>
            </w:r>
          </w:p>
        </w:tc>
      </w:tr>
      <w:tr w:rsidR="00442310" w:rsidRPr="00442310" w14:paraId="0D15CBCC" w14:textId="77777777" w:rsidTr="0075216C">
        <w:trPr>
          <w:trHeight w:val="1927"/>
        </w:trPr>
        <w:tc>
          <w:tcPr>
            <w:tcW w:w="993" w:type="dxa"/>
            <w:vMerge w:val="restart"/>
            <w:tcBorders>
              <w:top w:val="single" w:sz="4" w:space="0" w:color="auto"/>
              <w:left w:val="single" w:sz="4" w:space="0" w:color="auto"/>
              <w:bottom w:val="single" w:sz="4" w:space="0" w:color="auto"/>
              <w:right w:val="nil"/>
            </w:tcBorders>
            <w:shd w:val="clear" w:color="000000" w:fill="B8CCE4"/>
            <w:textDirection w:val="btLr"/>
            <w:vAlign w:val="center"/>
            <w:hideMark/>
          </w:tcPr>
          <w:p w14:paraId="5C3300D5" w14:textId="77777777" w:rsidR="00442310" w:rsidRPr="00442310" w:rsidRDefault="00442310" w:rsidP="00442310">
            <w:pPr>
              <w:spacing w:after="0"/>
              <w:jc w:val="center"/>
              <w:rPr>
                <w:rFonts w:ascii="Tw Cen MT" w:hAnsi="Tw Cen MT"/>
                <w:b/>
                <w:bCs/>
                <w:color w:val="000000"/>
                <w:sz w:val="20"/>
                <w:szCs w:val="20"/>
              </w:rPr>
            </w:pPr>
            <w:r w:rsidRPr="00442310">
              <w:rPr>
                <w:rFonts w:ascii="Tw Cen MT" w:hAnsi="Tw Cen MT"/>
                <w:b/>
                <w:bCs/>
                <w:color w:val="000000"/>
                <w:sz w:val="20"/>
                <w:szCs w:val="20"/>
              </w:rPr>
              <w:t>SO 3.1 Amélioration de la productivité agricole</w:t>
            </w:r>
          </w:p>
        </w:tc>
        <w:tc>
          <w:tcPr>
            <w:tcW w:w="554"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2BB3E07E" w14:textId="77777777" w:rsidR="00442310" w:rsidRPr="00442310" w:rsidRDefault="00442310" w:rsidP="00442310">
            <w:pPr>
              <w:spacing w:after="0"/>
              <w:jc w:val="center"/>
              <w:rPr>
                <w:rFonts w:ascii="Tw Cen MT" w:hAnsi="Tw Cen MT"/>
                <w:color w:val="000000"/>
                <w:sz w:val="20"/>
                <w:szCs w:val="20"/>
              </w:rPr>
            </w:pPr>
            <w:r w:rsidRPr="00442310">
              <w:rPr>
                <w:rFonts w:ascii="Tw Cen MT" w:hAnsi="Tw Cen MT"/>
                <w:color w:val="000000"/>
                <w:sz w:val="20"/>
                <w:szCs w:val="20"/>
              </w:rPr>
              <w:t>311</w:t>
            </w:r>
          </w:p>
        </w:tc>
        <w:tc>
          <w:tcPr>
            <w:tcW w:w="3698" w:type="dxa"/>
            <w:vMerge w:val="restart"/>
            <w:tcBorders>
              <w:top w:val="single" w:sz="4" w:space="0" w:color="auto"/>
              <w:left w:val="nil"/>
              <w:bottom w:val="single" w:sz="4" w:space="0" w:color="000000"/>
              <w:right w:val="nil"/>
            </w:tcBorders>
            <w:shd w:val="clear" w:color="auto" w:fill="auto"/>
            <w:vAlign w:val="center"/>
            <w:hideMark/>
          </w:tcPr>
          <w:p w14:paraId="2EB817F1" w14:textId="77777777" w:rsidR="00442310" w:rsidRPr="0075216C" w:rsidRDefault="00442310" w:rsidP="00442310">
            <w:pPr>
              <w:spacing w:after="0"/>
              <w:jc w:val="left"/>
              <w:rPr>
                <w:rFonts w:ascii="Tw Cen MT" w:hAnsi="Tw Cen MT"/>
                <w:sz w:val="20"/>
                <w:szCs w:val="20"/>
              </w:rPr>
            </w:pPr>
            <w:r w:rsidRPr="0075216C">
              <w:rPr>
                <w:rFonts w:ascii="Tw Cen MT" w:hAnsi="Tw Cen MT"/>
                <w:sz w:val="20"/>
                <w:szCs w:val="20"/>
              </w:rPr>
              <w:t>Développement et utilisation des pratiques culturales durables et plus modernes (jachère améliorée, etc.) - bonnes pratiques agricoles et itinéraires techniques</w:t>
            </w:r>
          </w:p>
        </w:tc>
        <w:tc>
          <w:tcPr>
            <w:tcW w:w="4394" w:type="dxa"/>
            <w:tcBorders>
              <w:top w:val="single" w:sz="4" w:space="0" w:color="auto"/>
              <w:left w:val="nil"/>
              <w:bottom w:val="nil"/>
              <w:right w:val="nil"/>
            </w:tcBorders>
            <w:shd w:val="clear" w:color="auto" w:fill="auto"/>
            <w:vAlign w:val="center"/>
            <w:hideMark/>
          </w:tcPr>
          <w:p w14:paraId="677B4E0B" w14:textId="77777777" w:rsidR="00442310" w:rsidRPr="0075216C" w:rsidRDefault="00442310" w:rsidP="00442310">
            <w:pPr>
              <w:spacing w:after="0"/>
              <w:jc w:val="left"/>
              <w:rPr>
                <w:rFonts w:ascii="Tw Cen MT" w:hAnsi="Tw Cen MT"/>
                <w:sz w:val="20"/>
                <w:szCs w:val="20"/>
              </w:rPr>
            </w:pPr>
            <w:r w:rsidRPr="0075216C">
              <w:rPr>
                <w:rFonts w:ascii="Tw Cen MT" w:hAnsi="Tw Cen MT"/>
                <w:sz w:val="20"/>
                <w:szCs w:val="20"/>
              </w:rPr>
              <w:t>Développement de la filière manioc dans une optique de minimisation des impacts sur la forêt</w:t>
            </w:r>
          </w:p>
        </w:tc>
        <w:tc>
          <w:tcPr>
            <w:tcW w:w="1985" w:type="dxa"/>
            <w:tcBorders>
              <w:top w:val="single" w:sz="4" w:space="0" w:color="auto"/>
              <w:left w:val="nil"/>
              <w:bottom w:val="nil"/>
              <w:right w:val="nil"/>
            </w:tcBorders>
            <w:shd w:val="clear" w:color="auto" w:fill="auto"/>
            <w:vAlign w:val="center"/>
            <w:hideMark/>
          </w:tcPr>
          <w:p w14:paraId="006DDF81" w14:textId="77777777" w:rsidR="00442310" w:rsidRPr="0075216C" w:rsidRDefault="00442310" w:rsidP="00442310">
            <w:pPr>
              <w:spacing w:after="0"/>
              <w:jc w:val="left"/>
              <w:rPr>
                <w:rFonts w:ascii="Tw Cen MT" w:hAnsi="Tw Cen MT"/>
                <w:sz w:val="20"/>
                <w:szCs w:val="20"/>
              </w:rPr>
            </w:pPr>
            <w:r w:rsidRPr="0075216C">
              <w:rPr>
                <w:rFonts w:ascii="Tw Cen MT" w:hAnsi="Tw Cen MT"/>
                <w:sz w:val="20"/>
                <w:szCs w:val="20"/>
              </w:rPr>
              <w:t>Gouvernement (dont FSA</w:t>
            </w:r>
            <w:proofErr w:type="gramStart"/>
            <w:r w:rsidRPr="0075216C">
              <w:rPr>
                <w:rFonts w:ascii="Tw Cen MT" w:hAnsi="Tw Cen MT"/>
                <w:sz w:val="20"/>
                <w:szCs w:val="20"/>
              </w:rPr>
              <w:t>)</w:t>
            </w:r>
            <w:proofErr w:type="gramEnd"/>
            <w:r w:rsidRPr="0075216C">
              <w:rPr>
                <w:rFonts w:ascii="Tw Cen MT" w:hAnsi="Tw Cen MT"/>
                <w:sz w:val="20"/>
                <w:szCs w:val="20"/>
              </w:rPr>
              <w:br/>
              <w:t>Microfinance</w:t>
            </w:r>
            <w:r w:rsidRPr="0075216C">
              <w:rPr>
                <w:rFonts w:ascii="Tw Cen MT" w:hAnsi="Tw Cen MT"/>
                <w:sz w:val="20"/>
                <w:szCs w:val="20"/>
              </w:rPr>
              <w:br/>
              <w:t>Entreprises privées (contributions)</w:t>
            </w:r>
          </w:p>
        </w:tc>
        <w:tc>
          <w:tcPr>
            <w:tcW w:w="1984" w:type="dxa"/>
            <w:tcBorders>
              <w:top w:val="single" w:sz="4" w:space="0" w:color="auto"/>
              <w:left w:val="nil"/>
              <w:bottom w:val="nil"/>
              <w:right w:val="single" w:sz="4" w:space="0" w:color="auto"/>
            </w:tcBorders>
            <w:shd w:val="clear" w:color="auto" w:fill="auto"/>
            <w:vAlign w:val="center"/>
            <w:hideMark/>
          </w:tcPr>
          <w:p w14:paraId="122413BC" w14:textId="77777777" w:rsidR="00442310" w:rsidRPr="00442310" w:rsidRDefault="00442310" w:rsidP="00442310">
            <w:pPr>
              <w:spacing w:after="0"/>
              <w:jc w:val="left"/>
              <w:rPr>
                <w:rFonts w:ascii="Tw Cen MT" w:hAnsi="Tw Cen MT"/>
                <w:sz w:val="20"/>
                <w:szCs w:val="20"/>
              </w:rPr>
            </w:pPr>
            <w:r w:rsidRPr="00442310">
              <w:rPr>
                <w:rFonts w:ascii="Tw Cen MT" w:hAnsi="Tw Cen MT"/>
                <w:sz w:val="20"/>
                <w:szCs w:val="20"/>
              </w:rPr>
              <w:t>FIDA (ASAP) / FODI</w:t>
            </w:r>
            <w:r w:rsidRPr="00442310">
              <w:rPr>
                <w:rFonts w:ascii="Tw Cen MT" w:hAnsi="Tw Cen MT"/>
                <w:sz w:val="20"/>
                <w:szCs w:val="20"/>
              </w:rPr>
              <w:br/>
              <w:t xml:space="preserve">AFD (C2D)/FFEM </w:t>
            </w:r>
            <w:r w:rsidRPr="00442310">
              <w:rPr>
                <w:rFonts w:ascii="Tw Cen MT" w:hAnsi="Tw Cen MT"/>
                <w:sz w:val="20"/>
                <w:szCs w:val="20"/>
              </w:rPr>
              <w:br/>
              <w:t>BM (IDA</w:t>
            </w:r>
            <w:proofErr w:type="gramStart"/>
            <w:r w:rsidRPr="00442310">
              <w:rPr>
                <w:rFonts w:ascii="Tw Cen MT" w:hAnsi="Tw Cen MT"/>
                <w:sz w:val="20"/>
                <w:szCs w:val="20"/>
              </w:rPr>
              <w:t>)</w:t>
            </w:r>
            <w:proofErr w:type="gramEnd"/>
            <w:r w:rsidRPr="00442310">
              <w:rPr>
                <w:rFonts w:ascii="Tw Cen MT" w:hAnsi="Tw Cen MT"/>
                <w:sz w:val="20"/>
                <w:szCs w:val="20"/>
              </w:rPr>
              <w:br/>
            </w:r>
            <w:r w:rsidRPr="00442310">
              <w:rPr>
                <w:rFonts w:ascii="Tw Cen MT" w:hAnsi="Tw Cen MT"/>
                <w:i/>
                <w:iCs/>
                <w:color w:val="244062"/>
                <w:sz w:val="20"/>
                <w:szCs w:val="20"/>
              </w:rPr>
              <w:t>autres fonds climatiques (FVC, AF, SCCF, FCCA, ICF, IKI)</w:t>
            </w:r>
            <w:r w:rsidRPr="00442310">
              <w:rPr>
                <w:rFonts w:ascii="Tw Cen MT" w:hAnsi="Tw Cen MT"/>
                <w:i/>
                <w:iCs/>
                <w:color w:val="244062"/>
                <w:sz w:val="20"/>
                <w:szCs w:val="20"/>
              </w:rPr>
              <w:br/>
              <w:t>Fondations privées (Gates)</w:t>
            </w:r>
          </w:p>
        </w:tc>
      </w:tr>
      <w:tr w:rsidR="00442310" w:rsidRPr="00442310" w14:paraId="71C2374E" w14:textId="77777777" w:rsidTr="0075216C">
        <w:trPr>
          <w:trHeight w:val="1981"/>
        </w:trPr>
        <w:tc>
          <w:tcPr>
            <w:tcW w:w="993" w:type="dxa"/>
            <w:vMerge/>
            <w:tcBorders>
              <w:top w:val="nil"/>
              <w:left w:val="single" w:sz="4" w:space="0" w:color="auto"/>
              <w:bottom w:val="single" w:sz="4" w:space="0" w:color="auto"/>
              <w:right w:val="nil"/>
            </w:tcBorders>
            <w:vAlign w:val="center"/>
            <w:hideMark/>
          </w:tcPr>
          <w:p w14:paraId="18380E71" w14:textId="77777777" w:rsidR="00442310" w:rsidRPr="00442310" w:rsidRDefault="00442310" w:rsidP="00442310">
            <w:pPr>
              <w:spacing w:after="0"/>
              <w:jc w:val="left"/>
              <w:rPr>
                <w:rFonts w:ascii="Tw Cen MT" w:hAnsi="Tw Cen MT"/>
                <w:b/>
                <w:bCs/>
                <w:color w:val="000000"/>
                <w:sz w:val="20"/>
                <w:szCs w:val="20"/>
              </w:rPr>
            </w:pPr>
          </w:p>
        </w:tc>
        <w:tc>
          <w:tcPr>
            <w:tcW w:w="554" w:type="dxa"/>
            <w:vMerge/>
            <w:tcBorders>
              <w:top w:val="single" w:sz="4" w:space="0" w:color="auto"/>
              <w:left w:val="single" w:sz="4" w:space="0" w:color="auto"/>
              <w:bottom w:val="single" w:sz="4" w:space="0" w:color="000000"/>
              <w:right w:val="nil"/>
            </w:tcBorders>
            <w:vAlign w:val="center"/>
            <w:hideMark/>
          </w:tcPr>
          <w:p w14:paraId="398EBF29" w14:textId="77777777" w:rsidR="00442310" w:rsidRPr="00442310" w:rsidRDefault="00442310" w:rsidP="00442310">
            <w:pPr>
              <w:spacing w:after="0"/>
              <w:jc w:val="left"/>
              <w:rPr>
                <w:rFonts w:ascii="Tw Cen MT" w:hAnsi="Tw Cen MT"/>
                <w:color w:val="000000"/>
                <w:sz w:val="20"/>
                <w:szCs w:val="20"/>
              </w:rPr>
            </w:pPr>
          </w:p>
        </w:tc>
        <w:tc>
          <w:tcPr>
            <w:tcW w:w="3698" w:type="dxa"/>
            <w:vMerge/>
            <w:tcBorders>
              <w:top w:val="single" w:sz="4" w:space="0" w:color="auto"/>
              <w:left w:val="nil"/>
              <w:bottom w:val="single" w:sz="4" w:space="0" w:color="000000"/>
              <w:right w:val="nil"/>
            </w:tcBorders>
            <w:vAlign w:val="center"/>
            <w:hideMark/>
          </w:tcPr>
          <w:p w14:paraId="34484945" w14:textId="77777777" w:rsidR="00442310" w:rsidRPr="0075216C" w:rsidRDefault="00442310" w:rsidP="00442310">
            <w:pPr>
              <w:spacing w:after="0"/>
              <w:jc w:val="left"/>
              <w:rPr>
                <w:rFonts w:ascii="Tw Cen MT" w:hAnsi="Tw Cen MT"/>
                <w:sz w:val="20"/>
                <w:szCs w:val="20"/>
              </w:rPr>
            </w:pPr>
          </w:p>
        </w:tc>
        <w:tc>
          <w:tcPr>
            <w:tcW w:w="4394" w:type="dxa"/>
            <w:tcBorders>
              <w:top w:val="nil"/>
              <w:left w:val="nil"/>
              <w:bottom w:val="single" w:sz="4" w:space="0" w:color="auto"/>
              <w:right w:val="nil"/>
            </w:tcBorders>
            <w:shd w:val="clear" w:color="auto" w:fill="auto"/>
            <w:vAlign w:val="center"/>
            <w:hideMark/>
          </w:tcPr>
          <w:p w14:paraId="542FB53B" w14:textId="77777777" w:rsidR="00442310" w:rsidRPr="0075216C" w:rsidRDefault="00442310" w:rsidP="00442310">
            <w:pPr>
              <w:spacing w:after="0"/>
              <w:jc w:val="left"/>
              <w:rPr>
                <w:rFonts w:ascii="Tw Cen MT" w:hAnsi="Tw Cen MT"/>
                <w:sz w:val="20"/>
                <w:szCs w:val="20"/>
              </w:rPr>
            </w:pPr>
            <w:r w:rsidRPr="0075216C">
              <w:rPr>
                <w:rFonts w:ascii="Tw Cen MT" w:hAnsi="Tw Cen MT"/>
                <w:sz w:val="20"/>
                <w:szCs w:val="20"/>
              </w:rPr>
              <w:t>Développement de la filière banane dans une optique de minimisation des impacts sur la forêt</w:t>
            </w:r>
          </w:p>
        </w:tc>
        <w:tc>
          <w:tcPr>
            <w:tcW w:w="1985" w:type="dxa"/>
            <w:tcBorders>
              <w:top w:val="nil"/>
              <w:left w:val="nil"/>
              <w:bottom w:val="single" w:sz="4" w:space="0" w:color="auto"/>
              <w:right w:val="nil"/>
            </w:tcBorders>
            <w:shd w:val="clear" w:color="auto" w:fill="auto"/>
            <w:vAlign w:val="center"/>
            <w:hideMark/>
          </w:tcPr>
          <w:p w14:paraId="4548781E" w14:textId="77777777" w:rsidR="00442310" w:rsidRPr="0075216C" w:rsidRDefault="00442310" w:rsidP="00442310">
            <w:pPr>
              <w:spacing w:after="0"/>
              <w:jc w:val="left"/>
              <w:rPr>
                <w:rFonts w:ascii="Tw Cen MT" w:hAnsi="Tw Cen MT"/>
                <w:sz w:val="20"/>
                <w:szCs w:val="20"/>
              </w:rPr>
            </w:pPr>
            <w:r w:rsidRPr="0075216C">
              <w:rPr>
                <w:rFonts w:ascii="Tw Cen MT" w:hAnsi="Tw Cen MT"/>
                <w:sz w:val="20"/>
                <w:szCs w:val="20"/>
              </w:rPr>
              <w:t>Gouvernement (dont FSA</w:t>
            </w:r>
            <w:proofErr w:type="gramStart"/>
            <w:r w:rsidRPr="0075216C">
              <w:rPr>
                <w:rFonts w:ascii="Tw Cen MT" w:hAnsi="Tw Cen MT"/>
                <w:sz w:val="20"/>
                <w:szCs w:val="20"/>
              </w:rPr>
              <w:t>)</w:t>
            </w:r>
            <w:proofErr w:type="gramEnd"/>
            <w:r w:rsidRPr="0075216C">
              <w:rPr>
                <w:rFonts w:ascii="Tw Cen MT" w:hAnsi="Tw Cen MT"/>
                <w:sz w:val="20"/>
                <w:szCs w:val="20"/>
              </w:rPr>
              <w:br/>
              <w:t>Microfinance</w:t>
            </w:r>
            <w:r w:rsidRPr="0075216C">
              <w:rPr>
                <w:rFonts w:ascii="Tw Cen MT" w:hAnsi="Tw Cen MT"/>
                <w:sz w:val="20"/>
                <w:szCs w:val="20"/>
              </w:rPr>
              <w:br/>
              <w:t>Entreprises privées (contributions)</w:t>
            </w:r>
          </w:p>
        </w:tc>
        <w:tc>
          <w:tcPr>
            <w:tcW w:w="1984" w:type="dxa"/>
            <w:tcBorders>
              <w:top w:val="nil"/>
              <w:left w:val="nil"/>
              <w:bottom w:val="single" w:sz="4" w:space="0" w:color="auto"/>
              <w:right w:val="single" w:sz="4" w:space="0" w:color="auto"/>
            </w:tcBorders>
            <w:shd w:val="clear" w:color="auto" w:fill="auto"/>
            <w:vAlign w:val="center"/>
            <w:hideMark/>
          </w:tcPr>
          <w:p w14:paraId="0834EF05" w14:textId="77777777" w:rsidR="00442310" w:rsidRPr="00442310" w:rsidRDefault="00442310" w:rsidP="00442310">
            <w:pPr>
              <w:spacing w:after="0"/>
              <w:jc w:val="left"/>
              <w:rPr>
                <w:rFonts w:ascii="Tw Cen MT" w:hAnsi="Tw Cen MT"/>
                <w:sz w:val="20"/>
                <w:szCs w:val="20"/>
              </w:rPr>
            </w:pPr>
            <w:r w:rsidRPr="00442310">
              <w:rPr>
                <w:rFonts w:ascii="Tw Cen MT" w:hAnsi="Tw Cen MT"/>
                <w:sz w:val="20"/>
                <w:szCs w:val="20"/>
              </w:rPr>
              <w:t>FIDA (ASAP) / FODI</w:t>
            </w:r>
            <w:r w:rsidRPr="00442310">
              <w:rPr>
                <w:rFonts w:ascii="Tw Cen MT" w:hAnsi="Tw Cen MT"/>
                <w:sz w:val="20"/>
                <w:szCs w:val="20"/>
              </w:rPr>
              <w:br/>
              <w:t xml:space="preserve">AFD (C2D)/FFEM </w:t>
            </w:r>
            <w:r w:rsidRPr="00442310">
              <w:rPr>
                <w:rFonts w:ascii="Tw Cen MT" w:hAnsi="Tw Cen MT"/>
                <w:sz w:val="20"/>
                <w:szCs w:val="20"/>
              </w:rPr>
              <w:br/>
              <w:t>BM (IDA</w:t>
            </w:r>
            <w:proofErr w:type="gramStart"/>
            <w:r w:rsidRPr="00442310">
              <w:rPr>
                <w:rFonts w:ascii="Tw Cen MT" w:hAnsi="Tw Cen MT"/>
                <w:sz w:val="20"/>
                <w:szCs w:val="20"/>
              </w:rPr>
              <w:t>)</w:t>
            </w:r>
            <w:proofErr w:type="gramEnd"/>
            <w:r w:rsidRPr="00442310">
              <w:rPr>
                <w:rFonts w:ascii="Tw Cen MT" w:hAnsi="Tw Cen MT"/>
                <w:sz w:val="20"/>
                <w:szCs w:val="20"/>
              </w:rPr>
              <w:br/>
            </w:r>
            <w:r w:rsidRPr="00442310">
              <w:rPr>
                <w:rFonts w:ascii="Tw Cen MT" w:hAnsi="Tw Cen MT"/>
                <w:i/>
                <w:iCs/>
                <w:color w:val="244062"/>
                <w:sz w:val="20"/>
                <w:szCs w:val="20"/>
              </w:rPr>
              <w:t>autres fonds climatiques (FVC, AF, SCCF, FCCA, ICF, IKI)</w:t>
            </w:r>
            <w:r w:rsidRPr="00442310">
              <w:rPr>
                <w:rFonts w:ascii="Tw Cen MT" w:hAnsi="Tw Cen MT"/>
                <w:i/>
                <w:iCs/>
                <w:color w:val="244062"/>
                <w:sz w:val="20"/>
                <w:szCs w:val="20"/>
              </w:rPr>
              <w:br/>
              <w:t>Fondations privées (Gates)</w:t>
            </w:r>
          </w:p>
        </w:tc>
      </w:tr>
      <w:tr w:rsidR="00442310" w:rsidRPr="00442310" w14:paraId="379E83C0" w14:textId="77777777" w:rsidTr="0075216C">
        <w:trPr>
          <w:trHeight w:val="1542"/>
        </w:trPr>
        <w:tc>
          <w:tcPr>
            <w:tcW w:w="993" w:type="dxa"/>
            <w:vMerge/>
            <w:tcBorders>
              <w:top w:val="nil"/>
              <w:left w:val="single" w:sz="4" w:space="0" w:color="auto"/>
              <w:bottom w:val="single" w:sz="4" w:space="0" w:color="auto"/>
              <w:right w:val="nil"/>
            </w:tcBorders>
            <w:vAlign w:val="center"/>
            <w:hideMark/>
          </w:tcPr>
          <w:p w14:paraId="42D096C9" w14:textId="77777777" w:rsidR="00442310" w:rsidRPr="00442310" w:rsidRDefault="00442310" w:rsidP="00442310">
            <w:pPr>
              <w:spacing w:after="0"/>
              <w:jc w:val="left"/>
              <w:rPr>
                <w:rFonts w:ascii="Tw Cen MT" w:hAnsi="Tw Cen MT"/>
                <w:b/>
                <w:bCs/>
                <w:color w:val="000000"/>
                <w:sz w:val="20"/>
                <w:szCs w:val="20"/>
              </w:rPr>
            </w:pPr>
          </w:p>
        </w:tc>
        <w:tc>
          <w:tcPr>
            <w:tcW w:w="554" w:type="dxa"/>
            <w:vMerge w:val="restart"/>
            <w:tcBorders>
              <w:top w:val="nil"/>
              <w:left w:val="single" w:sz="4" w:space="0" w:color="auto"/>
              <w:bottom w:val="single" w:sz="4" w:space="0" w:color="000000"/>
              <w:right w:val="nil"/>
            </w:tcBorders>
            <w:shd w:val="clear" w:color="auto" w:fill="auto"/>
            <w:noWrap/>
            <w:vAlign w:val="center"/>
            <w:hideMark/>
          </w:tcPr>
          <w:p w14:paraId="573562C7" w14:textId="77777777" w:rsidR="00442310" w:rsidRPr="00442310" w:rsidRDefault="00442310" w:rsidP="00442310">
            <w:pPr>
              <w:spacing w:after="0"/>
              <w:jc w:val="center"/>
              <w:rPr>
                <w:rFonts w:ascii="Tw Cen MT" w:hAnsi="Tw Cen MT"/>
                <w:color w:val="000000"/>
                <w:sz w:val="20"/>
                <w:szCs w:val="20"/>
              </w:rPr>
            </w:pPr>
            <w:r w:rsidRPr="00442310">
              <w:rPr>
                <w:rFonts w:ascii="Tw Cen MT" w:hAnsi="Tw Cen MT"/>
                <w:color w:val="000000"/>
                <w:sz w:val="20"/>
                <w:szCs w:val="20"/>
              </w:rPr>
              <w:t>312</w:t>
            </w:r>
          </w:p>
        </w:tc>
        <w:tc>
          <w:tcPr>
            <w:tcW w:w="3698" w:type="dxa"/>
            <w:vMerge w:val="restart"/>
            <w:tcBorders>
              <w:top w:val="nil"/>
              <w:left w:val="nil"/>
              <w:bottom w:val="single" w:sz="4" w:space="0" w:color="000000"/>
              <w:right w:val="nil"/>
            </w:tcBorders>
            <w:shd w:val="clear" w:color="auto" w:fill="auto"/>
            <w:vAlign w:val="center"/>
            <w:hideMark/>
          </w:tcPr>
          <w:p w14:paraId="361B4A41" w14:textId="77777777" w:rsidR="00442310" w:rsidRPr="0075216C" w:rsidRDefault="00442310" w:rsidP="00442310">
            <w:pPr>
              <w:spacing w:after="0"/>
              <w:jc w:val="left"/>
              <w:rPr>
                <w:rFonts w:ascii="Tw Cen MT" w:hAnsi="Tw Cen MT"/>
                <w:sz w:val="20"/>
                <w:szCs w:val="20"/>
              </w:rPr>
            </w:pPr>
            <w:r w:rsidRPr="0075216C">
              <w:rPr>
                <w:rFonts w:ascii="Tw Cen MT" w:hAnsi="Tw Cen MT"/>
                <w:sz w:val="20"/>
                <w:szCs w:val="20"/>
              </w:rPr>
              <w:t>Développement des cultures de rente à forte valeur ajoutée (café, cacao, hévéa)</w:t>
            </w:r>
          </w:p>
        </w:tc>
        <w:tc>
          <w:tcPr>
            <w:tcW w:w="4394" w:type="dxa"/>
            <w:tcBorders>
              <w:top w:val="nil"/>
              <w:left w:val="nil"/>
              <w:bottom w:val="nil"/>
              <w:right w:val="nil"/>
            </w:tcBorders>
            <w:shd w:val="clear" w:color="auto" w:fill="auto"/>
            <w:vAlign w:val="center"/>
            <w:hideMark/>
          </w:tcPr>
          <w:p w14:paraId="4FFC70E9" w14:textId="77777777" w:rsidR="00442310" w:rsidRPr="0075216C" w:rsidRDefault="00442310" w:rsidP="00442310">
            <w:pPr>
              <w:spacing w:after="0"/>
              <w:jc w:val="left"/>
              <w:rPr>
                <w:rFonts w:ascii="Tw Cen MT" w:hAnsi="Tw Cen MT"/>
                <w:sz w:val="20"/>
                <w:szCs w:val="20"/>
              </w:rPr>
            </w:pPr>
            <w:r w:rsidRPr="0075216C">
              <w:rPr>
                <w:rFonts w:ascii="Tw Cen MT" w:hAnsi="Tw Cen MT"/>
                <w:sz w:val="20"/>
                <w:szCs w:val="20"/>
              </w:rPr>
              <w:t>Mettre en œuvre le programme national cacao-culture</w:t>
            </w:r>
          </w:p>
        </w:tc>
        <w:tc>
          <w:tcPr>
            <w:tcW w:w="1985" w:type="dxa"/>
            <w:tcBorders>
              <w:top w:val="nil"/>
              <w:left w:val="nil"/>
              <w:bottom w:val="nil"/>
              <w:right w:val="nil"/>
            </w:tcBorders>
            <w:shd w:val="clear" w:color="auto" w:fill="auto"/>
            <w:vAlign w:val="center"/>
            <w:hideMark/>
          </w:tcPr>
          <w:p w14:paraId="2284778F" w14:textId="77777777" w:rsidR="00442310" w:rsidRPr="0075216C" w:rsidRDefault="00442310" w:rsidP="00442310">
            <w:pPr>
              <w:spacing w:after="0"/>
              <w:jc w:val="left"/>
              <w:rPr>
                <w:rFonts w:ascii="Tw Cen MT" w:hAnsi="Tw Cen MT"/>
                <w:sz w:val="20"/>
                <w:szCs w:val="20"/>
              </w:rPr>
            </w:pPr>
            <w:r w:rsidRPr="0075216C">
              <w:rPr>
                <w:rFonts w:ascii="Tw Cen MT" w:hAnsi="Tw Cen MT"/>
                <w:sz w:val="20"/>
                <w:szCs w:val="20"/>
              </w:rPr>
              <w:t xml:space="preserve">Gouvernement (PPP avec </w:t>
            </w:r>
            <w:proofErr w:type="gramStart"/>
            <w:r w:rsidRPr="0075216C">
              <w:rPr>
                <w:rFonts w:ascii="Tw Cen MT" w:hAnsi="Tw Cen MT"/>
                <w:sz w:val="20"/>
                <w:szCs w:val="20"/>
              </w:rPr>
              <w:t>la CIB )</w:t>
            </w:r>
            <w:proofErr w:type="gramEnd"/>
            <w:r w:rsidRPr="0075216C">
              <w:rPr>
                <w:rFonts w:ascii="Tw Cen MT" w:hAnsi="Tw Cen MT"/>
                <w:sz w:val="20"/>
                <w:szCs w:val="20"/>
              </w:rPr>
              <w:br/>
              <w:t>Microfinance</w:t>
            </w:r>
            <w:r w:rsidRPr="0075216C">
              <w:rPr>
                <w:rFonts w:ascii="Tw Cen MT" w:hAnsi="Tw Cen MT"/>
                <w:sz w:val="20"/>
                <w:szCs w:val="20"/>
              </w:rPr>
              <w:br/>
              <w:t>Entreprises forestières (contributions FDL)</w:t>
            </w:r>
          </w:p>
        </w:tc>
        <w:tc>
          <w:tcPr>
            <w:tcW w:w="1984" w:type="dxa"/>
            <w:tcBorders>
              <w:top w:val="nil"/>
              <w:left w:val="nil"/>
              <w:bottom w:val="nil"/>
              <w:right w:val="single" w:sz="4" w:space="0" w:color="auto"/>
            </w:tcBorders>
            <w:shd w:val="clear" w:color="auto" w:fill="auto"/>
            <w:vAlign w:val="center"/>
            <w:hideMark/>
          </w:tcPr>
          <w:p w14:paraId="4EEB656A" w14:textId="77777777" w:rsidR="00442310" w:rsidRPr="00442310" w:rsidRDefault="00442310" w:rsidP="00442310">
            <w:pPr>
              <w:spacing w:after="0"/>
              <w:jc w:val="left"/>
              <w:rPr>
                <w:rFonts w:ascii="Tw Cen MT" w:hAnsi="Tw Cen MT"/>
                <w:sz w:val="20"/>
                <w:szCs w:val="20"/>
              </w:rPr>
            </w:pPr>
            <w:r w:rsidRPr="00442310">
              <w:rPr>
                <w:rFonts w:ascii="Tw Cen MT" w:hAnsi="Tw Cen MT"/>
                <w:sz w:val="20"/>
                <w:szCs w:val="20"/>
              </w:rPr>
              <w:t>BM (PFDE, FIP, CAFI</w:t>
            </w:r>
            <w:proofErr w:type="gramStart"/>
            <w:r w:rsidRPr="00442310">
              <w:rPr>
                <w:rFonts w:ascii="Tw Cen MT" w:hAnsi="Tw Cen MT"/>
                <w:sz w:val="20"/>
                <w:szCs w:val="20"/>
              </w:rPr>
              <w:t>)</w:t>
            </w:r>
            <w:proofErr w:type="gramEnd"/>
            <w:r w:rsidRPr="00442310">
              <w:rPr>
                <w:rFonts w:ascii="Tw Cen MT" w:hAnsi="Tw Cen MT"/>
                <w:sz w:val="20"/>
                <w:szCs w:val="20"/>
              </w:rPr>
              <w:br/>
              <w:t>FEM</w:t>
            </w:r>
            <w:r w:rsidRPr="00442310">
              <w:rPr>
                <w:rFonts w:ascii="Tw Cen MT" w:hAnsi="Tw Cen MT"/>
                <w:sz w:val="20"/>
                <w:szCs w:val="20"/>
              </w:rPr>
              <w:br/>
              <w:t>AFD (C2D)/FFEM</w:t>
            </w:r>
            <w:r w:rsidRPr="00442310">
              <w:rPr>
                <w:rFonts w:ascii="Tw Cen MT" w:hAnsi="Tw Cen MT"/>
                <w:sz w:val="20"/>
                <w:szCs w:val="20"/>
              </w:rPr>
              <w:br/>
            </w:r>
            <w:r w:rsidRPr="00442310">
              <w:rPr>
                <w:rFonts w:ascii="Tw Cen MT" w:hAnsi="Tw Cen MT"/>
                <w:i/>
                <w:iCs/>
                <w:color w:val="244062"/>
                <w:sz w:val="20"/>
                <w:szCs w:val="20"/>
              </w:rPr>
              <w:t>autres fonds climatiques (FVC, AF, SCCF, FCCA, ICF, IKI)</w:t>
            </w:r>
          </w:p>
        </w:tc>
      </w:tr>
      <w:tr w:rsidR="00442310" w:rsidRPr="00442310" w14:paraId="667C94B6" w14:textId="77777777" w:rsidTr="0075216C">
        <w:trPr>
          <w:trHeight w:val="1534"/>
        </w:trPr>
        <w:tc>
          <w:tcPr>
            <w:tcW w:w="993" w:type="dxa"/>
            <w:vMerge/>
            <w:tcBorders>
              <w:top w:val="nil"/>
              <w:left w:val="single" w:sz="4" w:space="0" w:color="auto"/>
              <w:bottom w:val="single" w:sz="4" w:space="0" w:color="auto"/>
              <w:right w:val="nil"/>
            </w:tcBorders>
            <w:vAlign w:val="center"/>
            <w:hideMark/>
          </w:tcPr>
          <w:p w14:paraId="57313A56" w14:textId="77777777" w:rsidR="00442310" w:rsidRPr="00442310" w:rsidRDefault="00442310" w:rsidP="00442310">
            <w:pPr>
              <w:spacing w:after="0"/>
              <w:jc w:val="left"/>
              <w:rPr>
                <w:rFonts w:ascii="Tw Cen MT" w:hAnsi="Tw Cen MT"/>
                <w:b/>
                <w:bCs/>
                <w:color w:val="000000"/>
                <w:sz w:val="20"/>
                <w:szCs w:val="20"/>
              </w:rPr>
            </w:pPr>
          </w:p>
        </w:tc>
        <w:tc>
          <w:tcPr>
            <w:tcW w:w="554" w:type="dxa"/>
            <w:vMerge/>
            <w:tcBorders>
              <w:top w:val="nil"/>
              <w:left w:val="single" w:sz="4" w:space="0" w:color="auto"/>
              <w:bottom w:val="single" w:sz="4" w:space="0" w:color="000000"/>
              <w:right w:val="nil"/>
            </w:tcBorders>
            <w:vAlign w:val="center"/>
            <w:hideMark/>
          </w:tcPr>
          <w:p w14:paraId="1697CA10" w14:textId="77777777" w:rsidR="00442310" w:rsidRPr="00442310" w:rsidRDefault="00442310" w:rsidP="00442310">
            <w:pPr>
              <w:spacing w:after="0"/>
              <w:jc w:val="left"/>
              <w:rPr>
                <w:rFonts w:ascii="Tw Cen MT" w:hAnsi="Tw Cen MT"/>
                <w:color w:val="000000"/>
                <w:sz w:val="20"/>
                <w:szCs w:val="20"/>
              </w:rPr>
            </w:pPr>
          </w:p>
        </w:tc>
        <w:tc>
          <w:tcPr>
            <w:tcW w:w="3698" w:type="dxa"/>
            <w:vMerge/>
            <w:tcBorders>
              <w:top w:val="nil"/>
              <w:left w:val="nil"/>
              <w:bottom w:val="single" w:sz="4" w:space="0" w:color="000000"/>
              <w:right w:val="nil"/>
            </w:tcBorders>
            <w:vAlign w:val="center"/>
            <w:hideMark/>
          </w:tcPr>
          <w:p w14:paraId="582F92F7" w14:textId="77777777" w:rsidR="00442310" w:rsidRPr="0075216C" w:rsidRDefault="00442310" w:rsidP="00442310">
            <w:pPr>
              <w:spacing w:after="0"/>
              <w:jc w:val="left"/>
              <w:rPr>
                <w:rFonts w:ascii="Tw Cen MT" w:hAnsi="Tw Cen MT"/>
                <w:sz w:val="20"/>
                <w:szCs w:val="20"/>
              </w:rPr>
            </w:pPr>
          </w:p>
        </w:tc>
        <w:tc>
          <w:tcPr>
            <w:tcW w:w="4394" w:type="dxa"/>
            <w:tcBorders>
              <w:top w:val="nil"/>
              <w:left w:val="nil"/>
              <w:bottom w:val="nil"/>
              <w:right w:val="nil"/>
            </w:tcBorders>
            <w:shd w:val="clear" w:color="auto" w:fill="auto"/>
            <w:vAlign w:val="center"/>
            <w:hideMark/>
          </w:tcPr>
          <w:p w14:paraId="3425EEB0" w14:textId="77777777" w:rsidR="00442310" w:rsidRPr="0075216C" w:rsidRDefault="00442310" w:rsidP="00442310">
            <w:pPr>
              <w:spacing w:after="0"/>
              <w:jc w:val="left"/>
              <w:rPr>
                <w:rFonts w:ascii="Tw Cen MT" w:hAnsi="Tw Cen MT"/>
                <w:sz w:val="20"/>
                <w:szCs w:val="20"/>
              </w:rPr>
            </w:pPr>
            <w:r w:rsidRPr="0075216C">
              <w:rPr>
                <w:rFonts w:ascii="Tw Cen MT" w:hAnsi="Tw Cen MT"/>
                <w:sz w:val="20"/>
                <w:szCs w:val="20"/>
              </w:rPr>
              <w:t>Développer l'agroforesterie de savane</w:t>
            </w:r>
          </w:p>
        </w:tc>
        <w:tc>
          <w:tcPr>
            <w:tcW w:w="1985" w:type="dxa"/>
            <w:tcBorders>
              <w:top w:val="nil"/>
              <w:left w:val="nil"/>
              <w:bottom w:val="nil"/>
              <w:right w:val="nil"/>
            </w:tcBorders>
            <w:shd w:val="clear" w:color="auto" w:fill="auto"/>
            <w:vAlign w:val="center"/>
            <w:hideMark/>
          </w:tcPr>
          <w:p w14:paraId="2E42B16D" w14:textId="77777777" w:rsidR="00442310" w:rsidRPr="0075216C" w:rsidRDefault="00442310" w:rsidP="00442310">
            <w:pPr>
              <w:spacing w:after="0"/>
              <w:jc w:val="left"/>
              <w:rPr>
                <w:rFonts w:ascii="Tw Cen MT" w:hAnsi="Tw Cen MT"/>
                <w:sz w:val="20"/>
                <w:szCs w:val="20"/>
              </w:rPr>
            </w:pPr>
            <w:r w:rsidRPr="0075216C">
              <w:rPr>
                <w:rFonts w:ascii="Tw Cen MT" w:hAnsi="Tw Cen MT"/>
                <w:sz w:val="20"/>
                <w:szCs w:val="20"/>
              </w:rPr>
              <w:t>Gouvernement</w:t>
            </w:r>
            <w:r w:rsidRPr="0075216C">
              <w:rPr>
                <w:rFonts w:ascii="Tw Cen MT" w:hAnsi="Tw Cen MT"/>
                <w:sz w:val="20"/>
                <w:szCs w:val="20"/>
              </w:rPr>
              <w:br/>
              <w:t xml:space="preserve">Microfinance </w:t>
            </w:r>
          </w:p>
        </w:tc>
        <w:tc>
          <w:tcPr>
            <w:tcW w:w="1984" w:type="dxa"/>
            <w:tcBorders>
              <w:top w:val="nil"/>
              <w:left w:val="nil"/>
              <w:bottom w:val="nil"/>
              <w:right w:val="single" w:sz="4" w:space="0" w:color="auto"/>
            </w:tcBorders>
            <w:shd w:val="clear" w:color="auto" w:fill="auto"/>
            <w:vAlign w:val="center"/>
            <w:hideMark/>
          </w:tcPr>
          <w:p w14:paraId="4F9D741E" w14:textId="77777777" w:rsidR="00442310" w:rsidRPr="00442310" w:rsidRDefault="00442310" w:rsidP="00442310">
            <w:pPr>
              <w:spacing w:after="0"/>
              <w:jc w:val="left"/>
              <w:rPr>
                <w:rFonts w:ascii="Tw Cen MT" w:hAnsi="Tw Cen MT"/>
                <w:sz w:val="20"/>
                <w:szCs w:val="20"/>
              </w:rPr>
            </w:pPr>
            <w:r w:rsidRPr="00442310">
              <w:rPr>
                <w:rFonts w:ascii="Tw Cen MT" w:hAnsi="Tw Cen MT"/>
                <w:sz w:val="20"/>
                <w:szCs w:val="20"/>
              </w:rPr>
              <w:t>UE (FED</w:t>
            </w:r>
            <w:proofErr w:type="gramStart"/>
            <w:r w:rsidRPr="00442310">
              <w:rPr>
                <w:rFonts w:ascii="Tw Cen MT" w:hAnsi="Tw Cen MT"/>
                <w:sz w:val="20"/>
                <w:szCs w:val="20"/>
              </w:rPr>
              <w:t>)</w:t>
            </w:r>
            <w:proofErr w:type="gramEnd"/>
            <w:r w:rsidRPr="00442310">
              <w:rPr>
                <w:rFonts w:ascii="Tw Cen MT" w:hAnsi="Tw Cen MT"/>
                <w:sz w:val="20"/>
                <w:szCs w:val="20"/>
              </w:rPr>
              <w:br/>
              <w:t>AFD (C2D)/FFEM</w:t>
            </w:r>
            <w:r w:rsidRPr="00442310">
              <w:rPr>
                <w:rFonts w:ascii="Tw Cen MT" w:hAnsi="Tw Cen MT"/>
                <w:sz w:val="20"/>
                <w:szCs w:val="20"/>
              </w:rPr>
              <w:br/>
              <w:t>BAD (FFBC)</w:t>
            </w:r>
            <w:r w:rsidRPr="00442310">
              <w:rPr>
                <w:rFonts w:ascii="Tw Cen MT" w:hAnsi="Tw Cen MT"/>
                <w:sz w:val="20"/>
                <w:szCs w:val="20"/>
              </w:rPr>
              <w:br/>
              <w:t>FIDA (ASAP) / FODI</w:t>
            </w:r>
            <w:r w:rsidRPr="00442310">
              <w:rPr>
                <w:rFonts w:ascii="Tw Cen MT" w:hAnsi="Tw Cen MT"/>
                <w:sz w:val="20"/>
                <w:szCs w:val="20"/>
              </w:rPr>
              <w:br/>
            </w:r>
            <w:r w:rsidRPr="00442310">
              <w:rPr>
                <w:rFonts w:ascii="Tw Cen MT" w:hAnsi="Tw Cen MT"/>
                <w:i/>
                <w:iCs/>
                <w:color w:val="244062"/>
                <w:sz w:val="20"/>
                <w:szCs w:val="20"/>
              </w:rPr>
              <w:t>autres fonds climatiques (FVC, AF, SCCF, FCCA, ICF, IKI)</w:t>
            </w:r>
          </w:p>
        </w:tc>
      </w:tr>
      <w:tr w:rsidR="00442310" w:rsidRPr="00442310" w14:paraId="23BCE361" w14:textId="77777777" w:rsidTr="0075216C">
        <w:trPr>
          <w:trHeight w:val="971"/>
        </w:trPr>
        <w:tc>
          <w:tcPr>
            <w:tcW w:w="993" w:type="dxa"/>
            <w:vMerge/>
            <w:tcBorders>
              <w:top w:val="nil"/>
              <w:left w:val="single" w:sz="4" w:space="0" w:color="auto"/>
              <w:bottom w:val="single" w:sz="4" w:space="0" w:color="auto"/>
              <w:right w:val="nil"/>
            </w:tcBorders>
            <w:vAlign w:val="center"/>
            <w:hideMark/>
          </w:tcPr>
          <w:p w14:paraId="546206F2" w14:textId="77777777" w:rsidR="00442310" w:rsidRPr="00442310" w:rsidRDefault="00442310" w:rsidP="00442310">
            <w:pPr>
              <w:spacing w:after="0"/>
              <w:jc w:val="left"/>
              <w:rPr>
                <w:rFonts w:ascii="Tw Cen MT" w:hAnsi="Tw Cen MT"/>
                <w:b/>
                <w:bCs/>
                <w:color w:val="000000"/>
                <w:sz w:val="20"/>
                <w:szCs w:val="20"/>
              </w:rPr>
            </w:pPr>
          </w:p>
        </w:tc>
        <w:tc>
          <w:tcPr>
            <w:tcW w:w="554" w:type="dxa"/>
            <w:vMerge/>
            <w:tcBorders>
              <w:top w:val="nil"/>
              <w:left w:val="single" w:sz="4" w:space="0" w:color="auto"/>
              <w:bottom w:val="single" w:sz="4" w:space="0" w:color="auto"/>
              <w:right w:val="nil"/>
            </w:tcBorders>
            <w:vAlign w:val="center"/>
            <w:hideMark/>
          </w:tcPr>
          <w:p w14:paraId="4FB16348" w14:textId="77777777" w:rsidR="00442310" w:rsidRPr="00442310" w:rsidRDefault="00442310" w:rsidP="00442310">
            <w:pPr>
              <w:spacing w:after="0"/>
              <w:jc w:val="left"/>
              <w:rPr>
                <w:rFonts w:ascii="Tw Cen MT" w:hAnsi="Tw Cen MT"/>
                <w:color w:val="000000"/>
                <w:sz w:val="20"/>
                <w:szCs w:val="20"/>
              </w:rPr>
            </w:pPr>
          </w:p>
        </w:tc>
        <w:tc>
          <w:tcPr>
            <w:tcW w:w="3698" w:type="dxa"/>
            <w:vMerge/>
            <w:tcBorders>
              <w:top w:val="nil"/>
              <w:left w:val="nil"/>
              <w:bottom w:val="single" w:sz="4" w:space="0" w:color="auto"/>
              <w:right w:val="nil"/>
            </w:tcBorders>
            <w:vAlign w:val="center"/>
            <w:hideMark/>
          </w:tcPr>
          <w:p w14:paraId="633A942D" w14:textId="77777777" w:rsidR="00442310" w:rsidRPr="0075216C" w:rsidRDefault="00442310" w:rsidP="00442310">
            <w:pPr>
              <w:spacing w:after="0"/>
              <w:jc w:val="left"/>
              <w:rPr>
                <w:rFonts w:ascii="Tw Cen MT" w:hAnsi="Tw Cen MT"/>
                <w:sz w:val="20"/>
                <w:szCs w:val="20"/>
              </w:rPr>
            </w:pPr>
          </w:p>
        </w:tc>
        <w:tc>
          <w:tcPr>
            <w:tcW w:w="4394" w:type="dxa"/>
            <w:tcBorders>
              <w:top w:val="nil"/>
              <w:left w:val="nil"/>
              <w:bottom w:val="single" w:sz="4" w:space="0" w:color="auto"/>
              <w:right w:val="nil"/>
            </w:tcBorders>
            <w:shd w:val="clear" w:color="auto" w:fill="auto"/>
            <w:vAlign w:val="center"/>
            <w:hideMark/>
          </w:tcPr>
          <w:p w14:paraId="59536613" w14:textId="77777777" w:rsidR="00442310" w:rsidRPr="0075216C" w:rsidRDefault="00442310" w:rsidP="00442310">
            <w:pPr>
              <w:spacing w:after="0"/>
              <w:jc w:val="left"/>
              <w:rPr>
                <w:rFonts w:ascii="Tw Cen MT" w:hAnsi="Tw Cen MT"/>
                <w:sz w:val="20"/>
                <w:szCs w:val="20"/>
              </w:rPr>
            </w:pPr>
            <w:r w:rsidRPr="0075216C">
              <w:rPr>
                <w:rFonts w:ascii="Tw Cen MT" w:hAnsi="Tw Cen MT"/>
                <w:sz w:val="20"/>
                <w:szCs w:val="20"/>
              </w:rPr>
              <w:t>Développer l'hévéaculture en zone de savane</w:t>
            </w:r>
          </w:p>
        </w:tc>
        <w:tc>
          <w:tcPr>
            <w:tcW w:w="1985" w:type="dxa"/>
            <w:tcBorders>
              <w:top w:val="nil"/>
              <w:left w:val="nil"/>
              <w:bottom w:val="single" w:sz="4" w:space="0" w:color="auto"/>
              <w:right w:val="nil"/>
            </w:tcBorders>
            <w:shd w:val="clear" w:color="auto" w:fill="auto"/>
            <w:noWrap/>
            <w:vAlign w:val="center"/>
            <w:hideMark/>
          </w:tcPr>
          <w:p w14:paraId="6F7FDE09" w14:textId="77777777" w:rsidR="00442310" w:rsidRPr="0075216C" w:rsidRDefault="00442310" w:rsidP="00442310">
            <w:pPr>
              <w:spacing w:after="0"/>
              <w:jc w:val="left"/>
              <w:rPr>
                <w:rFonts w:ascii="Tw Cen MT" w:hAnsi="Tw Cen MT"/>
                <w:sz w:val="20"/>
                <w:szCs w:val="20"/>
              </w:rPr>
            </w:pPr>
            <w:r w:rsidRPr="0075216C">
              <w:rPr>
                <w:rFonts w:ascii="Tw Cen MT" w:hAnsi="Tw Cen MT"/>
                <w:sz w:val="20"/>
                <w:szCs w:val="20"/>
              </w:rPr>
              <w:t>Gouvernement (PPP)</w:t>
            </w:r>
          </w:p>
        </w:tc>
        <w:tc>
          <w:tcPr>
            <w:tcW w:w="1984" w:type="dxa"/>
            <w:tcBorders>
              <w:top w:val="nil"/>
              <w:left w:val="nil"/>
              <w:bottom w:val="single" w:sz="4" w:space="0" w:color="auto"/>
              <w:right w:val="single" w:sz="4" w:space="0" w:color="auto"/>
            </w:tcBorders>
            <w:shd w:val="clear" w:color="auto" w:fill="auto"/>
            <w:vAlign w:val="center"/>
            <w:hideMark/>
          </w:tcPr>
          <w:p w14:paraId="1775F822" w14:textId="62FC1CEE" w:rsidR="00442310" w:rsidRPr="00442310" w:rsidRDefault="00BA65C9" w:rsidP="00442310">
            <w:pPr>
              <w:spacing w:after="0"/>
              <w:jc w:val="left"/>
              <w:rPr>
                <w:rFonts w:ascii="Tw Cen MT" w:hAnsi="Tw Cen MT"/>
                <w:sz w:val="20"/>
                <w:szCs w:val="20"/>
              </w:rPr>
            </w:pPr>
            <w:r>
              <w:rPr>
                <w:rFonts w:ascii="Tw Cen MT" w:hAnsi="Tw Cen MT"/>
                <w:sz w:val="20"/>
                <w:szCs w:val="20"/>
              </w:rPr>
              <w:t>IED</w:t>
            </w:r>
            <w:r w:rsidR="00442310" w:rsidRPr="00442310">
              <w:rPr>
                <w:rFonts w:ascii="Tw Cen MT" w:hAnsi="Tw Cen MT"/>
                <w:sz w:val="20"/>
                <w:szCs w:val="20"/>
              </w:rPr>
              <w:t xml:space="preserve"> (appui IFI</w:t>
            </w:r>
            <w:proofErr w:type="gramStart"/>
            <w:r w:rsidR="00442310" w:rsidRPr="00442310">
              <w:rPr>
                <w:rFonts w:ascii="Tw Cen MT" w:hAnsi="Tw Cen MT"/>
                <w:sz w:val="20"/>
                <w:szCs w:val="20"/>
              </w:rPr>
              <w:t>)</w:t>
            </w:r>
            <w:proofErr w:type="gramEnd"/>
            <w:r w:rsidR="00442310" w:rsidRPr="00442310">
              <w:rPr>
                <w:rFonts w:ascii="Tw Cen MT" w:hAnsi="Tw Cen MT"/>
                <w:sz w:val="20"/>
                <w:szCs w:val="20"/>
              </w:rPr>
              <w:br/>
              <w:t>BM (PADE/PFDE)</w:t>
            </w:r>
            <w:r w:rsidR="00442310" w:rsidRPr="00442310">
              <w:rPr>
                <w:rFonts w:ascii="Tw Cen MT" w:hAnsi="Tw Cen MT"/>
                <w:sz w:val="20"/>
                <w:szCs w:val="20"/>
              </w:rPr>
              <w:br/>
              <w:t>BDEAC</w:t>
            </w:r>
          </w:p>
        </w:tc>
      </w:tr>
      <w:tr w:rsidR="00442310" w:rsidRPr="00442310" w14:paraId="2E5F3C42" w14:textId="77777777" w:rsidTr="0075216C">
        <w:trPr>
          <w:trHeight w:val="1710"/>
        </w:trPr>
        <w:tc>
          <w:tcPr>
            <w:tcW w:w="993" w:type="dxa"/>
            <w:vMerge/>
            <w:tcBorders>
              <w:top w:val="nil"/>
              <w:left w:val="single" w:sz="4" w:space="0" w:color="auto"/>
              <w:bottom w:val="single" w:sz="4" w:space="0" w:color="auto"/>
              <w:right w:val="nil"/>
            </w:tcBorders>
            <w:vAlign w:val="center"/>
            <w:hideMark/>
          </w:tcPr>
          <w:p w14:paraId="206BCE77" w14:textId="77777777" w:rsidR="00442310" w:rsidRPr="00442310" w:rsidRDefault="00442310" w:rsidP="00442310">
            <w:pPr>
              <w:spacing w:after="0"/>
              <w:jc w:val="left"/>
              <w:rPr>
                <w:rFonts w:ascii="Tw Cen MT" w:hAnsi="Tw Cen MT"/>
                <w:b/>
                <w:bCs/>
                <w:color w:val="000000"/>
                <w:sz w:val="20"/>
                <w:szCs w:val="20"/>
              </w:rPr>
            </w:pPr>
          </w:p>
        </w:tc>
        <w:tc>
          <w:tcPr>
            <w:tcW w:w="554" w:type="dxa"/>
            <w:tcBorders>
              <w:top w:val="single" w:sz="4" w:space="0" w:color="auto"/>
              <w:left w:val="single" w:sz="4" w:space="0" w:color="auto"/>
              <w:bottom w:val="single" w:sz="4" w:space="0" w:color="auto"/>
              <w:right w:val="nil"/>
            </w:tcBorders>
            <w:shd w:val="clear" w:color="auto" w:fill="auto"/>
            <w:noWrap/>
            <w:vAlign w:val="center"/>
            <w:hideMark/>
          </w:tcPr>
          <w:p w14:paraId="62DC76FB" w14:textId="77777777" w:rsidR="00442310" w:rsidRPr="00442310" w:rsidRDefault="00442310" w:rsidP="00442310">
            <w:pPr>
              <w:spacing w:after="0"/>
              <w:jc w:val="center"/>
              <w:rPr>
                <w:rFonts w:ascii="Tw Cen MT" w:hAnsi="Tw Cen MT"/>
                <w:sz w:val="20"/>
                <w:szCs w:val="20"/>
              </w:rPr>
            </w:pPr>
            <w:r w:rsidRPr="00442310">
              <w:rPr>
                <w:rFonts w:ascii="Tw Cen MT" w:hAnsi="Tw Cen MT"/>
                <w:sz w:val="20"/>
                <w:szCs w:val="20"/>
              </w:rPr>
              <w:t>313</w:t>
            </w:r>
          </w:p>
        </w:tc>
        <w:tc>
          <w:tcPr>
            <w:tcW w:w="3698" w:type="dxa"/>
            <w:tcBorders>
              <w:top w:val="single" w:sz="4" w:space="0" w:color="auto"/>
              <w:left w:val="nil"/>
              <w:bottom w:val="single" w:sz="4" w:space="0" w:color="auto"/>
              <w:right w:val="nil"/>
            </w:tcBorders>
            <w:shd w:val="clear" w:color="auto" w:fill="auto"/>
            <w:vAlign w:val="center"/>
            <w:hideMark/>
          </w:tcPr>
          <w:p w14:paraId="3ECD6D86" w14:textId="401146D8" w:rsidR="00442310" w:rsidRPr="00442310" w:rsidRDefault="0075216C" w:rsidP="00442310">
            <w:pPr>
              <w:spacing w:after="0"/>
              <w:jc w:val="left"/>
              <w:rPr>
                <w:rFonts w:ascii="Tw Cen MT" w:hAnsi="Tw Cen MT"/>
                <w:sz w:val="20"/>
                <w:szCs w:val="20"/>
              </w:rPr>
            </w:pPr>
            <w:r>
              <w:rPr>
                <w:rFonts w:ascii="Tw Cen MT" w:hAnsi="Tw Cen MT"/>
                <w:sz w:val="20"/>
                <w:szCs w:val="20"/>
              </w:rPr>
              <w:t>Développement du palmier à h</w:t>
            </w:r>
            <w:r w:rsidR="00442310" w:rsidRPr="00442310">
              <w:rPr>
                <w:rFonts w:ascii="Tw Cen MT" w:hAnsi="Tw Cen MT"/>
                <w:sz w:val="20"/>
                <w:szCs w:val="20"/>
              </w:rPr>
              <w:t>uile dans les zones savanicoles</w:t>
            </w:r>
          </w:p>
        </w:tc>
        <w:tc>
          <w:tcPr>
            <w:tcW w:w="4394" w:type="dxa"/>
            <w:tcBorders>
              <w:top w:val="single" w:sz="4" w:space="0" w:color="auto"/>
              <w:left w:val="nil"/>
              <w:bottom w:val="single" w:sz="4" w:space="0" w:color="auto"/>
              <w:right w:val="nil"/>
            </w:tcBorders>
            <w:shd w:val="clear" w:color="auto" w:fill="auto"/>
            <w:vAlign w:val="center"/>
            <w:hideMark/>
          </w:tcPr>
          <w:p w14:paraId="69EF8E8F" w14:textId="77777777" w:rsidR="00442310" w:rsidRPr="00442310" w:rsidRDefault="00442310" w:rsidP="00442310">
            <w:pPr>
              <w:spacing w:after="0"/>
              <w:jc w:val="left"/>
              <w:rPr>
                <w:rFonts w:ascii="Tw Cen MT" w:hAnsi="Tw Cen MT"/>
                <w:sz w:val="20"/>
                <w:szCs w:val="20"/>
              </w:rPr>
            </w:pPr>
            <w:r w:rsidRPr="00442310">
              <w:rPr>
                <w:rFonts w:ascii="Tw Cen MT" w:hAnsi="Tw Cen MT"/>
                <w:sz w:val="20"/>
                <w:szCs w:val="20"/>
              </w:rPr>
              <w:t>Développer la production d'huile de palme en savane</w:t>
            </w:r>
          </w:p>
        </w:tc>
        <w:tc>
          <w:tcPr>
            <w:tcW w:w="1985" w:type="dxa"/>
            <w:tcBorders>
              <w:top w:val="single" w:sz="4" w:space="0" w:color="auto"/>
              <w:left w:val="nil"/>
              <w:bottom w:val="single" w:sz="4" w:space="0" w:color="auto"/>
              <w:right w:val="nil"/>
            </w:tcBorders>
            <w:shd w:val="clear" w:color="auto" w:fill="auto"/>
            <w:noWrap/>
            <w:vAlign w:val="center"/>
            <w:hideMark/>
          </w:tcPr>
          <w:p w14:paraId="263CFED5" w14:textId="77777777" w:rsidR="00442310" w:rsidRPr="00442310" w:rsidRDefault="00442310" w:rsidP="00442310">
            <w:pPr>
              <w:spacing w:after="0"/>
              <w:jc w:val="left"/>
              <w:rPr>
                <w:rFonts w:ascii="Tw Cen MT" w:hAnsi="Tw Cen MT"/>
                <w:sz w:val="20"/>
                <w:szCs w:val="20"/>
              </w:rPr>
            </w:pPr>
            <w:r w:rsidRPr="00442310">
              <w:rPr>
                <w:rFonts w:ascii="Tw Cen MT" w:hAnsi="Tw Cen MT"/>
                <w:sz w:val="20"/>
                <w:szCs w:val="20"/>
              </w:rPr>
              <w:t>Gouvernement (PPP)</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D090706" w14:textId="71240FA2" w:rsidR="00442310" w:rsidRPr="00442310" w:rsidRDefault="00BA65C9" w:rsidP="00442310">
            <w:pPr>
              <w:spacing w:after="0"/>
              <w:jc w:val="left"/>
              <w:rPr>
                <w:rFonts w:ascii="Tw Cen MT" w:hAnsi="Tw Cen MT"/>
                <w:sz w:val="20"/>
                <w:szCs w:val="20"/>
              </w:rPr>
            </w:pPr>
            <w:r>
              <w:rPr>
                <w:rFonts w:ascii="Tw Cen MT" w:hAnsi="Tw Cen MT"/>
                <w:sz w:val="20"/>
                <w:szCs w:val="20"/>
              </w:rPr>
              <w:t>IED</w:t>
            </w:r>
            <w:r w:rsidR="00442310" w:rsidRPr="00442310">
              <w:rPr>
                <w:rFonts w:ascii="Tw Cen MT" w:hAnsi="Tw Cen MT"/>
                <w:sz w:val="20"/>
                <w:szCs w:val="20"/>
              </w:rPr>
              <w:t xml:space="preserve"> (appui IFI</w:t>
            </w:r>
            <w:proofErr w:type="gramStart"/>
            <w:r w:rsidR="00442310" w:rsidRPr="00442310">
              <w:rPr>
                <w:rFonts w:ascii="Tw Cen MT" w:hAnsi="Tw Cen MT"/>
                <w:sz w:val="20"/>
                <w:szCs w:val="20"/>
              </w:rPr>
              <w:t>)</w:t>
            </w:r>
            <w:proofErr w:type="gramEnd"/>
            <w:r w:rsidR="00442310" w:rsidRPr="00442310">
              <w:rPr>
                <w:rFonts w:ascii="Tw Cen MT" w:hAnsi="Tw Cen MT"/>
                <w:sz w:val="20"/>
                <w:szCs w:val="20"/>
              </w:rPr>
              <w:br/>
              <w:t>BDEAC</w:t>
            </w:r>
            <w:r w:rsidR="00442310" w:rsidRPr="00442310">
              <w:rPr>
                <w:rFonts w:ascii="Tw Cen MT" w:hAnsi="Tw Cen MT"/>
                <w:sz w:val="20"/>
                <w:szCs w:val="20"/>
              </w:rPr>
              <w:br/>
              <w:t>BM (PADE/PFDE)</w:t>
            </w:r>
            <w:r w:rsidR="00442310" w:rsidRPr="00442310">
              <w:rPr>
                <w:rFonts w:ascii="Tw Cen MT" w:hAnsi="Tw Cen MT"/>
                <w:sz w:val="20"/>
                <w:szCs w:val="20"/>
              </w:rPr>
              <w:br/>
              <w:t>GIZ</w:t>
            </w:r>
            <w:r w:rsidR="00442310" w:rsidRPr="00442310">
              <w:rPr>
                <w:rFonts w:ascii="Tw Cen MT" w:hAnsi="Tw Cen MT"/>
                <w:sz w:val="20"/>
                <w:szCs w:val="20"/>
              </w:rPr>
              <w:br/>
              <w:t>Fondations privées (Moore)</w:t>
            </w:r>
          </w:p>
        </w:tc>
      </w:tr>
      <w:tr w:rsidR="00442310" w:rsidRPr="00442310" w14:paraId="5EB68D4E" w14:textId="77777777" w:rsidTr="0075216C">
        <w:trPr>
          <w:trHeight w:val="959"/>
        </w:trPr>
        <w:tc>
          <w:tcPr>
            <w:tcW w:w="993" w:type="dxa"/>
            <w:vMerge w:val="restart"/>
            <w:tcBorders>
              <w:top w:val="single" w:sz="4" w:space="0" w:color="auto"/>
              <w:left w:val="single" w:sz="4" w:space="0" w:color="auto"/>
              <w:bottom w:val="single" w:sz="4" w:space="0" w:color="auto"/>
              <w:right w:val="nil"/>
            </w:tcBorders>
            <w:shd w:val="clear" w:color="000000" w:fill="B8CCE4"/>
            <w:textDirection w:val="btLr"/>
            <w:vAlign w:val="center"/>
            <w:hideMark/>
          </w:tcPr>
          <w:p w14:paraId="169789F8" w14:textId="77777777" w:rsidR="00442310" w:rsidRPr="00442310" w:rsidRDefault="00442310" w:rsidP="00442310">
            <w:pPr>
              <w:spacing w:after="0"/>
              <w:jc w:val="center"/>
              <w:rPr>
                <w:rFonts w:ascii="Tw Cen MT" w:hAnsi="Tw Cen MT"/>
                <w:b/>
                <w:bCs/>
                <w:color w:val="000000"/>
                <w:sz w:val="20"/>
                <w:szCs w:val="20"/>
              </w:rPr>
            </w:pPr>
            <w:r w:rsidRPr="00442310">
              <w:rPr>
                <w:rFonts w:ascii="Tw Cen MT" w:hAnsi="Tw Cen MT"/>
                <w:b/>
                <w:bCs/>
                <w:color w:val="000000"/>
                <w:sz w:val="20"/>
                <w:szCs w:val="20"/>
              </w:rPr>
              <w:t>SO 3.2 Accès des petits producteurs au micro-crédit</w:t>
            </w:r>
          </w:p>
        </w:tc>
        <w:tc>
          <w:tcPr>
            <w:tcW w:w="554" w:type="dxa"/>
            <w:tcBorders>
              <w:top w:val="nil"/>
              <w:left w:val="single" w:sz="4" w:space="0" w:color="auto"/>
              <w:bottom w:val="single" w:sz="4" w:space="0" w:color="auto"/>
              <w:right w:val="nil"/>
            </w:tcBorders>
            <w:shd w:val="clear" w:color="000000" w:fill="F2F2F2"/>
            <w:noWrap/>
            <w:vAlign w:val="center"/>
            <w:hideMark/>
          </w:tcPr>
          <w:p w14:paraId="4E94A857"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321</w:t>
            </w:r>
          </w:p>
        </w:tc>
        <w:tc>
          <w:tcPr>
            <w:tcW w:w="3698" w:type="dxa"/>
            <w:tcBorders>
              <w:top w:val="nil"/>
              <w:left w:val="nil"/>
              <w:bottom w:val="single" w:sz="4" w:space="0" w:color="auto"/>
              <w:right w:val="nil"/>
            </w:tcBorders>
            <w:shd w:val="clear" w:color="000000" w:fill="F2F2F2"/>
            <w:vAlign w:val="center"/>
            <w:hideMark/>
          </w:tcPr>
          <w:p w14:paraId="380AE2C1"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 xml:space="preserve">Sensibilisation des petits producteurs sur les possibilités des structures bancaires pour l'appui aux </w:t>
            </w:r>
            <w:proofErr w:type="spellStart"/>
            <w:r w:rsidRPr="00442310">
              <w:rPr>
                <w:rFonts w:ascii="Tw Cen MT" w:hAnsi="Tw Cen MT"/>
                <w:color w:val="808080"/>
                <w:sz w:val="20"/>
                <w:szCs w:val="20"/>
              </w:rPr>
              <w:t>VoirE</w:t>
            </w:r>
            <w:proofErr w:type="spellEnd"/>
          </w:p>
        </w:tc>
        <w:tc>
          <w:tcPr>
            <w:tcW w:w="4394" w:type="dxa"/>
            <w:tcBorders>
              <w:top w:val="nil"/>
              <w:left w:val="nil"/>
              <w:bottom w:val="single" w:sz="4" w:space="0" w:color="auto"/>
              <w:right w:val="nil"/>
            </w:tcBorders>
            <w:shd w:val="clear" w:color="000000" w:fill="F2F2F2"/>
            <w:vAlign w:val="center"/>
            <w:hideMark/>
          </w:tcPr>
          <w:p w14:paraId="14A9D517"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w:t>
            </w:r>
          </w:p>
        </w:tc>
        <w:tc>
          <w:tcPr>
            <w:tcW w:w="3969" w:type="dxa"/>
            <w:gridSpan w:val="2"/>
            <w:tcBorders>
              <w:top w:val="nil"/>
              <w:left w:val="nil"/>
              <w:bottom w:val="single" w:sz="4" w:space="0" w:color="auto"/>
              <w:right w:val="single" w:sz="4" w:space="0" w:color="000000"/>
            </w:tcBorders>
            <w:shd w:val="clear" w:color="000000" w:fill="F2F2F2"/>
            <w:vAlign w:val="center"/>
            <w:hideMark/>
          </w:tcPr>
          <w:p w14:paraId="52609810"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 xml:space="preserve">Activité couverte par 311 et 312 </w:t>
            </w:r>
          </w:p>
        </w:tc>
      </w:tr>
      <w:tr w:rsidR="00442310" w:rsidRPr="00442310" w14:paraId="4B52BE15" w14:textId="77777777" w:rsidTr="0075216C">
        <w:trPr>
          <w:trHeight w:val="1140"/>
        </w:trPr>
        <w:tc>
          <w:tcPr>
            <w:tcW w:w="993" w:type="dxa"/>
            <w:vMerge/>
            <w:tcBorders>
              <w:top w:val="nil"/>
              <w:left w:val="single" w:sz="4" w:space="0" w:color="auto"/>
              <w:bottom w:val="single" w:sz="4" w:space="0" w:color="auto"/>
              <w:right w:val="nil"/>
            </w:tcBorders>
            <w:vAlign w:val="center"/>
            <w:hideMark/>
          </w:tcPr>
          <w:p w14:paraId="1C57CDF8" w14:textId="77777777" w:rsidR="00442310" w:rsidRPr="00442310" w:rsidRDefault="00442310" w:rsidP="00442310">
            <w:pPr>
              <w:spacing w:after="0"/>
              <w:jc w:val="left"/>
              <w:rPr>
                <w:rFonts w:ascii="Tw Cen MT" w:hAnsi="Tw Cen MT"/>
                <w:b/>
                <w:bCs/>
                <w:color w:val="000000"/>
                <w:sz w:val="20"/>
                <w:szCs w:val="20"/>
              </w:rPr>
            </w:pPr>
          </w:p>
        </w:tc>
        <w:tc>
          <w:tcPr>
            <w:tcW w:w="554" w:type="dxa"/>
            <w:tcBorders>
              <w:top w:val="nil"/>
              <w:left w:val="single" w:sz="4" w:space="0" w:color="auto"/>
              <w:bottom w:val="single" w:sz="4" w:space="0" w:color="auto"/>
              <w:right w:val="nil"/>
            </w:tcBorders>
            <w:shd w:val="clear" w:color="000000" w:fill="F2F2F2"/>
            <w:noWrap/>
            <w:vAlign w:val="center"/>
            <w:hideMark/>
          </w:tcPr>
          <w:p w14:paraId="6F855465"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322</w:t>
            </w:r>
          </w:p>
        </w:tc>
        <w:tc>
          <w:tcPr>
            <w:tcW w:w="3698" w:type="dxa"/>
            <w:tcBorders>
              <w:top w:val="nil"/>
              <w:left w:val="nil"/>
              <w:bottom w:val="single" w:sz="4" w:space="0" w:color="auto"/>
              <w:right w:val="nil"/>
            </w:tcBorders>
            <w:shd w:val="clear" w:color="000000" w:fill="F2F2F2"/>
            <w:vAlign w:val="center"/>
            <w:hideMark/>
          </w:tcPr>
          <w:p w14:paraId="69039476"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Appui des petits producteurs à l'élaboration des dossiers de demande de financement et à l'accès à ces financements</w:t>
            </w:r>
          </w:p>
        </w:tc>
        <w:tc>
          <w:tcPr>
            <w:tcW w:w="4394" w:type="dxa"/>
            <w:tcBorders>
              <w:top w:val="nil"/>
              <w:left w:val="nil"/>
              <w:bottom w:val="single" w:sz="4" w:space="0" w:color="auto"/>
              <w:right w:val="nil"/>
            </w:tcBorders>
            <w:shd w:val="clear" w:color="000000" w:fill="F2F2F2"/>
            <w:vAlign w:val="center"/>
            <w:hideMark/>
          </w:tcPr>
          <w:p w14:paraId="496350C1"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w:t>
            </w:r>
          </w:p>
        </w:tc>
        <w:tc>
          <w:tcPr>
            <w:tcW w:w="3969" w:type="dxa"/>
            <w:gridSpan w:val="2"/>
            <w:tcBorders>
              <w:top w:val="nil"/>
              <w:left w:val="nil"/>
              <w:bottom w:val="single" w:sz="4" w:space="0" w:color="auto"/>
              <w:right w:val="single" w:sz="4" w:space="0" w:color="000000"/>
            </w:tcBorders>
            <w:shd w:val="clear" w:color="000000" w:fill="F2F2F2"/>
            <w:vAlign w:val="center"/>
            <w:hideMark/>
          </w:tcPr>
          <w:p w14:paraId="021DC672"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 xml:space="preserve">Activité couverte par 311 et 312 </w:t>
            </w:r>
          </w:p>
        </w:tc>
      </w:tr>
      <w:tr w:rsidR="00442310" w:rsidRPr="00442310" w14:paraId="0A9E79A0" w14:textId="77777777" w:rsidTr="0075216C">
        <w:trPr>
          <w:trHeight w:val="1117"/>
        </w:trPr>
        <w:tc>
          <w:tcPr>
            <w:tcW w:w="993" w:type="dxa"/>
            <w:vMerge w:val="restart"/>
            <w:tcBorders>
              <w:top w:val="single" w:sz="4" w:space="0" w:color="auto"/>
              <w:left w:val="single" w:sz="4" w:space="0" w:color="auto"/>
              <w:bottom w:val="single" w:sz="4" w:space="0" w:color="auto"/>
              <w:right w:val="nil"/>
            </w:tcBorders>
            <w:shd w:val="clear" w:color="000000" w:fill="B8CCE4"/>
            <w:textDirection w:val="btLr"/>
            <w:vAlign w:val="center"/>
            <w:hideMark/>
          </w:tcPr>
          <w:p w14:paraId="40530E16" w14:textId="77777777" w:rsidR="00442310" w:rsidRPr="00442310" w:rsidRDefault="00442310" w:rsidP="00442310">
            <w:pPr>
              <w:spacing w:after="0"/>
              <w:jc w:val="center"/>
              <w:rPr>
                <w:rFonts w:ascii="Tw Cen MT" w:hAnsi="Tw Cen MT"/>
                <w:b/>
                <w:bCs/>
                <w:color w:val="000000"/>
                <w:sz w:val="20"/>
                <w:szCs w:val="20"/>
              </w:rPr>
            </w:pPr>
            <w:r w:rsidRPr="00442310">
              <w:rPr>
                <w:rFonts w:ascii="Tw Cen MT" w:hAnsi="Tw Cen MT"/>
                <w:b/>
                <w:bCs/>
                <w:color w:val="000000"/>
                <w:sz w:val="20"/>
                <w:szCs w:val="20"/>
              </w:rPr>
              <w:t>SO 3.3 Soutien à l'organisation de la profession</w:t>
            </w:r>
          </w:p>
        </w:tc>
        <w:tc>
          <w:tcPr>
            <w:tcW w:w="554" w:type="dxa"/>
            <w:tcBorders>
              <w:top w:val="nil"/>
              <w:left w:val="single" w:sz="4" w:space="0" w:color="auto"/>
              <w:bottom w:val="single" w:sz="4" w:space="0" w:color="auto"/>
              <w:right w:val="nil"/>
            </w:tcBorders>
            <w:shd w:val="clear" w:color="000000" w:fill="F2F2F2"/>
            <w:noWrap/>
            <w:vAlign w:val="center"/>
            <w:hideMark/>
          </w:tcPr>
          <w:p w14:paraId="4D504665"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331</w:t>
            </w:r>
          </w:p>
        </w:tc>
        <w:tc>
          <w:tcPr>
            <w:tcW w:w="3698" w:type="dxa"/>
            <w:tcBorders>
              <w:top w:val="nil"/>
              <w:left w:val="nil"/>
              <w:bottom w:val="single" w:sz="4" w:space="0" w:color="auto"/>
              <w:right w:val="nil"/>
            </w:tcBorders>
            <w:shd w:val="clear" w:color="000000" w:fill="F2F2F2"/>
            <w:vAlign w:val="center"/>
            <w:hideMark/>
          </w:tcPr>
          <w:p w14:paraId="1BA979D1"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 xml:space="preserve">Organisation des producteurs agricoles en groupement </w:t>
            </w:r>
            <w:proofErr w:type="spellStart"/>
            <w:r w:rsidRPr="00442310">
              <w:rPr>
                <w:rFonts w:ascii="Tw Cen MT" w:hAnsi="Tw Cen MT"/>
                <w:color w:val="808080"/>
                <w:sz w:val="20"/>
                <w:szCs w:val="20"/>
              </w:rPr>
              <w:t>précoopératif</w:t>
            </w:r>
            <w:proofErr w:type="spellEnd"/>
            <w:r w:rsidRPr="00442310">
              <w:rPr>
                <w:rFonts w:ascii="Tw Cen MT" w:hAnsi="Tw Cen MT"/>
                <w:color w:val="808080"/>
                <w:sz w:val="20"/>
                <w:szCs w:val="20"/>
              </w:rPr>
              <w:t>, coopérative, groupement d'intérêt économique et social</w:t>
            </w:r>
          </w:p>
        </w:tc>
        <w:tc>
          <w:tcPr>
            <w:tcW w:w="4394" w:type="dxa"/>
            <w:tcBorders>
              <w:top w:val="nil"/>
              <w:left w:val="nil"/>
              <w:bottom w:val="single" w:sz="4" w:space="0" w:color="auto"/>
              <w:right w:val="nil"/>
            </w:tcBorders>
            <w:shd w:val="clear" w:color="000000" w:fill="F2F2F2"/>
            <w:vAlign w:val="center"/>
            <w:hideMark/>
          </w:tcPr>
          <w:p w14:paraId="4FB31AB2"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w:t>
            </w:r>
          </w:p>
        </w:tc>
        <w:tc>
          <w:tcPr>
            <w:tcW w:w="3969" w:type="dxa"/>
            <w:gridSpan w:val="2"/>
            <w:tcBorders>
              <w:top w:val="single" w:sz="4" w:space="0" w:color="auto"/>
              <w:left w:val="nil"/>
              <w:bottom w:val="single" w:sz="4" w:space="0" w:color="auto"/>
              <w:right w:val="single" w:sz="4" w:space="0" w:color="000000"/>
            </w:tcBorders>
            <w:shd w:val="clear" w:color="000000" w:fill="F2F2F2"/>
            <w:vAlign w:val="center"/>
            <w:hideMark/>
          </w:tcPr>
          <w:p w14:paraId="2513FB5A"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Activité couverte par 311 et 312</w:t>
            </w:r>
          </w:p>
        </w:tc>
      </w:tr>
      <w:tr w:rsidR="00442310" w:rsidRPr="00442310" w14:paraId="22AFAA79" w14:textId="77777777" w:rsidTr="0075216C">
        <w:trPr>
          <w:trHeight w:val="1091"/>
        </w:trPr>
        <w:tc>
          <w:tcPr>
            <w:tcW w:w="993" w:type="dxa"/>
            <w:vMerge/>
            <w:tcBorders>
              <w:top w:val="single" w:sz="4" w:space="0" w:color="auto"/>
              <w:left w:val="single" w:sz="4" w:space="0" w:color="auto"/>
              <w:bottom w:val="single" w:sz="4" w:space="0" w:color="auto"/>
              <w:right w:val="nil"/>
            </w:tcBorders>
            <w:vAlign w:val="center"/>
            <w:hideMark/>
          </w:tcPr>
          <w:p w14:paraId="7CAC9F00" w14:textId="77777777" w:rsidR="00442310" w:rsidRPr="00442310" w:rsidRDefault="00442310" w:rsidP="00442310">
            <w:pPr>
              <w:spacing w:after="0"/>
              <w:jc w:val="left"/>
              <w:rPr>
                <w:rFonts w:ascii="Tw Cen MT" w:hAnsi="Tw Cen MT"/>
                <w:b/>
                <w:bCs/>
                <w:color w:val="000000"/>
                <w:sz w:val="20"/>
                <w:szCs w:val="20"/>
              </w:rPr>
            </w:pPr>
          </w:p>
        </w:tc>
        <w:tc>
          <w:tcPr>
            <w:tcW w:w="554" w:type="dxa"/>
            <w:tcBorders>
              <w:top w:val="nil"/>
              <w:left w:val="single" w:sz="4" w:space="0" w:color="auto"/>
              <w:bottom w:val="single" w:sz="4" w:space="0" w:color="auto"/>
              <w:right w:val="nil"/>
            </w:tcBorders>
            <w:shd w:val="clear" w:color="000000" w:fill="F2F2F2"/>
            <w:noWrap/>
            <w:vAlign w:val="center"/>
            <w:hideMark/>
          </w:tcPr>
          <w:p w14:paraId="055CC5D4"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332</w:t>
            </w:r>
          </w:p>
        </w:tc>
        <w:tc>
          <w:tcPr>
            <w:tcW w:w="3698" w:type="dxa"/>
            <w:tcBorders>
              <w:top w:val="nil"/>
              <w:left w:val="nil"/>
              <w:bottom w:val="single" w:sz="4" w:space="0" w:color="auto"/>
              <w:right w:val="nil"/>
            </w:tcBorders>
            <w:shd w:val="clear" w:color="000000" w:fill="F2F2F2"/>
            <w:vAlign w:val="center"/>
            <w:hideMark/>
          </w:tcPr>
          <w:p w14:paraId="531E0F2F"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Formation des producteurs agricoles organisés en groupement d'intérêt économique et social</w:t>
            </w:r>
          </w:p>
        </w:tc>
        <w:tc>
          <w:tcPr>
            <w:tcW w:w="4394" w:type="dxa"/>
            <w:tcBorders>
              <w:top w:val="nil"/>
              <w:left w:val="nil"/>
              <w:bottom w:val="single" w:sz="4" w:space="0" w:color="auto"/>
              <w:right w:val="nil"/>
            </w:tcBorders>
            <w:shd w:val="clear" w:color="000000" w:fill="F2F2F2"/>
            <w:vAlign w:val="center"/>
            <w:hideMark/>
          </w:tcPr>
          <w:p w14:paraId="43396E9E"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w:t>
            </w:r>
          </w:p>
        </w:tc>
        <w:tc>
          <w:tcPr>
            <w:tcW w:w="3969" w:type="dxa"/>
            <w:gridSpan w:val="2"/>
            <w:tcBorders>
              <w:top w:val="single" w:sz="4" w:space="0" w:color="auto"/>
              <w:left w:val="nil"/>
              <w:bottom w:val="single" w:sz="4" w:space="0" w:color="auto"/>
              <w:right w:val="single" w:sz="4" w:space="0" w:color="000000"/>
            </w:tcBorders>
            <w:shd w:val="clear" w:color="000000" w:fill="F2F2F2"/>
            <w:vAlign w:val="center"/>
            <w:hideMark/>
          </w:tcPr>
          <w:p w14:paraId="0D55767F"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Activité couverte par 311 et 312</w:t>
            </w:r>
          </w:p>
        </w:tc>
      </w:tr>
      <w:tr w:rsidR="00442310" w:rsidRPr="00442310" w14:paraId="53967B54" w14:textId="77777777" w:rsidTr="0075216C">
        <w:trPr>
          <w:trHeight w:val="1434"/>
        </w:trPr>
        <w:tc>
          <w:tcPr>
            <w:tcW w:w="993" w:type="dxa"/>
            <w:vMerge/>
            <w:tcBorders>
              <w:top w:val="single" w:sz="4" w:space="0" w:color="auto"/>
              <w:left w:val="single" w:sz="4" w:space="0" w:color="auto"/>
              <w:bottom w:val="single" w:sz="4" w:space="0" w:color="auto"/>
              <w:right w:val="nil"/>
            </w:tcBorders>
            <w:vAlign w:val="center"/>
            <w:hideMark/>
          </w:tcPr>
          <w:p w14:paraId="482BB09C" w14:textId="77777777" w:rsidR="00442310" w:rsidRPr="00442310" w:rsidRDefault="00442310" w:rsidP="00442310">
            <w:pPr>
              <w:spacing w:after="0"/>
              <w:jc w:val="left"/>
              <w:rPr>
                <w:rFonts w:ascii="Tw Cen MT" w:hAnsi="Tw Cen MT"/>
                <w:b/>
                <w:bCs/>
                <w:color w:val="000000"/>
                <w:sz w:val="20"/>
                <w:szCs w:val="20"/>
              </w:rPr>
            </w:pPr>
          </w:p>
        </w:tc>
        <w:tc>
          <w:tcPr>
            <w:tcW w:w="554" w:type="dxa"/>
            <w:tcBorders>
              <w:top w:val="nil"/>
              <w:left w:val="single" w:sz="4" w:space="0" w:color="auto"/>
              <w:bottom w:val="single" w:sz="4" w:space="0" w:color="auto"/>
              <w:right w:val="nil"/>
            </w:tcBorders>
            <w:shd w:val="clear" w:color="000000" w:fill="F2F2F2"/>
            <w:noWrap/>
            <w:vAlign w:val="center"/>
            <w:hideMark/>
          </w:tcPr>
          <w:p w14:paraId="4F23238B"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333</w:t>
            </w:r>
          </w:p>
        </w:tc>
        <w:tc>
          <w:tcPr>
            <w:tcW w:w="3698" w:type="dxa"/>
            <w:tcBorders>
              <w:top w:val="nil"/>
              <w:left w:val="nil"/>
              <w:bottom w:val="single" w:sz="4" w:space="0" w:color="auto"/>
              <w:right w:val="nil"/>
            </w:tcBorders>
            <w:shd w:val="clear" w:color="000000" w:fill="F2F2F2"/>
            <w:vAlign w:val="center"/>
            <w:hideMark/>
          </w:tcPr>
          <w:p w14:paraId="1217614B"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Spécialisation des agriculteurs et développement des filières agricoles</w:t>
            </w:r>
          </w:p>
        </w:tc>
        <w:tc>
          <w:tcPr>
            <w:tcW w:w="4394" w:type="dxa"/>
            <w:tcBorders>
              <w:top w:val="nil"/>
              <w:left w:val="nil"/>
              <w:bottom w:val="single" w:sz="4" w:space="0" w:color="auto"/>
              <w:right w:val="nil"/>
            </w:tcBorders>
            <w:shd w:val="clear" w:color="000000" w:fill="F2F2F2"/>
            <w:vAlign w:val="center"/>
            <w:hideMark/>
          </w:tcPr>
          <w:p w14:paraId="25FC2CE6"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w:t>
            </w:r>
          </w:p>
        </w:tc>
        <w:tc>
          <w:tcPr>
            <w:tcW w:w="3969" w:type="dxa"/>
            <w:gridSpan w:val="2"/>
            <w:tcBorders>
              <w:top w:val="single" w:sz="4" w:space="0" w:color="auto"/>
              <w:left w:val="nil"/>
              <w:bottom w:val="single" w:sz="4" w:space="0" w:color="auto"/>
              <w:right w:val="single" w:sz="4" w:space="0" w:color="000000"/>
            </w:tcBorders>
            <w:shd w:val="clear" w:color="000000" w:fill="F2F2F2"/>
            <w:vAlign w:val="center"/>
            <w:hideMark/>
          </w:tcPr>
          <w:p w14:paraId="5653454D"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 xml:space="preserve">Activité couverte par 311 et 312 </w:t>
            </w:r>
          </w:p>
        </w:tc>
      </w:tr>
      <w:tr w:rsidR="00442310" w:rsidRPr="00442310" w14:paraId="588ABDFF" w14:textId="77777777" w:rsidTr="0075216C">
        <w:trPr>
          <w:trHeight w:val="1403"/>
        </w:trPr>
        <w:tc>
          <w:tcPr>
            <w:tcW w:w="993" w:type="dxa"/>
            <w:vMerge/>
            <w:tcBorders>
              <w:top w:val="single" w:sz="4" w:space="0" w:color="auto"/>
              <w:left w:val="single" w:sz="4" w:space="0" w:color="auto"/>
              <w:bottom w:val="single" w:sz="4" w:space="0" w:color="auto"/>
              <w:right w:val="nil"/>
            </w:tcBorders>
            <w:vAlign w:val="center"/>
            <w:hideMark/>
          </w:tcPr>
          <w:p w14:paraId="4F0635FB" w14:textId="77777777" w:rsidR="00442310" w:rsidRPr="00442310" w:rsidRDefault="00442310" w:rsidP="00442310">
            <w:pPr>
              <w:spacing w:after="0"/>
              <w:jc w:val="left"/>
              <w:rPr>
                <w:rFonts w:ascii="Tw Cen MT" w:hAnsi="Tw Cen MT"/>
                <w:b/>
                <w:bCs/>
                <w:color w:val="000000"/>
                <w:sz w:val="20"/>
                <w:szCs w:val="20"/>
              </w:rPr>
            </w:pPr>
          </w:p>
        </w:tc>
        <w:tc>
          <w:tcPr>
            <w:tcW w:w="554" w:type="dxa"/>
            <w:tcBorders>
              <w:top w:val="single" w:sz="4" w:space="0" w:color="auto"/>
              <w:left w:val="single" w:sz="4" w:space="0" w:color="auto"/>
              <w:bottom w:val="single" w:sz="4" w:space="0" w:color="auto"/>
              <w:right w:val="nil"/>
            </w:tcBorders>
            <w:shd w:val="clear" w:color="000000" w:fill="F2F2F2"/>
            <w:noWrap/>
            <w:vAlign w:val="center"/>
            <w:hideMark/>
          </w:tcPr>
          <w:p w14:paraId="3C51D0AD"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334</w:t>
            </w:r>
          </w:p>
        </w:tc>
        <w:tc>
          <w:tcPr>
            <w:tcW w:w="3698" w:type="dxa"/>
            <w:tcBorders>
              <w:top w:val="single" w:sz="4" w:space="0" w:color="auto"/>
              <w:left w:val="nil"/>
              <w:bottom w:val="single" w:sz="4" w:space="0" w:color="auto"/>
              <w:right w:val="nil"/>
            </w:tcBorders>
            <w:shd w:val="clear" w:color="000000" w:fill="F2F2F2"/>
            <w:vAlign w:val="center"/>
            <w:hideMark/>
          </w:tcPr>
          <w:p w14:paraId="29BF454E" w14:textId="063E07E2" w:rsidR="0075216C"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 xml:space="preserve">Renforcement et vulgarisation des mesures incitatives </w:t>
            </w:r>
            <w:proofErr w:type="spellStart"/>
            <w:r w:rsidRPr="00442310">
              <w:rPr>
                <w:rFonts w:ascii="Tw Cen MT" w:hAnsi="Tw Cen MT"/>
                <w:color w:val="808080"/>
                <w:sz w:val="20"/>
                <w:szCs w:val="20"/>
              </w:rPr>
              <w:t>fiscalo</w:t>
            </w:r>
            <w:proofErr w:type="spellEnd"/>
            <w:r w:rsidRPr="00442310">
              <w:rPr>
                <w:rFonts w:ascii="Tw Cen MT" w:hAnsi="Tw Cen MT"/>
                <w:color w:val="808080"/>
                <w:sz w:val="20"/>
                <w:szCs w:val="20"/>
              </w:rPr>
              <w:t>-douanières pour l'importation des intrants et matériel agricoles par des producteurs</w:t>
            </w:r>
          </w:p>
        </w:tc>
        <w:tc>
          <w:tcPr>
            <w:tcW w:w="4394" w:type="dxa"/>
            <w:tcBorders>
              <w:top w:val="single" w:sz="4" w:space="0" w:color="auto"/>
              <w:left w:val="nil"/>
              <w:bottom w:val="single" w:sz="4" w:space="0" w:color="auto"/>
              <w:right w:val="nil"/>
            </w:tcBorders>
            <w:shd w:val="clear" w:color="000000" w:fill="F2F2F2"/>
            <w:vAlign w:val="center"/>
            <w:hideMark/>
          </w:tcPr>
          <w:p w14:paraId="29D28D9D"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w:t>
            </w:r>
          </w:p>
        </w:tc>
        <w:tc>
          <w:tcPr>
            <w:tcW w:w="3969" w:type="dxa"/>
            <w:gridSpan w:val="2"/>
            <w:tcBorders>
              <w:top w:val="single" w:sz="4" w:space="0" w:color="auto"/>
              <w:left w:val="nil"/>
              <w:bottom w:val="single" w:sz="4" w:space="0" w:color="auto"/>
              <w:right w:val="single" w:sz="4" w:space="0" w:color="000000"/>
            </w:tcBorders>
            <w:shd w:val="clear" w:color="000000" w:fill="F2F2F2"/>
            <w:vAlign w:val="center"/>
            <w:hideMark/>
          </w:tcPr>
          <w:p w14:paraId="0D8F966E"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 xml:space="preserve">Activité couverte par 311 et 312 </w:t>
            </w:r>
          </w:p>
        </w:tc>
      </w:tr>
      <w:tr w:rsidR="00442310" w:rsidRPr="00442310" w14:paraId="1A62DA52" w14:textId="77777777" w:rsidTr="0075216C">
        <w:trPr>
          <w:trHeight w:val="285"/>
        </w:trPr>
        <w:tc>
          <w:tcPr>
            <w:tcW w:w="993" w:type="dxa"/>
            <w:vMerge w:val="restart"/>
            <w:tcBorders>
              <w:top w:val="single" w:sz="4" w:space="0" w:color="auto"/>
              <w:left w:val="single" w:sz="4" w:space="0" w:color="auto"/>
              <w:bottom w:val="single" w:sz="4" w:space="0" w:color="auto"/>
              <w:right w:val="nil"/>
            </w:tcBorders>
            <w:shd w:val="clear" w:color="000000" w:fill="B8CCE4"/>
            <w:textDirection w:val="btLr"/>
            <w:vAlign w:val="center"/>
            <w:hideMark/>
          </w:tcPr>
          <w:p w14:paraId="5DA7B6C7" w14:textId="77777777" w:rsidR="00442310" w:rsidRPr="00442310" w:rsidRDefault="00442310" w:rsidP="00442310">
            <w:pPr>
              <w:spacing w:after="0"/>
              <w:jc w:val="center"/>
              <w:rPr>
                <w:rFonts w:ascii="Tw Cen MT" w:hAnsi="Tw Cen MT"/>
                <w:b/>
                <w:bCs/>
                <w:color w:val="000000"/>
                <w:sz w:val="20"/>
                <w:szCs w:val="20"/>
              </w:rPr>
            </w:pPr>
            <w:r w:rsidRPr="00442310">
              <w:rPr>
                <w:rFonts w:ascii="Tw Cen MT" w:hAnsi="Tw Cen MT"/>
                <w:b/>
                <w:bCs/>
                <w:color w:val="000000"/>
                <w:sz w:val="20"/>
                <w:szCs w:val="20"/>
              </w:rPr>
              <w:lastRenderedPageBreak/>
              <w:t>SO 3.4 Renforcement de la recherche et de la vulgarisation agricole</w:t>
            </w:r>
          </w:p>
        </w:tc>
        <w:tc>
          <w:tcPr>
            <w:tcW w:w="554"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14:paraId="061BD3A7"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341</w:t>
            </w:r>
          </w:p>
        </w:tc>
        <w:tc>
          <w:tcPr>
            <w:tcW w:w="3698" w:type="dxa"/>
            <w:vMerge w:val="restart"/>
            <w:tcBorders>
              <w:top w:val="single" w:sz="4" w:space="0" w:color="auto"/>
              <w:left w:val="nil"/>
              <w:bottom w:val="single" w:sz="4" w:space="0" w:color="000000"/>
              <w:right w:val="nil"/>
            </w:tcBorders>
            <w:shd w:val="clear" w:color="000000" w:fill="F2F2F2"/>
            <w:vAlign w:val="center"/>
            <w:hideMark/>
          </w:tcPr>
          <w:p w14:paraId="74935B99"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Consolidation des moyens d'intervention de la recherche et des organismes de vulgarisation agricole</w:t>
            </w:r>
          </w:p>
        </w:tc>
        <w:tc>
          <w:tcPr>
            <w:tcW w:w="4394" w:type="dxa"/>
            <w:tcBorders>
              <w:top w:val="single" w:sz="4" w:space="0" w:color="auto"/>
              <w:left w:val="nil"/>
              <w:bottom w:val="nil"/>
              <w:right w:val="nil"/>
            </w:tcBorders>
            <w:shd w:val="clear" w:color="000000" w:fill="F2F2F2"/>
            <w:vAlign w:val="center"/>
            <w:hideMark/>
          </w:tcPr>
          <w:p w14:paraId="542DE3AF"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 xml:space="preserve">Renforcement des organismes de recherche </w:t>
            </w:r>
          </w:p>
        </w:tc>
        <w:tc>
          <w:tcPr>
            <w:tcW w:w="3969" w:type="dxa"/>
            <w:gridSpan w:val="2"/>
            <w:tcBorders>
              <w:top w:val="single" w:sz="4" w:space="0" w:color="auto"/>
              <w:left w:val="nil"/>
              <w:bottom w:val="nil"/>
              <w:right w:val="single" w:sz="4" w:space="0" w:color="000000"/>
            </w:tcBorders>
            <w:shd w:val="clear" w:color="000000" w:fill="F2F2F2"/>
            <w:vAlign w:val="center"/>
            <w:hideMark/>
          </w:tcPr>
          <w:p w14:paraId="7F848803"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Activité couverte par 344</w:t>
            </w:r>
          </w:p>
        </w:tc>
      </w:tr>
      <w:tr w:rsidR="00442310" w:rsidRPr="00442310" w14:paraId="145D2661" w14:textId="77777777" w:rsidTr="0075216C">
        <w:trPr>
          <w:trHeight w:val="570"/>
        </w:trPr>
        <w:tc>
          <w:tcPr>
            <w:tcW w:w="993" w:type="dxa"/>
            <w:vMerge/>
            <w:tcBorders>
              <w:top w:val="nil"/>
              <w:left w:val="single" w:sz="4" w:space="0" w:color="auto"/>
              <w:bottom w:val="single" w:sz="4" w:space="0" w:color="auto"/>
              <w:right w:val="nil"/>
            </w:tcBorders>
            <w:vAlign w:val="center"/>
            <w:hideMark/>
          </w:tcPr>
          <w:p w14:paraId="5D5E3FBF" w14:textId="77777777" w:rsidR="00442310" w:rsidRPr="00442310" w:rsidRDefault="00442310" w:rsidP="00442310">
            <w:pPr>
              <w:spacing w:after="0"/>
              <w:jc w:val="left"/>
              <w:rPr>
                <w:rFonts w:ascii="Tw Cen MT" w:hAnsi="Tw Cen MT"/>
                <w:b/>
                <w:bCs/>
                <w:color w:val="000000"/>
                <w:sz w:val="20"/>
                <w:szCs w:val="20"/>
              </w:rPr>
            </w:pPr>
          </w:p>
        </w:tc>
        <w:tc>
          <w:tcPr>
            <w:tcW w:w="554" w:type="dxa"/>
            <w:vMerge/>
            <w:tcBorders>
              <w:top w:val="nil"/>
              <w:left w:val="single" w:sz="4" w:space="0" w:color="auto"/>
              <w:bottom w:val="single" w:sz="4" w:space="0" w:color="000000"/>
              <w:right w:val="nil"/>
            </w:tcBorders>
            <w:vAlign w:val="center"/>
            <w:hideMark/>
          </w:tcPr>
          <w:p w14:paraId="03C078ED" w14:textId="77777777" w:rsidR="00442310" w:rsidRPr="00442310" w:rsidRDefault="00442310" w:rsidP="00442310">
            <w:pPr>
              <w:spacing w:after="0"/>
              <w:jc w:val="left"/>
              <w:rPr>
                <w:rFonts w:ascii="Tw Cen MT" w:hAnsi="Tw Cen MT"/>
                <w:color w:val="808080"/>
                <w:sz w:val="20"/>
                <w:szCs w:val="20"/>
              </w:rPr>
            </w:pPr>
          </w:p>
        </w:tc>
        <w:tc>
          <w:tcPr>
            <w:tcW w:w="3698" w:type="dxa"/>
            <w:vMerge/>
            <w:tcBorders>
              <w:top w:val="nil"/>
              <w:left w:val="nil"/>
              <w:bottom w:val="single" w:sz="4" w:space="0" w:color="000000"/>
              <w:right w:val="nil"/>
            </w:tcBorders>
            <w:vAlign w:val="center"/>
            <w:hideMark/>
          </w:tcPr>
          <w:p w14:paraId="09EBDD37" w14:textId="77777777" w:rsidR="00442310" w:rsidRPr="00442310" w:rsidRDefault="00442310" w:rsidP="00442310">
            <w:pPr>
              <w:spacing w:after="0"/>
              <w:jc w:val="left"/>
              <w:rPr>
                <w:rFonts w:ascii="Tw Cen MT" w:hAnsi="Tw Cen MT"/>
                <w:color w:val="808080"/>
                <w:sz w:val="20"/>
                <w:szCs w:val="20"/>
              </w:rPr>
            </w:pPr>
          </w:p>
        </w:tc>
        <w:tc>
          <w:tcPr>
            <w:tcW w:w="4394" w:type="dxa"/>
            <w:tcBorders>
              <w:top w:val="nil"/>
              <w:left w:val="nil"/>
              <w:bottom w:val="nil"/>
              <w:right w:val="nil"/>
            </w:tcBorders>
            <w:shd w:val="clear" w:color="000000" w:fill="F2F2F2"/>
            <w:vAlign w:val="center"/>
            <w:hideMark/>
          </w:tcPr>
          <w:p w14:paraId="3892348A"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Renforcement des organismes de vulgarisation de la recherche</w:t>
            </w:r>
          </w:p>
        </w:tc>
        <w:tc>
          <w:tcPr>
            <w:tcW w:w="3969" w:type="dxa"/>
            <w:gridSpan w:val="2"/>
            <w:tcBorders>
              <w:top w:val="nil"/>
              <w:left w:val="nil"/>
              <w:bottom w:val="single" w:sz="4" w:space="0" w:color="auto"/>
              <w:right w:val="single" w:sz="4" w:space="0" w:color="000000"/>
            </w:tcBorders>
            <w:shd w:val="clear" w:color="000000" w:fill="F2F2F2"/>
            <w:vAlign w:val="center"/>
            <w:hideMark/>
          </w:tcPr>
          <w:p w14:paraId="5BF65664"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Activité couverte par 343</w:t>
            </w:r>
          </w:p>
        </w:tc>
      </w:tr>
      <w:tr w:rsidR="00442310" w:rsidRPr="00442310" w14:paraId="5C5655FA" w14:textId="77777777" w:rsidTr="0075216C">
        <w:trPr>
          <w:trHeight w:val="570"/>
        </w:trPr>
        <w:tc>
          <w:tcPr>
            <w:tcW w:w="993" w:type="dxa"/>
            <w:vMerge/>
            <w:tcBorders>
              <w:top w:val="nil"/>
              <w:left w:val="single" w:sz="4" w:space="0" w:color="auto"/>
              <w:bottom w:val="single" w:sz="4" w:space="0" w:color="auto"/>
              <w:right w:val="nil"/>
            </w:tcBorders>
            <w:vAlign w:val="center"/>
            <w:hideMark/>
          </w:tcPr>
          <w:p w14:paraId="549607DE" w14:textId="77777777" w:rsidR="00442310" w:rsidRPr="00442310" w:rsidRDefault="00442310" w:rsidP="00442310">
            <w:pPr>
              <w:spacing w:after="0"/>
              <w:jc w:val="left"/>
              <w:rPr>
                <w:rFonts w:ascii="Tw Cen MT" w:hAnsi="Tw Cen MT"/>
                <w:b/>
                <w:bCs/>
                <w:color w:val="000000"/>
                <w:sz w:val="20"/>
                <w:szCs w:val="20"/>
              </w:rPr>
            </w:pPr>
          </w:p>
        </w:tc>
        <w:tc>
          <w:tcPr>
            <w:tcW w:w="554" w:type="dxa"/>
            <w:tcBorders>
              <w:top w:val="nil"/>
              <w:left w:val="single" w:sz="4" w:space="0" w:color="auto"/>
              <w:bottom w:val="single" w:sz="4" w:space="0" w:color="auto"/>
              <w:right w:val="nil"/>
            </w:tcBorders>
            <w:shd w:val="clear" w:color="000000" w:fill="F2F2F2"/>
            <w:noWrap/>
            <w:vAlign w:val="center"/>
            <w:hideMark/>
          </w:tcPr>
          <w:p w14:paraId="1AB8A512"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342</w:t>
            </w:r>
          </w:p>
        </w:tc>
        <w:tc>
          <w:tcPr>
            <w:tcW w:w="3698" w:type="dxa"/>
            <w:tcBorders>
              <w:top w:val="nil"/>
              <w:left w:val="nil"/>
              <w:bottom w:val="single" w:sz="4" w:space="0" w:color="auto"/>
              <w:right w:val="nil"/>
            </w:tcBorders>
            <w:shd w:val="clear" w:color="000000" w:fill="F2F2F2"/>
            <w:vAlign w:val="center"/>
            <w:hideMark/>
          </w:tcPr>
          <w:p w14:paraId="38A159B7"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Développement de la recherche d'accompagnement</w:t>
            </w:r>
          </w:p>
        </w:tc>
        <w:tc>
          <w:tcPr>
            <w:tcW w:w="4394" w:type="dxa"/>
            <w:tcBorders>
              <w:top w:val="single" w:sz="4" w:space="0" w:color="auto"/>
              <w:left w:val="nil"/>
              <w:bottom w:val="single" w:sz="4" w:space="0" w:color="auto"/>
              <w:right w:val="nil"/>
            </w:tcBorders>
            <w:shd w:val="clear" w:color="000000" w:fill="F2F2F2"/>
            <w:vAlign w:val="center"/>
            <w:hideMark/>
          </w:tcPr>
          <w:p w14:paraId="20FB8179"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w:t>
            </w:r>
          </w:p>
        </w:tc>
        <w:tc>
          <w:tcPr>
            <w:tcW w:w="3969" w:type="dxa"/>
            <w:gridSpan w:val="2"/>
            <w:tcBorders>
              <w:top w:val="nil"/>
              <w:left w:val="nil"/>
              <w:bottom w:val="nil"/>
              <w:right w:val="single" w:sz="4" w:space="0" w:color="000000"/>
            </w:tcBorders>
            <w:shd w:val="clear" w:color="000000" w:fill="F2F2F2"/>
            <w:noWrap/>
            <w:vAlign w:val="center"/>
            <w:hideMark/>
          </w:tcPr>
          <w:p w14:paraId="6BA2B713"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Activité couverte par 344</w:t>
            </w:r>
          </w:p>
        </w:tc>
      </w:tr>
      <w:tr w:rsidR="00442310" w:rsidRPr="00442310" w14:paraId="2FD2AE17" w14:textId="77777777" w:rsidTr="0075216C">
        <w:trPr>
          <w:trHeight w:val="570"/>
        </w:trPr>
        <w:tc>
          <w:tcPr>
            <w:tcW w:w="993" w:type="dxa"/>
            <w:vMerge/>
            <w:tcBorders>
              <w:top w:val="nil"/>
              <w:left w:val="single" w:sz="4" w:space="0" w:color="auto"/>
              <w:bottom w:val="single" w:sz="4" w:space="0" w:color="auto"/>
              <w:right w:val="nil"/>
            </w:tcBorders>
            <w:vAlign w:val="center"/>
            <w:hideMark/>
          </w:tcPr>
          <w:p w14:paraId="772D3E3F" w14:textId="77777777" w:rsidR="00442310" w:rsidRPr="00442310" w:rsidRDefault="00442310" w:rsidP="00442310">
            <w:pPr>
              <w:spacing w:after="0"/>
              <w:jc w:val="left"/>
              <w:rPr>
                <w:rFonts w:ascii="Tw Cen MT" w:hAnsi="Tw Cen MT"/>
                <w:b/>
                <w:bCs/>
                <w:color w:val="000000"/>
                <w:sz w:val="20"/>
                <w:szCs w:val="20"/>
              </w:rPr>
            </w:pPr>
          </w:p>
        </w:tc>
        <w:tc>
          <w:tcPr>
            <w:tcW w:w="554" w:type="dxa"/>
            <w:tcBorders>
              <w:top w:val="nil"/>
              <w:left w:val="single" w:sz="4" w:space="0" w:color="auto"/>
              <w:bottom w:val="single" w:sz="4" w:space="0" w:color="auto"/>
              <w:right w:val="nil"/>
            </w:tcBorders>
            <w:shd w:val="clear" w:color="auto" w:fill="auto"/>
            <w:noWrap/>
            <w:vAlign w:val="center"/>
            <w:hideMark/>
          </w:tcPr>
          <w:p w14:paraId="1DB9DC58" w14:textId="77777777" w:rsidR="00442310" w:rsidRPr="00442310" w:rsidRDefault="00442310" w:rsidP="00442310">
            <w:pPr>
              <w:spacing w:after="0"/>
              <w:jc w:val="center"/>
              <w:rPr>
                <w:rFonts w:ascii="Tw Cen MT" w:hAnsi="Tw Cen MT"/>
                <w:color w:val="000000"/>
                <w:sz w:val="20"/>
                <w:szCs w:val="20"/>
              </w:rPr>
            </w:pPr>
            <w:r w:rsidRPr="00442310">
              <w:rPr>
                <w:rFonts w:ascii="Tw Cen MT" w:hAnsi="Tw Cen MT"/>
                <w:color w:val="000000"/>
                <w:sz w:val="20"/>
                <w:szCs w:val="20"/>
              </w:rPr>
              <w:t>343</w:t>
            </w:r>
          </w:p>
        </w:tc>
        <w:tc>
          <w:tcPr>
            <w:tcW w:w="3698" w:type="dxa"/>
            <w:tcBorders>
              <w:top w:val="nil"/>
              <w:left w:val="nil"/>
              <w:bottom w:val="single" w:sz="4" w:space="0" w:color="auto"/>
              <w:right w:val="nil"/>
            </w:tcBorders>
            <w:shd w:val="clear" w:color="auto" w:fill="auto"/>
            <w:vAlign w:val="center"/>
            <w:hideMark/>
          </w:tcPr>
          <w:p w14:paraId="7E46CD58" w14:textId="77777777" w:rsidR="00442310" w:rsidRPr="00442310" w:rsidRDefault="00442310" w:rsidP="00442310">
            <w:pPr>
              <w:spacing w:after="0"/>
              <w:jc w:val="left"/>
              <w:rPr>
                <w:rFonts w:ascii="Tw Cen MT" w:hAnsi="Tw Cen MT"/>
                <w:color w:val="000000"/>
                <w:sz w:val="20"/>
                <w:szCs w:val="20"/>
              </w:rPr>
            </w:pPr>
            <w:r w:rsidRPr="00442310">
              <w:rPr>
                <w:rFonts w:ascii="Tw Cen MT" w:hAnsi="Tw Cen MT"/>
                <w:color w:val="000000"/>
                <w:sz w:val="20"/>
                <w:szCs w:val="20"/>
              </w:rPr>
              <w:t xml:space="preserve">Dynamisation des campagnes de vulgarisation des innovations agricoles </w:t>
            </w:r>
          </w:p>
        </w:tc>
        <w:tc>
          <w:tcPr>
            <w:tcW w:w="4394" w:type="dxa"/>
            <w:tcBorders>
              <w:top w:val="nil"/>
              <w:left w:val="nil"/>
              <w:bottom w:val="single" w:sz="4" w:space="0" w:color="auto"/>
              <w:right w:val="nil"/>
            </w:tcBorders>
            <w:shd w:val="clear" w:color="auto" w:fill="auto"/>
            <w:vAlign w:val="center"/>
            <w:hideMark/>
          </w:tcPr>
          <w:p w14:paraId="7D409DB4" w14:textId="77777777" w:rsidR="00442310" w:rsidRPr="00442310" w:rsidRDefault="00442310" w:rsidP="00442310">
            <w:pPr>
              <w:spacing w:after="0"/>
              <w:jc w:val="left"/>
              <w:rPr>
                <w:rFonts w:ascii="Tw Cen MT" w:hAnsi="Tw Cen MT"/>
                <w:color w:val="000000"/>
                <w:sz w:val="20"/>
                <w:szCs w:val="20"/>
              </w:rPr>
            </w:pPr>
            <w:r w:rsidRPr="00442310">
              <w:rPr>
                <w:rFonts w:ascii="Tw Cen MT" w:hAnsi="Tw Cen MT"/>
                <w:color w:val="000000"/>
                <w:sz w:val="20"/>
                <w:szCs w:val="20"/>
              </w:rPr>
              <w:t xml:space="preserve">Renforcement des capacités du CVTA </w:t>
            </w:r>
          </w:p>
        </w:tc>
        <w:tc>
          <w:tcPr>
            <w:tcW w:w="1985" w:type="dxa"/>
            <w:tcBorders>
              <w:top w:val="single" w:sz="4" w:space="0" w:color="auto"/>
              <w:left w:val="nil"/>
              <w:bottom w:val="single" w:sz="4" w:space="0" w:color="auto"/>
              <w:right w:val="nil"/>
            </w:tcBorders>
            <w:shd w:val="clear" w:color="auto" w:fill="auto"/>
            <w:noWrap/>
            <w:vAlign w:val="center"/>
            <w:hideMark/>
          </w:tcPr>
          <w:p w14:paraId="32EF0298" w14:textId="77777777" w:rsidR="00442310" w:rsidRPr="00442310" w:rsidRDefault="00442310" w:rsidP="00442310">
            <w:pPr>
              <w:spacing w:after="0"/>
              <w:jc w:val="left"/>
              <w:rPr>
                <w:rFonts w:ascii="Tw Cen MT" w:hAnsi="Tw Cen MT"/>
                <w:color w:val="000000"/>
                <w:sz w:val="20"/>
                <w:szCs w:val="20"/>
              </w:rPr>
            </w:pPr>
            <w:r w:rsidRPr="00442310">
              <w:rPr>
                <w:rFonts w:ascii="Tw Cen MT" w:hAnsi="Tw Cen MT"/>
                <w:color w:val="000000"/>
                <w:sz w:val="20"/>
                <w:szCs w:val="20"/>
              </w:rPr>
              <w:t xml:space="preserve">Gouvernement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64352F8" w14:textId="77777777" w:rsidR="00442310" w:rsidRPr="00442310" w:rsidRDefault="00442310" w:rsidP="00442310">
            <w:pPr>
              <w:spacing w:after="0"/>
              <w:jc w:val="left"/>
              <w:rPr>
                <w:rFonts w:ascii="Tw Cen MT" w:hAnsi="Tw Cen MT"/>
                <w:color w:val="000000"/>
                <w:sz w:val="20"/>
                <w:szCs w:val="20"/>
              </w:rPr>
            </w:pPr>
            <w:r w:rsidRPr="00442310">
              <w:rPr>
                <w:rFonts w:ascii="Tw Cen MT" w:hAnsi="Tw Cen MT"/>
                <w:color w:val="000000"/>
                <w:sz w:val="20"/>
                <w:szCs w:val="20"/>
              </w:rPr>
              <w:t>FIDA</w:t>
            </w:r>
          </w:p>
        </w:tc>
      </w:tr>
      <w:tr w:rsidR="00442310" w:rsidRPr="00442310" w14:paraId="51CE9279" w14:textId="77777777" w:rsidTr="0075216C">
        <w:trPr>
          <w:trHeight w:val="570"/>
        </w:trPr>
        <w:tc>
          <w:tcPr>
            <w:tcW w:w="993" w:type="dxa"/>
            <w:vMerge/>
            <w:tcBorders>
              <w:top w:val="nil"/>
              <w:left w:val="single" w:sz="4" w:space="0" w:color="auto"/>
              <w:bottom w:val="single" w:sz="4" w:space="0" w:color="auto"/>
              <w:right w:val="nil"/>
            </w:tcBorders>
            <w:vAlign w:val="center"/>
            <w:hideMark/>
          </w:tcPr>
          <w:p w14:paraId="406D7276" w14:textId="77777777" w:rsidR="00442310" w:rsidRPr="00442310" w:rsidRDefault="00442310" w:rsidP="00442310">
            <w:pPr>
              <w:spacing w:after="0"/>
              <w:jc w:val="left"/>
              <w:rPr>
                <w:rFonts w:ascii="Tw Cen MT" w:hAnsi="Tw Cen MT"/>
                <w:b/>
                <w:bCs/>
                <w:color w:val="000000"/>
                <w:sz w:val="20"/>
                <w:szCs w:val="20"/>
              </w:rPr>
            </w:pPr>
          </w:p>
        </w:tc>
        <w:tc>
          <w:tcPr>
            <w:tcW w:w="554" w:type="dxa"/>
            <w:vMerge w:val="restart"/>
            <w:tcBorders>
              <w:top w:val="nil"/>
              <w:left w:val="single" w:sz="4" w:space="0" w:color="auto"/>
              <w:bottom w:val="single" w:sz="4" w:space="0" w:color="000000"/>
              <w:right w:val="nil"/>
            </w:tcBorders>
            <w:shd w:val="clear" w:color="auto" w:fill="auto"/>
            <w:noWrap/>
            <w:vAlign w:val="center"/>
            <w:hideMark/>
          </w:tcPr>
          <w:p w14:paraId="41CCE4FF" w14:textId="77777777" w:rsidR="00442310" w:rsidRPr="00442310" w:rsidRDefault="00442310" w:rsidP="00442310">
            <w:pPr>
              <w:spacing w:after="0"/>
              <w:jc w:val="center"/>
              <w:rPr>
                <w:rFonts w:ascii="Tw Cen MT" w:hAnsi="Tw Cen MT"/>
                <w:sz w:val="20"/>
                <w:szCs w:val="20"/>
              </w:rPr>
            </w:pPr>
            <w:r w:rsidRPr="00442310">
              <w:rPr>
                <w:rFonts w:ascii="Tw Cen MT" w:hAnsi="Tw Cen MT"/>
                <w:sz w:val="20"/>
                <w:szCs w:val="20"/>
              </w:rPr>
              <w:t>344</w:t>
            </w:r>
          </w:p>
        </w:tc>
        <w:tc>
          <w:tcPr>
            <w:tcW w:w="3698" w:type="dxa"/>
            <w:vMerge w:val="restart"/>
            <w:tcBorders>
              <w:top w:val="nil"/>
              <w:left w:val="nil"/>
              <w:bottom w:val="single" w:sz="4" w:space="0" w:color="000000"/>
              <w:right w:val="nil"/>
            </w:tcBorders>
            <w:shd w:val="clear" w:color="auto" w:fill="auto"/>
            <w:vAlign w:val="center"/>
            <w:hideMark/>
          </w:tcPr>
          <w:p w14:paraId="6C79D317" w14:textId="77777777" w:rsidR="00442310" w:rsidRPr="00442310" w:rsidRDefault="00442310" w:rsidP="00442310">
            <w:pPr>
              <w:spacing w:after="0"/>
              <w:jc w:val="left"/>
              <w:rPr>
                <w:rFonts w:ascii="Tw Cen MT" w:hAnsi="Tw Cen MT"/>
                <w:sz w:val="20"/>
                <w:szCs w:val="20"/>
              </w:rPr>
            </w:pPr>
            <w:r w:rsidRPr="00442310">
              <w:rPr>
                <w:rFonts w:ascii="Tw Cen MT" w:hAnsi="Tw Cen MT"/>
                <w:sz w:val="20"/>
                <w:szCs w:val="20"/>
              </w:rPr>
              <w:t xml:space="preserve">Renforcement des capacités des institutions de recherche agricole </w:t>
            </w:r>
          </w:p>
        </w:tc>
        <w:tc>
          <w:tcPr>
            <w:tcW w:w="4394" w:type="dxa"/>
            <w:tcBorders>
              <w:top w:val="nil"/>
              <w:left w:val="nil"/>
              <w:bottom w:val="nil"/>
              <w:right w:val="nil"/>
            </w:tcBorders>
            <w:shd w:val="clear" w:color="auto" w:fill="auto"/>
            <w:vAlign w:val="center"/>
            <w:hideMark/>
          </w:tcPr>
          <w:p w14:paraId="18A40C00" w14:textId="77777777" w:rsidR="00442310" w:rsidRPr="00442310" w:rsidRDefault="00442310" w:rsidP="00442310">
            <w:pPr>
              <w:spacing w:after="0"/>
              <w:jc w:val="left"/>
              <w:rPr>
                <w:rFonts w:ascii="Tw Cen MT" w:hAnsi="Tw Cen MT"/>
                <w:sz w:val="20"/>
                <w:szCs w:val="20"/>
              </w:rPr>
            </w:pPr>
            <w:r w:rsidRPr="00442310">
              <w:rPr>
                <w:rFonts w:ascii="Tw Cen MT" w:hAnsi="Tw Cen MT"/>
                <w:sz w:val="20"/>
                <w:szCs w:val="20"/>
              </w:rPr>
              <w:t>Renforcement des capacités de l'IRA pour le développement de la recherche agricole en lien (si possible) avec des objectifs REDD+</w:t>
            </w:r>
          </w:p>
        </w:tc>
        <w:tc>
          <w:tcPr>
            <w:tcW w:w="1985" w:type="dxa"/>
            <w:vMerge w:val="restart"/>
            <w:tcBorders>
              <w:top w:val="nil"/>
              <w:left w:val="nil"/>
              <w:bottom w:val="single" w:sz="4" w:space="0" w:color="000000"/>
              <w:right w:val="nil"/>
            </w:tcBorders>
            <w:shd w:val="clear" w:color="auto" w:fill="auto"/>
            <w:noWrap/>
            <w:vAlign w:val="center"/>
            <w:hideMark/>
          </w:tcPr>
          <w:p w14:paraId="686D0C2D" w14:textId="77777777" w:rsidR="00442310" w:rsidRPr="00442310" w:rsidRDefault="00442310" w:rsidP="00442310">
            <w:pPr>
              <w:spacing w:after="0"/>
              <w:jc w:val="left"/>
              <w:rPr>
                <w:rFonts w:ascii="Tw Cen MT" w:hAnsi="Tw Cen MT"/>
                <w:color w:val="000000"/>
                <w:sz w:val="20"/>
                <w:szCs w:val="20"/>
              </w:rPr>
            </w:pPr>
            <w:r w:rsidRPr="00442310">
              <w:rPr>
                <w:rFonts w:ascii="Tw Cen MT" w:hAnsi="Tw Cen MT"/>
                <w:color w:val="000000"/>
                <w:sz w:val="20"/>
                <w:szCs w:val="20"/>
              </w:rPr>
              <w:t>Gouvernement (dont FNST)</w:t>
            </w:r>
          </w:p>
        </w:tc>
        <w:tc>
          <w:tcPr>
            <w:tcW w:w="1984" w:type="dxa"/>
            <w:vMerge w:val="restart"/>
            <w:tcBorders>
              <w:top w:val="nil"/>
              <w:left w:val="nil"/>
              <w:bottom w:val="single" w:sz="4" w:space="0" w:color="000000"/>
              <w:right w:val="single" w:sz="4" w:space="0" w:color="auto"/>
            </w:tcBorders>
            <w:shd w:val="clear" w:color="auto" w:fill="auto"/>
            <w:vAlign w:val="center"/>
            <w:hideMark/>
          </w:tcPr>
          <w:p w14:paraId="3A7912AF" w14:textId="77777777" w:rsidR="00442310" w:rsidRPr="00442310" w:rsidRDefault="00442310" w:rsidP="00442310">
            <w:pPr>
              <w:spacing w:after="0"/>
              <w:jc w:val="left"/>
              <w:rPr>
                <w:rFonts w:ascii="Tw Cen MT" w:hAnsi="Tw Cen MT"/>
                <w:color w:val="000000"/>
                <w:sz w:val="20"/>
                <w:szCs w:val="20"/>
              </w:rPr>
            </w:pPr>
            <w:r w:rsidRPr="00442310">
              <w:rPr>
                <w:rFonts w:ascii="Tw Cen MT" w:hAnsi="Tw Cen MT"/>
                <w:color w:val="000000"/>
                <w:sz w:val="20"/>
                <w:szCs w:val="20"/>
              </w:rPr>
              <w:t>-</w:t>
            </w:r>
          </w:p>
        </w:tc>
      </w:tr>
      <w:tr w:rsidR="00442310" w:rsidRPr="00442310" w14:paraId="392705B3" w14:textId="77777777" w:rsidTr="0075216C">
        <w:trPr>
          <w:trHeight w:val="570"/>
        </w:trPr>
        <w:tc>
          <w:tcPr>
            <w:tcW w:w="993" w:type="dxa"/>
            <w:vMerge/>
            <w:tcBorders>
              <w:top w:val="nil"/>
              <w:left w:val="single" w:sz="4" w:space="0" w:color="auto"/>
              <w:bottom w:val="single" w:sz="4" w:space="0" w:color="auto"/>
              <w:right w:val="nil"/>
            </w:tcBorders>
            <w:vAlign w:val="center"/>
            <w:hideMark/>
          </w:tcPr>
          <w:p w14:paraId="7CD6100F" w14:textId="77777777" w:rsidR="00442310" w:rsidRPr="00442310" w:rsidRDefault="00442310" w:rsidP="00442310">
            <w:pPr>
              <w:spacing w:after="0"/>
              <w:jc w:val="left"/>
              <w:rPr>
                <w:rFonts w:ascii="Tw Cen MT" w:hAnsi="Tw Cen MT"/>
                <w:b/>
                <w:bCs/>
                <w:color w:val="000000"/>
                <w:sz w:val="20"/>
                <w:szCs w:val="20"/>
              </w:rPr>
            </w:pPr>
          </w:p>
        </w:tc>
        <w:tc>
          <w:tcPr>
            <w:tcW w:w="554" w:type="dxa"/>
            <w:vMerge/>
            <w:tcBorders>
              <w:top w:val="nil"/>
              <w:left w:val="single" w:sz="4" w:space="0" w:color="auto"/>
              <w:bottom w:val="single" w:sz="4" w:space="0" w:color="000000"/>
              <w:right w:val="nil"/>
            </w:tcBorders>
            <w:vAlign w:val="center"/>
            <w:hideMark/>
          </w:tcPr>
          <w:p w14:paraId="3B330310" w14:textId="77777777" w:rsidR="00442310" w:rsidRPr="00442310" w:rsidRDefault="00442310" w:rsidP="00442310">
            <w:pPr>
              <w:spacing w:after="0"/>
              <w:jc w:val="left"/>
              <w:rPr>
                <w:rFonts w:ascii="Tw Cen MT" w:hAnsi="Tw Cen MT"/>
                <w:sz w:val="20"/>
                <w:szCs w:val="20"/>
              </w:rPr>
            </w:pPr>
          </w:p>
        </w:tc>
        <w:tc>
          <w:tcPr>
            <w:tcW w:w="3698" w:type="dxa"/>
            <w:vMerge/>
            <w:tcBorders>
              <w:top w:val="nil"/>
              <w:left w:val="nil"/>
              <w:bottom w:val="single" w:sz="4" w:space="0" w:color="000000"/>
              <w:right w:val="nil"/>
            </w:tcBorders>
            <w:vAlign w:val="center"/>
            <w:hideMark/>
          </w:tcPr>
          <w:p w14:paraId="2F096125" w14:textId="77777777" w:rsidR="00442310" w:rsidRPr="00442310" w:rsidRDefault="00442310" w:rsidP="00442310">
            <w:pPr>
              <w:spacing w:after="0"/>
              <w:jc w:val="left"/>
              <w:rPr>
                <w:rFonts w:ascii="Tw Cen MT" w:hAnsi="Tw Cen MT"/>
                <w:sz w:val="20"/>
                <w:szCs w:val="20"/>
              </w:rPr>
            </w:pPr>
          </w:p>
        </w:tc>
        <w:tc>
          <w:tcPr>
            <w:tcW w:w="4394" w:type="dxa"/>
            <w:tcBorders>
              <w:top w:val="nil"/>
              <w:left w:val="nil"/>
              <w:bottom w:val="nil"/>
              <w:right w:val="nil"/>
            </w:tcBorders>
            <w:shd w:val="clear" w:color="auto" w:fill="auto"/>
            <w:vAlign w:val="center"/>
            <w:hideMark/>
          </w:tcPr>
          <w:p w14:paraId="15E0843D" w14:textId="77777777" w:rsidR="00442310" w:rsidRPr="00442310" w:rsidRDefault="00442310" w:rsidP="00442310">
            <w:pPr>
              <w:spacing w:after="0"/>
              <w:jc w:val="left"/>
              <w:rPr>
                <w:rFonts w:ascii="Tw Cen MT" w:hAnsi="Tw Cen MT"/>
                <w:sz w:val="20"/>
                <w:szCs w:val="20"/>
              </w:rPr>
            </w:pPr>
            <w:r w:rsidRPr="00442310">
              <w:rPr>
                <w:rFonts w:ascii="Tw Cen MT" w:hAnsi="Tw Cen MT"/>
                <w:sz w:val="20"/>
                <w:szCs w:val="20"/>
              </w:rPr>
              <w:t>Renforcement des capacités du CNES pour le développement de la recherche agricole en lien (si possible) avec des objectifs REDD+</w:t>
            </w:r>
          </w:p>
        </w:tc>
        <w:tc>
          <w:tcPr>
            <w:tcW w:w="1985" w:type="dxa"/>
            <w:vMerge/>
            <w:tcBorders>
              <w:top w:val="nil"/>
              <w:left w:val="nil"/>
              <w:bottom w:val="single" w:sz="4" w:space="0" w:color="000000"/>
              <w:right w:val="nil"/>
            </w:tcBorders>
            <w:vAlign w:val="center"/>
            <w:hideMark/>
          </w:tcPr>
          <w:p w14:paraId="613DC9B0" w14:textId="77777777" w:rsidR="00442310" w:rsidRPr="00442310" w:rsidRDefault="00442310" w:rsidP="00442310">
            <w:pPr>
              <w:spacing w:after="0"/>
              <w:jc w:val="left"/>
              <w:rPr>
                <w:rFonts w:ascii="Tw Cen MT" w:hAnsi="Tw Cen MT"/>
                <w:color w:val="000000"/>
                <w:sz w:val="20"/>
                <w:szCs w:val="20"/>
              </w:rPr>
            </w:pPr>
          </w:p>
        </w:tc>
        <w:tc>
          <w:tcPr>
            <w:tcW w:w="1984" w:type="dxa"/>
            <w:vMerge/>
            <w:tcBorders>
              <w:top w:val="nil"/>
              <w:left w:val="nil"/>
              <w:bottom w:val="single" w:sz="4" w:space="0" w:color="000000"/>
              <w:right w:val="single" w:sz="4" w:space="0" w:color="auto"/>
            </w:tcBorders>
            <w:vAlign w:val="center"/>
            <w:hideMark/>
          </w:tcPr>
          <w:p w14:paraId="1A6F4140" w14:textId="77777777" w:rsidR="00442310" w:rsidRPr="00442310" w:rsidRDefault="00442310" w:rsidP="00442310">
            <w:pPr>
              <w:spacing w:after="0"/>
              <w:jc w:val="left"/>
              <w:rPr>
                <w:rFonts w:ascii="Tw Cen MT" w:hAnsi="Tw Cen MT"/>
                <w:color w:val="000000"/>
                <w:sz w:val="20"/>
                <w:szCs w:val="20"/>
              </w:rPr>
            </w:pPr>
          </w:p>
        </w:tc>
      </w:tr>
      <w:tr w:rsidR="00442310" w:rsidRPr="00442310" w14:paraId="7B21C6E7" w14:textId="77777777" w:rsidTr="0075216C">
        <w:trPr>
          <w:trHeight w:val="570"/>
        </w:trPr>
        <w:tc>
          <w:tcPr>
            <w:tcW w:w="993" w:type="dxa"/>
            <w:vMerge/>
            <w:tcBorders>
              <w:top w:val="nil"/>
              <w:left w:val="single" w:sz="4" w:space="0" w:color="auto"/>
              <w:bottom w:val="single" w:sz="4" w:space="0" w:color="auto"/>
              <w:right w:val="nil"/>
            </w:tcBorders>
            <w:vAlign w:val="center"/>
            <w:hideMark/>
          </w:tcPr>
          <w:p w14:paraId="29126883" w14:textId="77777777" w:rsidR="00442310" w:rsidRPr="00442310" w:rsidRDefault="00442310" w:rsidP="00442310">
            <w:pPr>
              <w:spacing w:after="0"/>
              <w:jc w:val="left"/>
              <w:rPr>
                <w:rFonts w:ascii="Tw Cen MT" w:hAnsi="Tw Cen MT"/>
                <w:b/>
                <w:bCs/>
                <w:color w:val="000000"/>
                <w:sz w:val="20"/>
                <w:szCs w:val="20"/>
              </w:rPr>
            </w:pPr>
          </w:p>
        </w:tc>
        <w:tc>
          <w:tcPr>
            <w:tcW w:w="554" w:type="dxa"/>
            <w:vMerge/>
            <w:tcBorders>
              <w:top w:val="nil"/>
              <w:left w:val="single" w:sz="4" w:space="0" w:color="auto"/>
              <w:bottom w:val="single" w:sz="4" w:space="0" w:color="000000"/>
              <w:right w:val="nil"/>
            </w:tcBorders>
            <w:vAlign w:val="center"/>
            <w:hideMark/>
          </w:tcPr>
          <w:p w14:paraId="4240442E" w14:textId="77777777" w:rsidR="00442310" w:rsidRPr="00442310" w:rsidRDefault="00442310" w:rsidP="00442310">
            <w:pPr>
              <w:spacing w:after="0"/>
              <w:jc w:val="left"/>
              <w:rPr>
                <w:rFonts w:ascii="Tw Cen MT" w:hAnsi="Tw Cen MT"/>
                <w:sz w:val="20"/>
                <w:szCs w:val="20"/>
              </w:rPr>
            </w:pPr>
          </w:p>
        </w:tc>
        <w:tc>
          <w:tcPr>
            <w:tcW w:w="3698" w:type="dxa"/>
            <w:vMerge/>
            <w:tcBorders>
              <w:top w:val="nil"/>
              <w:left w:val="nil"/>
              <w:bottom w:val="single" w:sz="4" w:space="0" w:color="000000"/>
              <w:right w:val="nil"/>
            </w:tcBorders>
            <w:vAlign w:val="center"/>
            <w:hideMark/>
          </w:tcPr>
          <w:p w14:paraId="36846357" w14:textId="77777777" w:rsidR="00442310" w:rsidRPr="00442310" w:rsidRDefault="00442310" w:rsidP="00442310">
            <w:pPr>
              <w:spacing w:after="0"/>
              <w:jc w:val="left"/>
              <w:rPr>
                <w:rFonts w:ascii="Tw Cen MT" w:hAnsi="Tw Cen MT"/>
                <w:sz w:val="20"/>
                <w:szCs w:val="20"/>
              </w:rPr>
            </w:pPr>
          </w:p>
        </w:tc>
        <w:tc>
          <w:tcPr>
            <w:tcW w:w="4394" w:type="dxa"/>
            <w:tcBorders>
              <w:top w:val="nil"/>
              <w:left w:val="nil"/>
              <w:bottom w:val="single" w:sz="4" w:space="0" w:color="auto"/>
              <w:right w:val="nil"/>
            </w:tcBorders>
            <w:shd w:val="clear" w:color="auto" w:fill="auto"/>
            <w:vAlign w:val="center"/>
            <w:hideMark/>
          </w:tcPr>
          <w:p w14:paraId="0FE3D727" w14:textId="77777777" w:rsidR="00442310" w:rsidRPr="00442310" w:rsidRDefault="00442310" w:rsidP="00442310">
            <w:pPr>
              <w:spacing w:after="0"/>
              <w:jc w:val="left"/>
              <w:rPr>
                <w:rFonts w:ascii="Tw Cen MT" w:hAnsi="Tw Cen MT"/>
                <w:sz w:val="20"/>
                <w:szCs w:val="20"/>
              </w:rPr>
            </w:pPr>
            <w:r w:rsidRPr="00442310">
              <w:rPr>
                <w:rFonts w:ascii="Tw Cen MT" w:hAnsi="Tw Cen MT"/>
                <w:sz w:val="20"/>
                <w:szCs w:val="20"/>
              </w:rPr>
              <w:t>Renforcement des capacités de l'INRSEN pour le développement de la recherche agricole en lien (si possible) avec des objectifs REDD+</w:t>
            </w:r>
          </w:p>
        </w:tc>
        <w:tc>
          <w:tcPr>
            <w:tcW w:w="1985" w:type="dxa"/>
            <w:vMerge/>
            <w:tcBorders>
              <w:top w:val="nil"/>
              <w:left w:val="nil"/>
              <w:bottom w:val="single" w:sz="4" w:space="0" w:color="000000"/>
              <w:right w:val="nil"/>
            </w:tcBorders>
            <w:vAlign w:val="center"/>
            <w:hideMark/>
          </w:tcPr>
          <w:p w14:paraId="32C19EC7" w14:textId="77777777" w:rsidR="00442310" w:rsidRPr="00442310" w:rsidRDefault="00442310" w:rsidP="00442310">
            <w:pPr>
              <w:spacing w:after="0"/>
              <w:jc w:val="left"/>
              <w:rPr>
                <w:rFonts w:ascii="Tw Cen MT" w:hAnsi="Tw Cen MT"/>
                <w:color w:val="000000"/>
                <w:sz w:val="20"/>
                <w:szCs w:val="20"/>
              </w:rPr>
            </w:pPr>
          </w:p>
        </w:tc>
        <w:tc>
          <w:tcPr>
            <w:tcW w:w="1984" w:type="dxa"/>
            <w:vMerge/>
            <w:tcBorders>
              <w:top w:val="nil"/>
              <w:left w:val="nil"/>
              <w:bottom w:val="single" w:sz="4" w:space="0" w:color="000000"/>
              <w:right w:val="single" w:sz="4" w:space="0" w:color="auto"/>
            </w:tcBorders>
            <w:vAlign w:val="center"/>
            <w:hideMark/>
          </w:tcPr>
          <w:p w14:paraId="48F50731" w14:textId="77777777" w:rsidR="00442310" w:rsidRPr="00442310" w:rsidRDefault="00442310" w:rsidP="00442310">
            <w:pPr>
              <w:spacing w:after="0"/>
              <w:jc w:val="left"/>
              <w:rPr>
                <w:rFonts w:ascii="Tw Cen MT" w:hAnsi="Tw Cen MT"/>
                <w:color w:val="000000"/>
                <w:sz w:val="20"/>
                <w:szCs w:val="20"/>
              </w:rPr>
            </w:pPr>
          </w:p>
        </w:tc>
      </w:tr>
      <w:tr w:rsidR="00442310" w:rsidRPr="00442310" w14:paraId="66B5103B" w14:textId="77777777" w:rsidTr="0075216C">
        <w:trPr>
          <w:trHeight w:val="405"/>
        </w:trPr>
        <w:tc>
          <w:tcPr>
            <w:tcW w:w="993" w:type="dxa"/>
            <w:vMerge w:val="restart"/>
            <w:tcBorders>
              <w:top w:val="single" w:sz="4" w:space="0" w:color="auto"/>
              <w:left w:val="single" w:sz="4" w:space="0" w:color="auto"/>
              <w:bottom w:val="single" w:sz="4" w:space="0" w:color="auto"/>
              <w:right w:val="nil"/>
            </w:tcBorders>
            <w:shd w:val="clear" w:color="000000" w:fill="B8CCE4"/>
            <w:textDirection w:val="btLr"/>
            <w:vAlign w:val="center"/>
            <w:hideMark/>
          </w:tcPr>
          <w:p w14:paraId="59D87F88" w14:textId="77777777" w:rsidR="00442310" w:rsidRPr="00442310" w:rsidRDefault="00442310" w:rsidP="00442310">
            <w:pPr>
              <w:spacing w:after="0"/>
              <w:jc w:val="center"/>
              <w:rPr>
                <w:rFonts w:ascii="Tw Cen MT" w:hAnsi="Tw Cen MT"/>
                <w:b/>
                <w:bCs/>
                <w:color w:val="000000"/>
                <w:sz w:val="20"/>
                <w:szCs w:val="20"/>
              </w:rPr>
            </w:pPr>
            <w:r w:rsidRPr="00442310">
              <w:rPr>
                <w:rFonts w:ascii="Tw Cen MT" w:hAnsi="Tw Cen MT"/>
                <w:b/>
                <w:bCs/>
                <w:color w:val="000000"/>
                <w:sz w:val="20"/>
                <w:szCs w:val="20"/>
              </w:rPr>
              <w:t>SO 3.5 Renforcement des capacités</w:t>
            </w:r>
          </w:p>
        </w:tc>
        <w:tc>
          <w:tcPr>
            <w:tcW w:w="554" w:type="dxa"/>
            <w:vMerge w:val="restart"/>
            <w:tcBorders>
              <w:top w:val="nil"/>
              <w:left w:val="single" w:sz="4" w:space="0" w:color="auto"/>
              <w:bottom w:val="single" w:sz="4" w:space="0" w:color="000000"/>
              <w:right w:val="nil"/>
            </w:tcBorders>
            <w:shd w:val="clear" w:color="auto" w:fill="auto"/>
            <w:noWrap/>
            <w:vAlign w:val="center"/>
            <w:hideMark/>
          </w:tcPr>
          <w:p w14:paraId="61A168BC" w14:textId="77777777" w:rsidR="00442310" w:rsidRPr="00442310" w:rsidRDefault="00442310" w:rsidP="00442310">
            <w:pPr>
              <w:spacing w:after="0"/>
              <w:jc w:val="center"/>
              <w:rPr>
                <w:rFonts w:ascii="Tw Cen MT" w:hAnsi="Tw Cen MT"/>
                <w:color w:val="000000"/>
                <w:sz w:val="20"/>
                <w:szCs w:val="20"/>
              </w:rPr>
            </w:pPr>
            <w:r w:rsidRPr="00442310">
              <w:rPr>
                <w:rFonts w:ascii="Tw Cen MT" w:hAnsi="Tw Cen MT"/>
                <w:color w:val="000000"/>
                <w:sz w:val="20"/>
                <w:szCs w:val="20"/>
              </w:rPr>
              <w:t>351</w:t>
            </w:r>
          </w:p>
        </w:tc>
        <w:tc>
          <w:tcPr>
            <w:tcW w:w="3698" w:type="dxa"/>
            <w:vMerge w:val="restart"/>
            <w:tcBorders>
              <w:top w:val="nil"/>
              <w:left w:val="nil"/>
              <w:bottom w:val="single" w:sz="4" w:space="0" w:color="000000"/>
              <w:right w:val="nil"/>
            </w:tcBorders>
            <w:shd w:val="clear" w:color="auto" w:fill="auto"/>
            <w:vAlign w:val="center"/>
            <w:hideMark/>
          </w:tcPr>
          <w:p w14:paraId="083BD675" w14:textId="77777777" w:rsidR="00442310" w:rsidRPr="00442310" w:rsidRDefault="00442310" w:rsidP="00442310">
            <w:pPr>
              <w:spacing w:after="0"/>
              <w:jc w:val="left"/>
              <w:rPr>
                <w:rFonts w:ascii="Tw Cen MT" w:hAnsi="Tw Cen MT"/>
                <w:color w:val="000000"/>
                <w:sz w:val="20"/>
                <w:szCs w:val="20"/>
              </w:rPr>
            </w:pPr>
            <w:r w:rsidRPr="00442310">
              <w:rPr>
                <w:rFonts w:ascii="Tw Cen MT" w:hAnsi="Tw Cen MT"/>
                <w:color w:val="000000"/>
                <w:sz w:val="20"/>
                <w:szCs w:val="20"/>
              </w:rPr>
              <w:t>Renforcement de la formation professionnelle agricole</w:t>
            </w:r>
          </w:p>
        </w:tc>
        <w:tc>
          <w:tcPr>
            <w:tcW w:w="4394" w:type="dxa"/>
            <w:tcBorders>
              <w:top w:val="nil"/>
              <w:left w:val="nil"/>
              <w:bottom w:val="nil"/>
              <w:right w:val="nil"/>
            </w:tcBorders>
            <w:shd w:val="clear" w:color="auto" w:fill="auto"/>
            <w:vAlign w:val="center"/>
            <w:hideMark/>
          </w:tcPr>
          <w:p w14:paraId="7A9EF807" w14:textId="77777777" w:rsidR="00442310" w:rsidRPr="00442310" w:rsidRDefault="00442310" w:rsidP="00442310">
            <w:pPr>
              <w:spacing w:after="0"/>
              <w:jc w:val="left"/>
              <w:rPr>
                <w:rFonts w:ascii="Tw Cen MT" w:hAnsi="Tw Cen MT"/>
                <w:color w:val="000000"/>
                <w:sz w:val="20"/>
                <w:szCs w:val="20"/>
              </w:rPr>
            </w:pPr>
            <w:r w:rsidRPr="00442310">
              <w:rPr>
                <w:rFonts w:ascii="Tw Cen MT" w:hAnsi="Tw Cen MT"/>
                <w:color w:val="000000"/>
                <w:sz w:val="20"/>
                <w:szCs w:val="20"/>
              </w:rPr>
              <w:t>Elaboration et réalisation des modules de formations REDD+</w:t>
            </w:r>
          </w:p>
        </w:tc>
        <w:tc>
          <w:tcPr>
            <w:tcW w:w="1985" w:type="dxa"/>
            <w:tcBorders>
              <w:top w:val="nil"/>
              <w:left w:val="nil"/>
              <w:bottom w:val="nil"/>
              <w:right w:val="nil"/>
            </w:tcBorders>
            <w:shd w:val="clear" w:color="auto" w:fill="auto"/>
            <w:noWrap/>
            <w:vAlign w:val="center"/>
            <w:hideMark/>
          </w:tcPr>
          <w:p w14:paraId="3F9E2738" w14:textId="77777777" w:rsidR="00442310" w:rsidRPr="00442310" w:rsidRDefault="00442310" w:rsidP="00442310">
            <w:pPr>
              <w:spacing w:after="0"/>
              <w:jc w:val="left"/>
              <w:rPr>
                <w:rFonts w:ascii="Tw Cen MT" w:hAnsi="Tw Cen MT"/>
                <w:color w:val="000000"/>
                <w:sz w:val="20"/>
                <w:szCs w:val="20"/>
              </w:rPr>
            </w:pPr>
            <w:r w:rsidRPr="00442310">
              <w:rPr>
                <w:rFonts w:ascii="Tw Cen MT" w:hAnsi="Tw Cen MT"/>
                <w:color w:val="000000"/>
                <w:sz w:val="20"/>
                <w:szCs w:val="20"/>
              </w:rPr>
              <w:t>Gouvernement</w:t>
            </w:r>
          </w:p>
        </w:tc>
        <w:tc>
          <w:tcPr>
            <w:tcW w:w="1984" w:type="dxa"/>
            <w:tcBorders>
              <w:top w:val="nil"/>
              <w:left w:val="nil"/>
              <w:bottom w:val="nil"/>
              <w:right w:val="single" w:sz="4" w:space="0" w:color="auto"/>
            </w:tcBorders>
            <w:shd w:val="clear" w:color="auto" w:fill="auto"/>
            <w:vAlign w:val="center"/>
            <w:hideMark/>
          </w:tcPr>
          <w:p w14:paraId="315360CB" w14:textId="77777777" w:rsidR="00442310" w:rsidRPr="00442310" w:rsidRDefault="00442310" w:rsidP="00442310">
            <w:pPr>
              <w:spacing w:after="0"/>
              <w:jc w:val="left"/>
              <w:rPr>
                <w:rFonts w:ascii="Tw Cen MT" w:hAnsi="Tw Cen MT"/>
                <w:color w:val="000000"/>
                <w:sz w:val="20"/>
                <w:szCs w:val="20"/>
              </w:rPr>
            </w:pPr>
            <w:proofErr w:type="spellStart"/>
            <w:r w:rsidRPr="00442310">
              <w:rPr>
                <w:rFonts w:ascii="Tw Cen MT" w:hAnsi="Tw Cen MT"/>
                <w:color w:val="000000"/>
                <w:sz w:val="20"/>
                <w:szCs w:val="20"/>
              </w:rPr>
              <w:t>Facilté</w:t>
            </w:r>
            <w:proofErr w:type="spellEnd"/>
            <w:r w:rsidRPr="00442310">
              <w:rPr>
                <w:rFonts w:ascii="Tw Cen MT" w:hAnsi="Tw Cen MT"/>
                <w:color w:val="000000"/>
                <w:sz w:val="20"/>
                <w:szCs w:val="20"/>
              </w:rPr>
              <w:t xml:space="preserve"> UE REDD</w:t>
            </w:r>
          </w:p>
        </w:tc>
      </w:tr>
      <w:tr w:rsidR="00442310" w:rsidRPr="00442310" w14:paraId="592811C3" w14:textId="77777777" w:rsidTr="0075216C">
        <w:trPr>
          <w:trHeight w:val="645"/>
        </w:trPr>
        <w:tc>
          <w:tcPr>
            <w:tcW w:w="993" w:type="dxa"/>
            <w:vMerge/>
            <w:tcBorders>
              <w:top w:val="nil"/>
              <w:left w:val="single" w:sz="4" w:space="0" w:color="auto"/>
              <w:bottom w:val="single" w:sz="4" w:space="0" w:color="auto"/>
              <w:right w:val="nil"/>
            </w:tcBorders>
            <w:vAlign w:val="center"/>
            <w:hideMark/>
          </w:tcPr>
          <w:p w14:paraId="4B3C8206" w14:textId="77777777" w:rsidR="00442310" w:rsidRPr="00442310" w:rsidRDefault="00442310" w:rsidP="00442310">
            <w:pPr>
              <w:spacing w:after="0"/>
              <w:jc w:val="left"/>
              <w:rPr>
                <w:rFonts w:ascii="Tw Cen MT" w:hAnsi="Tw Cen MT"/>
                <w:b/>
                <w:bCs/>
                <w:color w:val="000000"/>
                <w:sz w:val="20"/>
                <w:szCs w:val="20"/>
              </w:rPr>
            </w:pPr>
          </w:p>
        </w:tc>
        <w:tc>
          <w:tcPr>
            <w:tcW w:w="554" w:type="dxa"/>
            <w:vMerge/>
            <w:tcBorders>
              <w:top w:val="nil"/>
              <w:left w:val="single" w:sz="4" w:space="0" w:color="auto"/>
              <w:bottom w:val="single" w:sz="4" w:space="0" w:color="000000"/>
              <w:right w:val="nil"/>
            </w:tcBorders>
            <w:vAlign w:val="center"/>
            <w:hideMark/>
          </w:tcPr>
          <w:p w14:paraId="6B54EACE" w14:textId="77777777" w:rsidR="00442310" w:rsidRPr="00442310" w:rsidRDefault="00442310" w:rsidP="00442310">
            <w:pPr>
              <w:spacing w:after="0"/>
              <w:jc w:val="left"/>
              <w:rPr>
                <w:rFonts w:ascii="Tw Cen MT" w:hAnsi="Tw Cen MT"/>
                <w:color w:val="000000"/>
                <w:sz w:val="20"/>
                <w:szCs w:val="20"/>
              </w:rPr>
            </w:pPr>
          </w:p>
        </w:tc>
        <w:tc>
          <w:tcPr>
            <w:tcW w:w="3698" w:type="dxa"/>
            <w:vMerge/>
            <w:tcBorders>
              <w:top w:val="nil"/>
              <w:left w:val="nil"/>
              <w:bottom w:val="single" w:sz="4" w:space="0" w:color="000000"/>
              <w:right w:val="nil"/>
            </w:tcBorders>
            <w:vAlign w:val="center"/>
            <w:hideMark/>
          </w:tcPr>
          <w:p w14:paraId="33C0DDBE" w14:textId="77777777" w:rsidR="00442310" w:rsidRPr="00442310" w:rsidRDefault="00442310" w:rsidP="00442310">
            <w:pPr>
              <w:spacing w:after="0"/>
              <w:jc w:val="left"/>
              <w:rPr>
                <w:rFonts w:ascii="Tw Cen MT" w:hAnsi="Tw Cen MT"/>
                <w:color w:val="000000"/>
                <w:sz w:val="20"/>
                <w:szCs w:val="20"/>
              </w:rPr>
            </w:pPr>
          </w:p>
        </w:tc>
        <w:tc>
          <w:tcPr>
            <w:tcW w:w="4394" w:type="dxa"/>
            <w:tcBorders>
              <w:top w:val="nil"/>
              <w:left w:val="nil"/>
              <w:bottom w:val="nil"/>
              <w:right w:val="nil"/>
            </w:tcBorders>
            <w:shd w:val="clear" w:color="000000" w:fill="F2F2F2"/>
            <w:vAlign w:val="center"/>
            <w:hideMark/>
          </w:tcPr>
          <w:p w14:paraId="09079413"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 xml:space="preserve">Réalisation de formations en techniques agricoles qui vont dans le sens d’une préservation des espaces forestiers / amélioration des rendements </w:t>
            </w:r>
          </w:p>
        </w:tc>
        <w:tc>
          <w:tcPr>
            <w:tcW w:w="3969" w:type="dxa"/>
            <w:gridSpan w:val="2"/>
            <w:tcBorders>
              <w:top w:val="nil"/>
              <w:left w:val="nil"/>
              <w:bottom w:val="nil"/>
              <w:right w:val="single" w:sz="4" w:space="0" w:color="000000"/>
            </w:tcBorders>
            <w:shd w:val="clear" w:color="000000" w:fill="F2F2F2"/>
            <w:vAlign w:val="center"/>
            <w:hideMark/>
          </w:tcPr>
          <w:p w14:paraId="02C84C69"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 xml:space="preserve">Activité couverte par 311 et 312 </w:t>
            </w:r>
          </w:p>
        </w:tc>
      </w:tr>
      <w:tr w:rsidR="00442310" w:rsidRPr="00442310" w14:paraId="0FF9B655" w14:textId="77777777" w:rsidTr="0075216C">
        <w:trPr>
          <w:trHeight w:val="285"/>
        </w:trPr>
        <w:tc>
          <w:tcPr>
            <w:tcW w:w="993" w:type="dxa"/>
            <w:vMerge/>
            <w:tcBorders>
              <w:top w:val="nil"/>
              <w:left w:val="single" w:sz="4" w:space="0" w:color="auto"/>
              <w:bottom w:val="single" w:sz="4" w:space="0" w:color="auto"/>
              <w:right w:val="nil"/>
            </w:tcBorders>
            <w:vAlign w:val="center"/>
            <w:hideMark/>
          </w:tcPr>
          <w:p w14:paraId="713E59D4" w14:textId="77777777" w:rsidR="00442310" w:rsidRPr="00442310" w:rsidRDefault="00442310" w:rsidP="00442310">
            <w:pPr>
              <w:spacing w:after="0"/>
              <w:jc w:val="left"/>
              <w:rPr>
                <w:rFonts w:ascii="Tw Cen MT" w:hAnsi="Tw Cen MT"/>
                <w:b/>
                <w:bCs/>
                <w:color w:val="000000"/>
                <w:sz w:val="20"/>
                <w:szCs w:val="20"/>
              </w:rPr>
            </w:pPr>
          </w:p>
        </w:tc>
        <w:tc>
          <w:tcPr>
            <w:tcW w:w="554" w:type="dxa"/>
            <w:vMerge/>
            <w:tcBorders>
              <w:top w:val="nil"/>
              <w:left w:val="single" w:sz="4" w:space="0" w:color="auto"/>
              <w:bottom w:val="single" w:sz="4" w:space="0" w:color="000000"/>
              <w:right w:val="nil"/>
            </w:tcBorders>
            <w:vAlign w:val="center"/>
            <w:hideMark/>
          </w:tcPr>
          <w:p w14:paraId="000911C1" w14:textId="77777777" w:rsidR="00442310" w:rsidRPr="00442310" w:rsidRDefault="00442310" w:rsidP="00442310">
            <w:pPr>
              <w:spacing w:after="0"/>
              <w:jc w:val="left"/>
              <w:rPr>
                <w:rFonts w:ascii="Tw Cen MT" w:hAnsi="Tw Cen MT"/>
                <w:color w:val="000000"/>
                <w:sz w:val="20"/>
                <w:szCs w:val="20"/>
              </w:rPr>
            </w:pPr>
          </w:p>
        </w:tc>
        <w:tc>
          <w:tcPr>
            <w:tcW w:w="3698" w:type="dxa"/>
            <w:vMerge/>
            <w:tcBorders>
              <w:top w:val="nil"/>
              <w:left w:val="nil"/>
              <w:bottom w:val="single" w:sz="4" w:space="0" w:color="000000"/>
              <w:right w:val="nil"/>
            </w:tcBorders>
            <w:vAlign w:val="center"/>
            <w:hideMark/>
          </w:tcPr>
          <w:p w14:paraId="76FAD6C7" w14:textId="77777777" w:rsidR="00442310" w:rsidRPr="00442310" w:rsidRDefault="00442310" w:rsidP="00442310">
            <w:pPr>
              <w:spacing w:after="0"/>
              <w:jc w:val="left"/>
              <w:rPr>
                <w:rFonts w:ascii="Tw Cen MT" w:hAnsi="Tw Cen MT"/>
                <w:color w:val="000000"/>
                <w:sz w:val="20"/>
                <w:szCs w:val="20"/>
              </w:rPr>
            </w:pPr>
          </w:p>
        </w:tc>
        <w:tc>
          <w:tcPr>
            <w:tcW w:w="4394" w:type="dxa"/>
            <w:tcBorders>
              <w:top w:val="nil"/>
              <w:left w:val="nil"/>
              <w:bottom w:val="nil"/>
              <w:right w:val="nil"/>
            </w:tcBorders>
            <w:shd w:val="clear" w:color="000000" w:fill="F2F2F2"/>
            <w:vAlign w:val="center"/>
            <w:hideMark/>
          </w:tcPr>
          <w:p w14:paraId="100E7CF2"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Réalisation de formations en gestion des groupements de producteurs</w:t>
            </w:r>
          </w:p>
        </w:tc>
        <w:tc>
          <w:tcPr>
            <w:tcW w:w="3969" w:type="dxa"/>
            <w:gridSpan w:val="2"/>
            <w:tcBorders>
              <w:top w:val="nil"/>
              <w:left w:val="nil"/>
              <w:bottom w:val="nil"/>
              <w:right w:val="single" w:sz="4" w:space="0" w:color="000000"/>
            </w:tcBorders>
            <w:shd w:val="clear" w:color="000000" w:fill="F2F2F2"/>
            <w:vAlign w:val="center"/>
            <w:hideMark/>
          </w:tcPr>
          <w:p w14:paraId="16DBF95A"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 xml:space="preserve">Activité couverte par 311 et 312 </w:t>
            </w:r>
          </w:p>
        </w:tc>
      </w:tr>
      <w:tr w:rsidR="00442310" w:rsidRPr="00442310" w14:paraId="7FB2D735" w14:textId="77777777" w:rsidTr="0075216C">
        <w:trPr>
          <w:trHeight w:val="570"/>
        </w:trPr>
        <w:tc>
          <w:tcPr>
            <w:tcW w:w="993" w:type="dxa"/>
            <w:vMerge/>
            <w:tcBorders>
              <w:top w:val="nil"/>
              <w:left w:val="single" w:sz="4" w:space="0" w:color="auto"/>
              <w:bottom w:val="single" w:sz="4" w:space="0" w:color="auto"/>
              <w:right w:val="nil"/>
            </w:tcBorders>
            <w:vAlign w:val="center"/>
            <w:hideMark/>
          </w:tcPr>
          <w:p w14:paraId="79D49D0A" w14:textId="77777777" w:rsidR="00442310" w:rsidRPr="00442310" w:rsidRDefault="00442310" w:rsidP="00442310">
            <w:pPr>
              <w:spacing w:after="0"/>
              <w:jc w:val="left"/>
              <w:rPr>
                <w:rFonts w:ascii="Tw Cen MT" w:hAnsi="Tw Cen MT"/>
                <w:b/>
                <w:bCs/>
                <w:color w:val="000000"/>
                <w:sz w:val="20"/>
                <w:szCs w:val="20"/>
              </w:rPr>
            </w:pPr>
          </w:p>
        </w:tc>
        <w:tc>
          <w:tcPr>
            <w:tcW w:w="554" w:type="dxa"/>
            <w:tcBorders>
              <w:top w:val="nil"/>
              <w:left w:val="single" w:sz="4" w:space="0" w:color="auto"/>
              <w:bottom w:val="single" w:sz="4" w:space="0" w:color="auto"/>
              <w:right w:val="nil"/>
            </w:tcBorders>
            <w:shd w:val="clear" w:color="000000" w:fill="F2F2F2"/>
            <w:noWrap/>
            <w:vAlign w:val="center"/>
            <w:hideMark/>
          </w:tcPr>
          <w:p w14:paraId="6C997161"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352</w:t>
            </w:r>
          </w:p>
        </w:tc>
        <w:tc>
          <w:tcPr>
            <w:tcW w:w="3698" w:type="dxa"/>
            <w:tcBorders>
              <w:top w:val="nil"/>
              <w:left w:val="nil"/>
              <w:bottom w:val="single" w:sz="4" w:space="0" w:color="auto"/>
              <w:right w:val="nil"/>
            </w:tcBorders>
            <w:shd w:val="clear" w:color="000000" w:fill="F2F2F2"/>
            <w:vAlign w:val="center"/>
            <w:hideMark/>
          </w:tcPr>
          <w:p w14:paraId="559F940B"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Formation des producteurs agricoles en techniques de domestication des plantes</w:t>
            </w:r>
          </w:p>
        </w:tc>
        <w:tc>
          <w:tcPr>
            <w:tcW w:w="4394" w:type="dxa"/>
            <w:tcBorders>
              <w:top w:val="single" w:sz="4" w:space="0" w:color="auto"/>
              <w:left w:val="nil"/>
              <w:bottom w:val="single" w:sz="4" w:space="0" w:color="auto"/>
              <w:right w:val="nil"/>
            </w:tcBorders>
            <w:shd w:val="clear" w:color="000000" w:fill="F2F2F2"/>
            <w:vAlign w:val="center"/>
            <w:hideMark/>
          </w:tcPr>
          <w:p w14:paraId="65FF42EF"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w:t>
            </w:r>
          </w:p>
        </w:tc>
        <w:tc>
          <w:tcPr>
            <w:tcW w:w="3969" w:type="dxa"/>
            <w:gridSpan w:val="2"/>
            <w:tcBorders>
              <w:top w:val="single" w:sz="4" w:space="0" w:color="auto"/>
              <w:left w:val="nil"/>
              <w:bottom w:val="nil"/>
              <w:right w:val="single" w:sz="4" w:space="0" w:color="000000"/>
            </w:tcBorders>
            <w:shd w:val="clear" w:color="000000" w:fill="F2F2F2"/>
            <w:noWrap/>
            <w:vAlign w:val="center"/>
            <w:hideMark/>
          </w:tcPr>
          <w:p w14:paraId="0CB7BBF8"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Activité couverte par 241 et 242</w:t>
            </w:r>
          </w:p>
        </w:tc>
      </w:tr>
      <w:tr w:rsidR="00442310" w:rsidRPr="00442310" w14:paraId="4FDC3870" w14:textId="77777777" w:rsidTr="0075216C">
        <w:trPr>
          <w:trHeight w:val="1470"/>
        </w:trPr>
        <w:tc>
          <w:tcPr>
            <w:tcW w:w="993" w:type="dxa"/>
            <w:vMerge/>
            <w:tcBorders>
              <w:top w:val="nil"/>
              <w:left w:val="single" w:sz="4" w:space="0" w:color="auto"/>
              <w:bottom w:val="single" w:sz="4" w:space="0" w:color="auto"/>
              <w:right w:val="nil"/>
            </w:tcBorders>
            <w:vAlign w:val="center"/>
            <w:hideMark/>
          </w:tcPr>
          <w:p w14:paraId="0AF6FC5A" w14:textId="77777777" w:rsidR="00442310" w:rsidRPr="00442310" w:rsidRDefault="00442310" w:rsidP="00442310">
            <w:pPr>
              <w:spacing w:after="0"/>
              <w:jc w:val="left"/>
              <w:rPr>
                <w:rFonts w:ascii="Tw Cen MT" w:hAnsi="Tw Cen MT"/>
                <w:b/>
                <w:bCs/>
                <w:color w:val="000000"/>
                <w:sz w:val="20"/>
                <w:szCs w:val="20"/>
              </w:rPr>
            </w:pPr>
          </w:p>
        </w:tc>
        <w:tc>
          <w:tcPr>
            <w:tcW w:w="554" w:type="dxa"/>
            <w:tcBorders>
              <w:top w:val="nil"/>
              <w:left w:val="single" w:sz="4" w:space="0" w:color="auto"/>
              <w:bottom w:val="single" w:sz="4" w:space="0" w:color="auto"/>
              <w:right w:val="nil"/>
            </w:tcBorders>
            <w:shd w:val="clear" w:color="000000" w:fill="F2F2F2"/>
            <w:noWrap/>
            <w:vAlign w:val="center"/>
            <w:hideMark/>
          </w:tcPr>
          <w:p w14:paraId="403BB1FB"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353</w:t>
            </w:r>
          </w:p>
        </w:tc>
        <w:tc>
          <w:tcPr>
            <w:tcW w:w="3698" w:type="dxa"/>
            <w:tcBorders>
              <w:top w:val="nil"/>
              <w:left w:val="nil"/>
              <w:bottom w:val="single" w:sz="4" w:space="0" w:color="auto"/>
              <w:right w:val="nil"/>
            </w:tcBorders>
            <w:shd w:val="clear" w:color="000000" w:fill="F2F2F2"/>
            <w:vAlign w:val="center"/>
            <w:hideMark/>
          </w:tcPr>
          <w:p w14:paraId="4D27C73E"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Appui et formation des producteurs agricoles dans la création et la gestion des champs de multiplications de cultures vivrières (maïs, manioc, haricot, arachide et autres…) et des systèmes agroforestiers</w:t>
            </w:r>
          </w:p>
        </w:tc>
        <w:tc>
          <w:tcPr>
            <w:tcW w:w="4394" w:type="dxa"/>
            <w:tcBorders>
              <w:top w:val="nil"/>
              <w:left w:val="nil"/>
              <w:bottom w:val="single" w:sz="4" w:space="0" w:color="auto"/>
              <w:right w:val="nil"/>
            </w:tcBorders>
            <w:shd w:val="clear" w:color="000000" w:fill="F2F2F2"/>
            <w:vAlign w:val="center"/>
            <w:hideMark/>
          </w:tcPr>
          <w:p w14:paraId="0A13864B"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w:t>
            </w:r>
          </w:p>
        </w:tc>
        <w:tc>
          <w:tcPr>
            <w:tcW w:w="3969" w:type="dxa"/>
            <w:gridSpan w:val="2"/>
            <w:tcBorders>
              <w:top w:val="single" w:sz="4" w:space="0" w:color="auto"/>
              <w:left w:val="nil"/>
              <w:bottom w:val="nil"/>
              <w:right w:val="single" w:sz="4" w:space="0" w:color="000000"/>
            </w:tcBorders>
            <w:shd w:val="clear" w:color="000000" w:fill="F2F2F2"/>
            <w:noWrap/>
            <w:vAlign w:val="center"/>
            <w:hideMark/>
          </w:tcPr>
          <w:p w14:paraId="2A13ACE3"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Activité couverte par 311 et 312</w:t>
            </w:r>
          </w:p>
        </w:tc>
      </w:tr>
      <w:tr w:rsidR="00442310" w:rsidRPr="00442310" w14:paraId="4399F40C" w14:textId="77777777" w:rsidTr="0075216C">
        <w:trPr>
          <w:trHeight w:val="570"/>
        </w:trPr>
        <w:tc>
          <w:tcPr>
            <w:tcW w:w="993" w:type="dxa"/>
            <w:vMerge/>
            <w:tcBorders>
              <w:top w:val="nil"/>
              <w:left w:val="single" w:sz="4" w:space="0" w:color="auto"/>
              <w:bottom w:val="single" w:sz="4" w:space="0" w:color="auto"/>
              <w:right w:val="nil"/>
            </w:tcBorders>
            <w:vAlign w:val="center"/>
            <w:hideMark/>
          </w:tcPr>
          <w:p w14:paraId="4E6DEE76" w14:textId="77777777" w:rsidR="00442310" w:rsidRPr="00442310" w:rsidRDefault="00442310" w:rsidP="00442310">
            <w:pPr>
              <w:spacing w:after="0"/>
              <w:jc w:val="left"/>
              <w:rPr>
                <w:rFonts w:ascii="Tw Cen MT" w:hAnsi="Tw Cen MT"/>
                <w:b/>
                <w:bCs/>
                <w:color w:val="000000"/>
                <w:sz w:val="20"/>
                <w:szCs w:val="20"/>
              </w:rPr>
            </w:pPr>
          </w:p>
        </w:tc>
        <w:tc>
          <w:tcPr>
            <w:tcW w:w="554" w:type="dxa"/>
            <w:tcBorders>
              <w:top w:val="nil"/>
              <w:left w:val="single" w:sz="4" w:space="0" w:color="auto"/>
              <w:bottom w:val="single" w:sz="4" w:space="0" w:color="auto"/>
              <w:right w:val="nil"/>
            </w:tcBorders>
            <w:shd w:val="clear" w:color="000000" w:fill="F2F2F2"/>
            <w:noWrap/>
            <w:vAlign w:val="center"/>
            <w:hideMark/>
          </w:tcPr>
          <w:p w14:paraId="6A621389"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354</w:t>
            </w:r>
          </w:p>
        </w:tc>
        <w:tc>
          <w:tcPr>
            <w:tcW w:w="3698" w:type="dxa"/>
            <w:tcBorders>
              <w:top w:val="nil"/>
              <w:left w:val="nil"/>
              <w:bottom w:val="single" w:sz="4" w:space="0" w:color="auto"/>
              <w:right w:val="nil"/>
            </w:tcBorders>
            <w:shd w:val="clear" w:color="000000" w:fill="F2F2F2"/>
            <w:vAlign w:val="center"/>
            <w:hideMark/>
          </w:tcPr>
          <w:p w14:paraId="4F945379"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 xml:space="preserve">Aide à l'élaboration des plans d'affaires pour les producteurs agricoles </w:t>
            </w:r>
          </w:p>
        </w:tc>
        <w:tc>
          <w:tcPr>
            <w:tcW w:w="4394" w:type="dxa"/>
            <w:tcBorders>
              <w:top w:val="nil"/>
              <w:left w:val="nil"/>
              <w:bottom w:val="single" w:sz="4" w:space="0" w:color="auto"/>
              <w:right w:val="nil"/>
            </w:tcBorders>
            <w:shd w:val="clear" w:color="000000" w:fill="F2F2F2"/>
            <w:vAlign w:val="center"/>
            <w:hideMark/>
          </w:tcPr>
          <w:p w14:paraId="08532798" w14:textId="77777777" w:rsidR="00442310" w:rsidRPr="00442310" w:rsidRDefault="00442310" w:rsidP="00442310">
            <w:pPr>
              <w:spacing w:after="0"/>
              <w:jc w:val="left"/>
              <w:rPr>
                <w:rFonts w:ascii="Tw Cen MT" w:hAnsi="Tw Cen MT"/>
                <w:color w:val="808080"/>
                <w:sz w:val="20"/>
                <w:szCs w:val="20"/>
              </w:rPr>
            </w:pPr>
            <w:r w:rsidRPr="00442310">
              <w:rPr>
                <w:rFonts w:ascii="Tw Cen MT" w:hAnsi="Tw Cen MT"/>
                <w:color w:val="808080"/>
                <w:sz w:val="20"/>
                <w:szCs w:val="20"/>
              </w:rPr>
              <w:t>-</w:t>
            </w:r>
          </w:p>
        </w:tc>
        <w:tc>
          <w:tcPr>
            <w:tcW w:w="3969"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7922B580" w14:textId="77777777" w:rsidR="00442310" w:rsidRPr="00442310" w:rsidRDefault="00442310" w:rsidP="00442310">
            <w:pPr>
              <w:spacing w:after="0"/>
              <w:jc w:val="center"/>
              <w:rPr>
                <w:rFonts w:ascii="Tw Cen MT" w:hAnsi="Tw Cen MT"/>
                <w:color w:val="808080"/>
                <w:sz w:val="20"/>
                <w:szCs w:val="20"/>
              </w:rPr>
            </w:pPr>
            <w:r w:rsidRPr="00442310">
              <w:rPr>
                <w:rFonts w:ascii="Tw Cen MT" w:hAnsi="Tw Cen MT"/>
                <w:color w:val="808080"/>
                <w:sz w:val="20"/>
                <w:szCs w:val="20"/>
              </w:rPr>
              <w:t>Activité couverte par 311 et 312</w:t>
            </w:r>
          </w:p>
        </w:tc>
      </w:tr>
    </w:tbl>
    <w:p w14:paraId="6781A9AB" w14:textId="77777777" w:rsidR="00563458" w:rsidRDefault="00563458" w:rsidP="00643127">
      <w:pPr>
        <w:rPr>
          <w:highlight w:val="yellow"/>
        </w:rPr>
      </w:pPr>
    </w:p>
    <w:p w14:paraId="74570625" w14:textId="77777777" w:rsidR="00563458" w:rsidRDefault="00563458" w:rsidP="00643127">
      <w:pPr>
        <w:rPr>
          <w:highlight w:val="yellow"/>
        </w:rPr>
      </w:pPr>
    </w:p>
    <w:tbl>
      <w:tblPr>
        <w:tblW w:w="13608" w:type="dxa"/>
        <w:tblInd w:w="70" w:type="dxa"/>
        <w:tblCellMar>
          <w:left w:w="70" w:type="dxa"/>
          <w:right w:w="70" w:type="dxa"/>
        </w:tblCellMar>
        <w:tblLook w:val="04A0" w:firstRow="1" w:lastRow="0" w:firstColumn="1" w:lastColumn="0" w:noHBand="0" w:noVBand="1"/>
      </w:tblPr>
      <w:tblGrid>
        <w:gridCol w:w="993"/>
        <w:gridCol w:w="567"/>
        <w:gridCol w:w="3661"/>
        <w:gridCol w:w="4418"/>
        <w:gridCol w:w="1985"/>
        <w:gridCol w:w="1984"/>
      </w:tblGrid>
      <w:tr w:rsidR="00567684" w:rsidRPr="00567684" w14:paraId="63E90835" w14:textId="77777777" w:rsidTr="00567684">
        <w:trPr>
          <w:trHeight w:val="315"/>
        </w:trPr>
        <w:tc>
          <w:tcPr>
            <w:tcW w:w="9639" w:type="dxa"/>
            <w:gridSpan w:val="4"/>
            <w:tcBorders>
              <w:top w:val="single" w:sz="4" w:space="0" w:color="auto"/>
              <w:left w:val="single" w:sz="4" w:space="0" w:color="auto"/>
              <w:bottom w:val="nil"/>
              <w:right w:val="nil"/>
            </w:tcBorders>
            <w:shd w:val="clear" w:color="000000" w:fill="F79646"/>
            <w:noWrap/>
            <w:vAlign w:val="bottom"/>
            <w:hideMark/>
          </w:tcPr>
          <w:p w14:paraId="64D0C77A" w14:textId="77777777" w:rsidR="00567684" w:rsidRPr="00567684" w:rsidRDefault="00567684" w:rsidP="00567684">
            <w:pPr>
              <w:spacing w:after="0"/>
              <w:jc w:val="left"/>
              <w:rPr>
                <w:rFonts w:ascii="Tw Cen MT" w:hAnsi="Tw Cen MT"/>
                <w:b/>
                <w:bCs/>
                <w:sz w:val="20"/>
                <w:szCs w:val="20"/>
              </w:rPr>
            </w:pPr>
            <w:r w:rsidRPr="00567684">
              <w:rPr>
                <w:rFonts w:ascii="Tw Cen MT" w:hAnsi="Tw Cen MT"/>
                <w:b/>
                <w:bCs/>
                <w:sz w:val="20"/>
                <w:szCs w:val="20"/>
              </w:rPr>
              <w:lastRenderedPageBreak/>
              <w:t>OPTION 4 : Rationalisation de la production et de l'utilisation du bois énergie</w:t>
            </w:r>
          </w:p>
        </w:tc>
        <w:tc>
          <w:tcPr>
            <w:tcW w:w="1985" w:type="dxa"/>
            <w:tcBorders>
              <w:top w:val="single" w:sz="4" w:space="0" w:color="auto"/>
              <w:left w:val="nil"/>
              <w:bottom w:val="nil"/>
              <w:right w:val="nil"/>
            </w:tcBorders>
            <w:shd w:val="clear" w:color="000000" w:fill="F79646"/>
            <w:noWrap/>
            <w:vAlign w:val="bottom"/>
            <w:hideMark/>
          </w:tcPr>
          <w:p w14:paraId="3881733B"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 </w:t>
            </w:r>
          </w:p>
        </w:tc>
        <w:tc>
          <w:tcPr>
            <w:tcW w:w="1984" w:type="dxa"/>
            <w:tcBorders>
              <w:top w:val="single" w:sz="4" w:space="0" w:color="auto"/>
              <w:left w:val="nil"/>
              <w:bottom w:val="nil"/>
              <w:right w:val="single" w:sz="4" w:space="0" w:color="auto"/>
            </w:tcBorders>
            <w:shd w:val="clear" w:color="000000" w:fill="F79646"/>
            <w:vAlign w:val="center"/>
            <w:hideMark/>
          </w:tcPr>
          <w:p w14:paraId="592E6517" w14:textId="77777777" w:rsidR="00567684" w:rsidRPr="00567684" w:rsidRDefault="00567684" w:rsidP="00567684">
            <w:pPr>
              <w:spacing w:after="0"/>
              <w:jc w:val="center"/>
              <w:rPr>
                <w:rFonts w:ascii="Tw Cen MT" w:hAnsi="Tw Cen MT"/>
                <w:color w:val="000000"/>
                <w:sz w:val="20"/>
                <w:szCs w:val="20"/>
              </w:rPr>
            </w:pPr>
            <w:r w:rsidRPr="00567684">
              <w:rPr>
                <w:rFonts w:ascii="Tw Cen MT" w:hAnsi="Tw Cen MT"/>
                <w:color w:val="000000"/>
                <w:sz w:val="20"/>
                <w:szCs w:val="20"/>
              </w:rPr>
              <w:t> </w:t>
            </w:r>
          </w:p>
        </w:tc>
      </w:tr>
      <w:tr w:rsidR="00567684" w:rsidRPr="00567684" w14:paraId="52B65F69" w14:textId="77777777" w:rsidTr="00567684">
        <w:trPr>
          <w:trHeight w:val="285"/>
        </w:trPr>
        <w:tc>
          <w:tcPr>
            <w:tcW w:w="993" w:type="dxa"/>
            <w:vMerge w:val="restart"/>
            <w:tcBorders>
              <w:top w:val="nil"/>
              <w:left w:val="single" w:sz="4" w:space="0" w:color="auto"/>
              <w:bottom w:val="nil"/>
              <w:right w:val="nil"/>
            </w:tcBorders>
            <w:shd w:val="clear" w:color="000000" w:fill="B8CCE4"/>
            <w:vAlign w:val="center"/>
            <w:hideMark/>
          </w:tcPr>
          <w:p w14:paraId="7DECC5D2" w14:textId="77777777" w:rsidR="00567684" w:rsidRPr="00567684" w:rsidRDefault="00567684" w:rsidP="00567684">
            <w:pPr>
              <w:spacing w:after="0"/>
              <w:jc w:val="center"/>
              <w:rPr>
                <w:rFonts w:ascii="Tw Cen MT" w:hAnsi="Tw Cen MT"/>
                <w:b/>
                <w:bCs/>
                <w:color w:val="000000"/>
                <w:sz w:val="20"/>
                <w:szCs w:val="20"/>
              </w:rPr>
            </w:pPr>
            <w:r w:rsidRPr="00567684">
              <w:rPr>
                <w:rFonts w:ascii="Tw Cen MT" w:hAnsi="Tw Cen MT"/>
                <w:b/>
                <w:bCs/>
                <w:color w:val="000000"/>
                <w:sz w:val="20"/>
                <w:szCs w:val="20"/>
              </w:rPr>
              <w:t>Sous Option</w:t>
            </w:r>
          </w:p>
        </w:tc>
        <w:tc>
          <w:tcPr>
            <w:tcW w:w="4228" w:type="dxa"/>
            <w:gridSpan w:val="2"/>
            <w:vMerge w:val="restart"/>
            <w:tcBorders>
              <w:top w:val="nil"/>
              <w:left w:val="nil"/>
              <w:bottom w:val="nil"/>
              <w:right w:val="nil"/>
            </w:tcBorders>
            <w:shd w:val="clear" w:color="000000" w:fill="B8CCE4"/>
            <w:vAlign w:val="center"/>
            <w:hideMark/>
          </w:tcPr>
          <w:p w14:paraId="7F6E110E" w14:textId="77777777" w:rsidR="00567684" w:rsidRPr="00567684" w:rsidRDefault="00567684" w:rsidP="00567684">
            <w:pPr>
              <w:spacing w:after="0"/>
              <w:jc w:val="center"/>
              <w:rPr>
                <w:rFonts w:ascii="Tw Cen MT" w:hAnsi="Tw Cen MT"/>
                <w:b/>
                <w:bCs/>
                <w:color w:val="000000"/>
                <w:sz w:val="20"/>
                <w:szCs w:val="20"/>
              </w:rPr>
            </w:pPr>
            <w:r w:rsidRPr="00567684">
              <w:rPr>
                <w:rFonts w:ascii="Tw Cen MT" w:hAnsi="Tw Cen MT"/>
                <w:b/>
                <w:bCs/>
                <w:color w:val="000000"/>
                <w:sz w:val="20"/>
                <w:szCs w:val="20"/>
              </w:rPr>
              <w:t xml:space="preserve">Activité </w:t>
            </w:r>
          </w:p>
        </w:tc>
        <w:tc>
          <w:tcPr>
            <w:tcW w:w="4418" w:type="dxa"/>
            <w:vMerge w:val="restart"/>
            <w:tcBorders>
              <w:top w:val="nil"/>
              <w:left w:val="nil"/>
              <w:bottom w:val="nil"/>
              <w:right w:val="nil"/>
            </w:tcBorders>
            <w:shd w:val="clear" w:color="000000" w:fill="B8CCE4"/>
            <w:vAlign w:val="center"/>
            <w:hideMark/>
          </w:tcPr>
          <w:p w14:paraId="3C914B62" w14:textId="77777777" w:rsidR="00567684" w:rsidRPr="00567684" w:rsidRDefault="00567684" w:rsidP="00567684">
            <w:pPr>
              <w:spacing w:after="0"/>
              <w:jc w:val="center"/>
              <w:rPr>
                <w:rFonts w:ascii="Tw Cen MT" w:hAnsi="Tw Cen MT"/>
                <w:b/>
                <w:bCs/>
                <w:color w:val="000000"/>
                <w:sz w:val="20"/>
                <w:szCs w:val="20"/>
              </w:rPr>
            </w:pPr>
            <w:r w:rsidRPr="00567684">
              <w:rPr>
                <w:rFonts w:ascii="Tw Cen MT" w:hAnsi="Tw Cen MT"/>
                <w:b/>
                <w:bCs/>
                <w:color w:val="000000"/>
                <w:sz w:val="20"/>
                <w:szCs w:val="20"/>
              </w:rPr>
              <w:t>Sous-activité</w:t>
            </w:r>
          </w:p>
        </w:tc>
        <w:tc>
          <w:tcPr>
            <w:tcW w:w="3969" w:type="dxa"/>
            <w:gridSpan w:val="2"/>
            <w:tcBorders>
              <w:top w:val="nil"/>
              <w:left w:val="nil"/>
              <w:bottom w:val="nil"/>
              <w:right w:val="single" w:sz="4" w:space="0" w:color="auto"/>
            </w:tcBorders>
            <w:shd w:val="clear" w:color="000000" w:fill="B8CCE4"/>
            <w:noWrap/>
            <w:vAlign w:val="bottom"/>
            <w:hideMark/>
          </w:tcPr>
          <w:p w14:paraId="2D05CDD6" w14:textId="77777777" w:rsidR="00567684" w:rsidRPr="00567684" w:rsidRDefault="00567684" w:rsidP="00567684">
            <w:pPr>
              <w:spacing w:after="0"/>
              <w:jc w:val="center"/>
              <w:rPr>
                <w:rFonts w:ascii="Tw Cen MT" w:hAnsi="Tw Cen MT"/>
                <w:b/>
                <w:bCs/>
                <w:sz w:val="20"/>
                <w:szCs w:val="20"/>
              </w:rPr>
            </w:pPr>
            <w:r w:rsidRPr="00567684">
              <w:rPr>
                <w:rFonts w:ascii="Tw Cen MT" w:hAnsi="Tw Cen MT"/>
                <w:b/>
                <w:bCs/>
                <w:sz w:val="20"/>
                <w:szCs w:val="20"/>
              </w:rPr>
              <w:t>Sources de financement potentielles</w:t>
            </w:r>
          </w:p>
        </w:tc>
      </w:tr>
      <w:tr w:rsidR="00567684" w:rsidRPr="00567684" w14:paraId="4232DFE1" w14:textId="77777777" w:rsidTr="00567684">
        <w:trPr>
          <w:trHeight w:val="285"/>
        </w:trPr>
        <w:tc>
          <w:tcPr>
            <w:tcW w:w="993" w:type="dxa"/>
            <w:vMerge/>
            <w:tcBorders>
              <w:top w:val="nil"/>
              <w:left w:val="single" w:sz="4" w:space="0" w:color="auto"/>
              <w:bottom w:val="single" w:sz="4" w:space="0" w:color="auto"/>
              <w:right w:val="nil"/>
            </w:tcBorders>
            <w:vAlign w:val="center"/>
            <w:hideMark/>
          </w:tcPr>
          <w:p w14:paraId="397722BA" w14:textId="77777777" w:rsidR="00567684" w:rsidRPr="00567684" w:rsidRDefault="00567684" w:rsidP="00567684">
            <w:pPr>
              <w:spacing w:after="0"/>
              <w:jc w:val="left"/>
              <w:rPr>
                <w:rFonts w:ascii="Tw Cen MT" w:hAnsi="Tw Cen MT"/>
                <w:b/>
                <w:bCs/>
                <w:color w:val="000000"/>
                <w:sz w:val="20"/>
                <w:szCs w:val="20"/>
              </w:rPr>
            </w:pPr>
          </w:p>
        </w:tc>
        <w:tc>
          <w:tcPr>
            <w:tcW w:w="4228" w:type="dxa"/>
            <w:gridSpan w:val="2"/>
            <w:vMerge/>
            <w:tcBorders>
              <w:top w:val="nil"/>
              <w:left w:val="nil"/>
              <w:bottom w:val="single" w:sz="4" w:space="0" w:color="auto"/>
              <w:right w:val="nil"/>
            </w:tcBorders>
            <w:vAlign w:val="center"/>
            <w:hideMark/>
          </w:tcPr>
          <w:p w14:paraId="2A7BFC68" w14:textId="77777777" w:rsidR="00567684" w:rsidRPr="00567684" w:rsidRDefault="00567684" w:rsidP="00567684">
            <w:pPr>
              <w:spacing w:after="0"/>
              <w:jc w:val="left"/>
              <w:rPr>
                <w:rFonts w:ascii="Tw Cen MT" w:hAnsi="Tw Cen MT"/>
                <w:b/>
                <w:bCs/>
                <w:color w:val="000000"/>
                <w:sz w:val="20"/>
                <w:szCs w:val="20"/>
              </w:rPr>
            </w:pPr>
          </w:p>
        </w:tc>
        <w:tc>
          <w:tcPr>
            <w:tcW w:w="4418" w:type="dxa"/>
            <w:vMerge/>
            <w:tcBorders>
              <w:top w:val="nil"/>
              <w:left w:val="nil"/>
              <w:bottom w:val="single" w:sz="4" w:space="0" w:color="auto"/>
              <w:right w:val="nil"/>
            </w:tcBorders>
            <w:vAlign w:val="center"/>
            <w:hideMark/>
          </w:tcPr>
          <w:p w14:paraId="718EFC84" w14:textId="77777777" w:rsidR="00567684" w:rsidRPr="00567684" w:rsidRDefault="00567684" w:rsidP="00567684">
            <w:pPr>
              <w:spacing w:after="0"/>
              <w:jc w:val="left"/>
              <w:rPr>
                <w:rFonts w:ascii="Tw Cen MT" w:hAnsi="Tw Cen MT"/>
                <w:b/>
                <w:bCs/>
                <w:color w:val="000000"/>
                <w:sz w:val="20"/>
                <w:szCs w:val="20"/>
              </w:rPr>
            </w:pPr>
          </w:p>
        </w:tc>
        <w:tc>
          <w:tcPr>
            <w:tcW w:w="1985" w:type="dxa"/>
            <w:tcBorders>
              <w:top w:val="nil"/>
              <w:left w:val="nil"/>
              <w:bottom w:val="single" w:sz="4" w:space="0" w:color="auto"/>
              <w:right w:val="nil"/>
            </w:tcBorders>
            <w:shd w:val="clear" w:color="000000" w:fill="B8CCE4"/>
            <w:vAlign w:val="center"/>
            <w:hideMark/>
          </w:tcPr>
          <w:p w14:paraId="157A52E2" w14:textId="77777777" w:rsidR="00567684" w:rsidRPr="00567684" w:rsidRDefault="00567684" w:rsidP="00567684">
            <w:pPr>
              <w:spacing w:after="0"/>
              <w:jc w:val="center"/>
              <w:rPr>
                <w:rFonts w:ascii="Tw Cen MT" w:hAnsi="Tw Cen MT"/>
                <w:b/>
                <w:bCs/>
                <w:color w:val="000000"/>
                <w:sz w:val="20"/>
                <w:szCs w:val="20"/>
              </w:rPr>
            </w:pPr>
            <w:r w:rsidRPr="00567684">
              <w:rPr>
                <w:rFonts w:ascii="Tw Cen MT" w:hAnsi="Tw Cen MT"/>
                <w:b/>
                <w:bCs/>
                <w:color w:val="000000"/>
                <w:sz w:val="20"/>
                <w:szCs w:val="20"/>
              </w:rPr>
              <w:t>Domestique</w:t>
            </w:r>
          </w:p>
        </w:tc>
        <w:tc>
          <w:tcPr>
            <w:tcW w:w="1984" w:type="dxa"/>
            <w:tcBorders>
              <w:top w:val="nil"/>
              <w:left w:val="nil"/>
              <w:bottom w:val="single" w:sz="4" w:space="0" w:color="auto"/>
              <w:right w:val="single" w:sz="4" w:space="0" w:color="auto"/>
            </w:tcBorders>
            <w:shd w:val="clear" w:color="000000" w:fill="B8CCE4"/>
            <w:vAlign w:val="center"/>
            <w:hideMark/>
          </w:tcPr>
          <w:p w14:paraId="10CA768E" w14:textId="77777777" w:rsidR="00567684" w:rsidRPr="00567684" w:rsidRDefault="00567684" w:rsidP="00567684">
            <w:pPr>
              <w:spacing w:after="0"/>
              <w:jc w:val="center"/>
              <w:rPr>
                <w:rFonts w:ascii="Tw Cen MT" w:hAnsi="Tw Cen MT"/>
                <w:b/>
                <w:bCs/>
                <w:color w:val="000000"/>
                <w:sz w:val="20"/>
                <w:szCs w:val="20"/>
              </w:rPr>
            </w:pPr>
            <w:r w:rsidRPr="00567684">
              <w:rPr>
                <w:rFonts w:ascii="Tw Cen MT" w:hAnsi="Tw Cen MT"/>
                <w:b/>
                <w:bCs/>
                <w:color w:val="000000"/>
                <w:sz w:val="20"/>
                <w:szCs w:val="20"/>
              </w:rPr>
              <w:t>Internationale</w:t>
            </w:r>
          </w:p>
        </w:tc>
      </w:tr>
      <w:tr w:rsidR="00567684" w:rsidRPr="00567684" w14:paraId="3FAA63B9" w14:textId="77777777" w:rsidTr="00567684">
        <w:trPr>
          <w:trHeight w:val="1410"/>
        </w:trPr>
        <w:tc>
          <w:tcPr>
            <w:tcW w:w="993" w:type="dxa"/>
            <w:vMerge w:val="restart"/>
            <w:tcBorders>
              <w:top w:val="single" w:sz="4" w:space="0" w:color="auto"/>
              <w:left w:val="single" w:sz="4" w:space="0" w:color="auto"/>
              <w:bottom w:val="single" w:sz="4" w:space="0" w:color="auto"/>
              <w:right w:val="nil"/>
            </w:tcBorders>
            <w:shd w:val="clear" w:color="000000" w:fill="B8CCE4"/>
            <w:textDirection w:val="btLr"/>
            <w:vAlign w:val="center"/>
            <w:hideMark/>
          </w:tcPr>
          <w:p w14:paraId="34C3A0B7" w14:textId="77777777" w:rsidR="00567684" w:rsidRPr="00567684" w:rsidRDefault="00567684" w:rsidP="00567684">
            <w:pPr>
              <w:spacing w:after="0"/>
              <w:jc w:val="center"/>
              <w:rPr>
                <w:rFonts w:ascii="Tw Cen MT" w:hAnsi="Tw Cen MT"/>
                <w:b/>
                <w:bCs/>
                <w:color w:val="000000"/>
                <w:sz w:val="20"/>
                <w:szCs w:val="20"/>
              </w:rPr>
            </w:pPr>
            <w:r w:rsidRPr="00567684">
              <w:rPr>
                <w:rFonts w:ascii="Tw Cen MT" w:hAnsi="Tw Cen MT"/>
                <w:b/>
                <w:bCs/>
                <w:color w:val="000000"/>
                <w:sz w:val="20"/>
                <w:szCs w:val="20"/>
              </w:rPr>
              <w:t>SO 4.1 Amélioration de l'offre et promotion des techniques visant une meilleure efficacité énergétique</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14:paraId="4FF96E7C" w14:textId="77777777" w:rsidR="00567684" w:rsidRPr="00567684" w:rsidRDefault="00567684" w:rsidP="00567684">
            <w:pPr>
              <w:spacing w:after="0"/>
              <w:jc w:val="center"/>
              <w:rPr>
                <w:rFonts w:ascii="Tw Cen MT" w:hAnsi="Tw Cen MT"/>
                <w:color w:val="000000"/>
                <w:sz w:val="20"/>
                <w:szCs w:val="20"/>
              </w:rPr>
            </w:pPr>
            <w:r w:rsidRPr="00567684">
              <w:rPr>
                <w:rFonts w:ascii="Tw Cen MT" w:hAnsi="Tw Cen MT"/>
                <w:color w:val="000000"/>
                <w:sz w:val="20"/>
                <w:szCs w:val="20"/>
              </w:rPr>
              <w:t>411</w:t>
            </w:r>
          </w:p>
        </w:tc>
        <w:tc>
          <w:tcPr>
            <w:tcW w:w="3661" w:type="dxa"/>
            <w:tcBorders>
              <w:top w:val="single" w:sz="4" w:space="0" w:color="auto"/>
              <w:left w:val="nil"/>
              <w:bottom w:val="single" w:sz="4" w:space="0" w:color="auto"/>
              <w:right w:val="nil"/>
            </w:tcBorders>
            <w:shd w:val="clear" w:color="auto" w:fill="auto"/>
            <w:vAlign w:val="center"/>
            <w:hideMark/>
          </w:tcPr>
          <w:p w14:paraId="2F107B5E" w14:textId="77777777" w:rsidR="00567684" w:rsidRPr="00567684" w:rsidRDefault="00567684" w:rsidP="00567684">
            <w:pPr>
              <w:spacing w:after="0"/>
              <w:jc w:val="left"/>
              <w:rPr>
                <w:rFonts w:ascii="Tw Cen MT" w:hAnsi="Tw Cen MT"/>
                <w:sz w:val="20"/>
                <w:szCs w:val="20"/>
              </w:rPr>
            </w:pPr>
            <w:r w:rsidRPr="00567684">
              <w:rPr>
                <w:rFonts w:ascii="Tw Cen MT" w:hAnsi="Tw Cen MT"/>
                <w:sz w:val="20"/>
                <w:szCs w:val="20"/>
              </w:rPr>
              <w:t>Vulgarisation des techniques de carbonisation améliorée</w:t>
            </w:r>
          </w:p>
        </w:tc>
        <w:tc>
          <w:tcPr>
            <w:tcW w:w="4418" w:type="dxa"/>
            <w:tcBorders>
              <w:top w:val="single" w:sz="4" w:space="0" w:color="auto"/>
              <w:left w:val="nil"/>
              <w:bottom w:val="single" w:sz="4" w:space="0" w:color="auto"/>
              <w:right w:val="nil"/>
            </w:tcBorders>
            <w:shd w:val="clear" w:color="auto" w:fill="auto"/>
            <w:vAlign w:val="center"/>
            <w:hideMark/>
          </w:tcPr>
          <w:p w14:paraId="26598357" w14:textId="77777777" w:rsidR="00567684" w:rsidRPr="00567684" w:rsidRDefault="00567684" w:rsidP="00567684">
            <w:pPr>
              <w:spacing w:after="0"/>
              <w:jc w:val="left"/>
              <w:rPr>
                <w:rFonts w:ascii="Tw Cen MT" w:hAnsi="Tw Cen MT"/>
                <w:sz w:val="20"/>
                <w:szCs w:val="20"/>
              </w:rPr>
            </w:pPr>
            <w:r w:rsidRPr="00567684">
              <w:rPr>
                <w:rFonts w:ascii="Tw Cen MT" w:hAnsi="Tw Cen MT"/>
                <w:sz w:val="20"/>
                <w:szCs w:val="20"/>
              </w:rPr>
              <w:t xml:space="preserve">- Etude de faisabilité </w:t>
            </w:r>
            <w:r w:rsidRPr="00567684">
              <w:rPr>
                <w:rFonts w:ascii="Tw Cen MT" w:hAnsi="Tw Cen MT"/>
                <w:sz w:val="20"/>
                <w:szCs w:val="20"/>
              </w:rPr>
              <w:br/>
              <w:t xml:space="preserve">- Renforcement et accompagnement des producteurs de charbon de bois pour l'utilisation de techniques de carbonisation améliorée </w:t>
            </w:r>
          </w:p>
        </w:tc>
        <w:tc>
          <w:tcPr>
            <w:tcW w:w="1985" w:type="dxa"/>
            <w:tcBorders>
              <w:top w:val="single" w:sz="4" w:space="0" w:color="auto"/>
              <w:left w:val="nil"/>
              <w:bottom w:val="single" w:sz="4" w:space="0" w:color="auto"/>
              <w:right w:val="nil"/>
            </w:tcBorders>
            <w:shd w:val="clear" w:color="auto" w:fill="auto"/>
            <w:vAlign w:val="center"/>
            <w:hideMark/>
          </w:tcPr>
          <w:p w14:paraId="5310714D" w14:textId="77777777" w:rsidR="00567684" w:rsidRPr="00567684" w:rsidRDefault="00567684" w:rsidP="00567684">
            <w:pPr>
              <w:spacing w:after="0"/>
              <w:jc w:val="left"/>
              <w:rPr>
                <w:rFonts w:ascii="Tw Cen MT" w:hAnsi="Tw Cen MT"/>
                <w:sz w:val="20"/>
                <w:szCs w:val="20"/>
              </w:rPr>
            </w:pPr>
            <w:r w:rsidRPr="00567684">
              <w:rPr>
                <w:rFonts w:ascii="Tw Cen MT" w:hAnsi="Tw Cen MT"/>
                <w:sz w:val="20"/>
                <w:szCs w:val="20"/>
              </w:rPr>
              <w:t>Gouvernement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8D788DD"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sz w:val="20"/>
                <w:szCs w:val="20"/>
              </w:rPr>
              <w:t>BAD (FFBC</w:t>
            </w:r>
            <w:proofErr w:type="gramStart"/>
            <w:r w:rsidRPr="00567684">
              <w:rPr>
                <w:rFonts w:ascii="Tw Cen MT" w:hAnsi="Tw Cen MT"/>
                <w:sz w:val="20"/>
                <w:szCs w:val="20"/>
              </w:rPr>
              <w:t>)</w:t>
            </w:r>
            <w:proofErr w:type="gramEnd"/>
            <w:r w:rsidRPr="00567684">
              <w:rPr>
                <w:rFonts w:ascii="Tw Cen MT" w:hAnsi="Tw Cen MT"/>
                <w:color w:val="000000"/>
                <w:sz w:val="20"/>
                <w:szCs w:val="20"/>
              </w:rPr>
              <w:br/>
            </w:r>
            <w:r w:rsidRPr="00567684">
              <w:rPr>
                <w:rFonts w:ascii="Tw Cen MT" w:hAnsi="Tw Cen MT"/>
                <w:i/>
                <w:iCs/>
                <w:color w:val="244062"/>
                <w:sz w:val="20"/>
                <w:szCs w:val="20"/>
              </w:rPr>
              <w:t>autres fonds climatiques  (FVC, SCCF, FCCA, ICF, IKI) et énergie (GCPF, GCCI, CTF)</w:t>
            </w:r>
          </w:p>
        </w:tc>
      </w:tr>
      <w:tr w:rsidR="00567684" w:rsidRPr="00567684" w14:paraId="698A1C27" w14:textId="77777777" w:rsidTr="00567684">
        <w:trPr>
          <w:trHeight w:val="1470"/>
        </w:trPr>
        <w:tc>
          <w:tcPr>
            <w:tcW w:w="993" w:type="dxa"/>
            <w:vMerge/>
            <w:tcBorders>
              <w:top w:val="nil"/>
              <w:left w:val="single" w:sz="4" w:space="0" w:color="auto"/>
              <w:bottom w:val="single" w:sz="4" w:space="0" w:color="auto"/>
              <w:right w:val="nil"/>
            </w:tcBorders>
            <w:vAlign w:val="center"/>
            <w:hideMark/>
          </w:tcPr>
          <w:p w14:paraId="06C07718" w14:textId="77777777" w:rsidR="00567684" w:rsidRPr="00567684" w:rsidRDefault="00567684" w:rsidP="00567684">
            <w:pPr>
              <w:spacing w:after="0"/>
              <w:jc w:val="left"/>
              <w:rPr>
                <w:rFonts w:ascii="Tw Cen MT" w:hAnsi="Tw Cen MT"/>
                <w:b/>
                <w:bCs/>
                <w:color w:val="000000"/>
                <w:sz w:val="20"/>
                <w:szCs w:val="20"/>
              </w:rPr>
            </w:pPr>
          </w:p>
        </w:tc>
        <w:tc>
          <w:tcPr>
            <w:tcW w:w="567" w:type="dxa"/>
            <w:tcBorders>
              <w:top w:val="nil"/>
              <w:left w:val="single" w:sz="4" w:space="0" w:color="auto"/>
              <w:bottom w:val="nil"/>
              <w:right w:val="nil"/>
            </w:tcBorders>
            <w:shd w:val="clear" w:color="auto" w:fill="auto"/>
            <w:noWrap/>
            <w:vAlign w:val="center"/>
            <w:hideMark/>
          </w:tcPr>
          <w:p w14:paraId="20A580C1" w14:textId="77777777" w:rsidR="00567684" w:rsidRPr="00567684" w:rsidRDefault="00567684" w:rsidP="00567684">
            <w:pPr>
              <w:spacing w:after="0"/>
              <w:jc w:val="center"/>
              <w:rPr>
                <w:rFonts w:ascii="Tw Cen MT" w:hAnsi="Tw Cen MT"/>
                <w:color w:val="000000"/>
                <w:sz w:val="20"/>
                <w:szCs w:val="20"/>
              </w:rPr>
            </w:pPr>
            <w:r w:rsidRPr="00567684">
              <w:rPr>
                <w:rFonts w:ascii="Tw Cen MT" w:hAnsi="Tw Cen MT"/>
                <w:color w:val="000000"/>
                <w:sz w:val="20"/>
                <w:szCs w:val="20"/>
              </w:rPr>
              <w:t>412</w:t>
            </w:r>
          </w:p>
        </w:tc>
        <w:tc>
          <w:tcPr>
            <w:tcW w:w="3661" w:type="dxa"/>
            <w:tcBorders>
              <w:top w:val="nil"/>
              <w:left w:val="nil"/>
              <w:bottom w:val="nil"/>
              <w:right w:val="nil"/>
            </w:tcBorders>
            <w:shd w:val="clear" w:color="auto" w:fill="auto"/>
            <w:vAlign w:val="center"/>
            <w:hideMark/>
          </w:tcPr>
          <w:p w14:paraId="084925F6" w14:textId="77777777" w:rsidR="00567684" w:rsidRPr="00567684" w:rsidRDefault="00567684" w:rsidP="00567684">
            <w:pPr>
              <w:spacing w:after="0"/>
              <w:jc w:val="left"/>
              <w:rPr>
                <w:rFonts w:ascii="Tw Cen MT" w:hAnsi="Tw Cen MT"/>
                <w:sz w:val="20"/>
                <w:szCs w:val="20"/>
              </w:rPr>
            </w:pPr>
            <w:r w:rsidRPr="00567684">
              <w:rPr>
                <w:rFonts w:ascii="Tw Cen MT" w:hAnsi="Tw Cen MT"/>
                <w:sz w:val="20"/>
                <w:szCs w:val="20"/>
              </w:rPr>
              <w:t>Promotion et diffusion des foyers améliorés adaptés dans les grandes villes pour réduire les demandes en bois-énergie</w:t>
            </w:r>
          </w:p>
        </w:tc>
        <w:tc>
          <w:tcPr>
            <w:tcW w:w="4418" w:type="dxa"/>
            <w:tcBorders>
              <w:top w:val="nil"/>
              <w:left w:val="nil"/>
              <w:bottom w:val="nil"/>
              <w:right w:val="nil"/>
            </w:tcBorders>
            <w:shd w:val="clear" w:color="auto" w:fill="auto"/>
            <w:vAlign w:val="center"/>
            <w:hideMark/>
          </w:tcPr>
          <w:p w14:paraId="79420A88" w14:textId="77777777" w:rsidR="00567684" w:rsidRPr="00567684" w:rsidRDefault="00567684" w:rsidP="00567684">
            <w:pPr>
              <w:spacing w:after="0"/>
              <w:jc w:val="left"/>
              <w:rPr>
                <w:rFonts w:ascii="Tw Cen MT" w:hAnsi="Tw Cen MT"/>
                <w:sz w:val="20"/>
                <w:szCs w:val="20"/>
              </w:rPr>
            </w:pPr>
            <w:r w:rsidRPr="00567684">
              <w:rPr>
                <w:rFonts w:ascii="Tw Cen MT" w:hAnsi="Tw Cen MT"/>
                <w:sz w:val="20"/>
                <w:szCs w:val="20"/>
              </w:rPr>
              <w:t>- Etude de faisabilité</w:t>
            </w:r>
            <w:r w:rsidRPr="00567684">
              <w:rPr>
                <w:rFonts w:ascii="Tw Cen MT" w:hAnsi="Tw Cen MT"/>
                <w:sz w:val="20"/>
                <w:szCs w:val="20"/>
              </w:rPr>
              <w:br/>
              <w:t xml:space="preserve">- Diffusion de foyers améliorés dans les grandes villes pour les foyers utilisant du bois énergie et du charbon de bois </w:t>
            </w:r>
          </w:p>
        </w:tc>
        <w:tc>
          <w:tcPr>
            <w:tcW w:w="1985" w:type="dxa"/>
            <w:tcBorders>
              <w:top w:val="nil"/>
              <w:left w:val="nil"/>
              <w:bottom w:val="single" w:sz="4" w:space="0" w:color="auto"/>
              <w:right w:val="nil"/>
            </w:tcBorders>
            <w:shd w:val="clear" w:color="auto" w:fill="auto"/>
            <w:vAlign w:val="center"/>
            <w:hideMark/>
          </w:tcPr>
          <w:p w14:paraId="759AFE23" w14:textId="77777777" w:rsidR="00567684" w:rsidRPr="00567684" w:rsidRDefault="00567684" w:rsidP="00567684">
            <w:pPr>
              <w:spacing w:after="0"/>
              <w:jc w:val="left"/>
              <w:rPr>
                <w:rFonts w:ascii="Tw Cen MT" w:hAnsi="Tw Cen MT"/>
                <w:sz w:val="20"/>
                <w:szCs w:val="20"/>
              </w:rPr>
            </w:pPr>
            <w:r w:rsidRPr="00567684">
              <w:rPr>
                <w:rFonts w:ascii="Tw Cen MT" w:hAnsi="Tw Cen MT"/>
                <w:sz w:val="20"/>
                <w:szCs w:val="20"/>
              </w:rPr>
              <w:t>Gouvernement</w:t>
            </w:r>
          </w:p>
        </w:tc>
        <w:tc>
          <w:tcPr>
            <w:tcW w:w="1984" w:type="dxa"/>
            <w:tcBorders>
              <w:top w:val="nil"/>
              <w:left w:val="nil"/>
              <w:bottom w:val="single" w:sz="4" w:space="0" w:color="auto"/>
              <w:right w:val="single" w:sz="4" w:space="0" w:color="auto"/>
            </w:tcBorders>
            <w:shd w:val="clear" w:color="auto" w:fill="auto"/>
            <w:vAlign w:val="center"/>
            <w:hideMark/>
          </w:tcPr>
          <w:p w14:paraId="561472EF" w14:textId="77777777" w:rsidR="00567684" w:rsidRPr="00567684" w:rsidRDefault="00567684" w:rsidP="00567684">
            <w:pPr>
              <w:spacing w:after="0"/>
              <w:jc w:val="left"/>
              <w:rPr>
                <w:rFonts w:ascii="Tw Cen MT" w:hAnsi="Tw Cen MT"/>
                <w:i/>
                <w:iCs/>
                <w:color w:val="244062"/>
                <w:sz w:val="20"/>
                <w:szCs w:val="20"/>
              </w:rPr>
            </w:pPr>
            <w:r w:rsidRPr="00567684">
              <w:rPr>
                <w:rFonts w:ascii="Tw Cen MT" w:hAnsi="Tw Cen MT"/>
                <w:i/>
                <w:iCs/>
                <w:color w:val="244062"/>
                <w:sz w:val="20"/>
                <w:szCs w:val="20"/>
              </w:rPr>
              <w:t>Fonds climatiques  (FVC, SCCF, FCCA, ICF, IKI) et énergie (GCPF, GCCI, CTF)</w:t>
            </w:r>
          </w:p>
        </w:tc>
      </w:tr>
      <w:tr w:rsidR="00567684" w:rsidRPr="00567684" w14:paraId="09B1093D" w14:textId="77777777" w:rsidTr="00567684">
        <w:trPr>
          <w:trHeight w:val="1140"/>
        </w:trPr>
        <w:tc>
          <w:tcPr>
            <w:tcW w:w="993" w:type="dxa"/>
            <w:vMerge w:val="restart"/>
            <w:tcBorders>
              <w:top w:val="nil"/>
              <w:left w:val="single" w:sz="4" w:space="0" w:color="auto"/>
              <w:bottom w:val="single" w:sz="4" w:space="0" w:color="auto"/>
              <w:right w:val="nil"/>
            </w:tcBorders>
            <w:shd w:val="clear" w:color="000000" w:fill="B8CCE4"/>
            <w:textDirection w:val="btLr"/>
            <w:vAlign w:val="center"/>
            <w:hideMark/>
          </w:tcPr>
          <w:p w14:paraId="7267027F" w14:textId="77777777" w:rsidR="00567684" w:rsidRPr="00567684" w:rsidRDefault="00567684" w:rsidP="00567684">
            <w:pPr>
              <w:spacing w:after="0"/>
              <w:jc w:val="center"/>
              <w:rPr>
                <w:rFonts w:ascii="Tw Cen MT" w:hAnsi="Tw Cen MT"/>
                <w:b/>
                <w:bCs/>
                <w:color w:val="000000"/>
                <w:sz w:val="20"/>
                <w:szCs w:val="20"/>
              </w:rPr>
            </w:pPr>
            <w:r w:rsidRPr="00567684">
              <w:rPr>
                <w:rFonts w:ascii="Tw Cen MT" w:hAnsi="Tw Cen MT"/>
                <w:b/>
                <w:bCs/>
                <w:color w:val="000000"/>
                <w:sz w:val="20"/>
                <w:szCs w:val="20"/>
              </w:rPr>
              <w:t xml:space="preserve">SO 4.2 Développement des plantations à vocation énergétique </w:t>
            </w:r>
          </w:p>
        </w:tc>
        <w:tc>
          <w:tcPr>
            <w:tcW w:w="567" w:type="dxa"/>
            <w:tcBorders>
              <w:top w:val="single" w:sz="4" w:space="0" w:color="auto"/>
              <w:left w:val="single" w:sz="4" w:space="0" w:color="auto"/>
              <w:bottom w:val="nil"/>
              <w:right w:val="nil"/>
            </w:tcBorders>
            <w:shd w:val="clear" w:color="auto" w:fill="auto"/>
            <w:noWrap/>
            <w:vAlign w:val="center"/>
            <w:hideMark/>
          </w:tcPr>
          <w:p w14:paraId="74D7A56A" w14:textId="77777777" w:rsidR="00567684" w:rsidRPr="00567684" w:rsidRDefault="00567684" w:rsidP="00567684">
            <w:pPr>
              <w:spacing w:after="0"/>
              <w:jc w:val="center"/>
              <w:rPr>
                <w:rFonts w:ascii="Tw Cen MT" w:hAnsi="Tw Cen MT"/>
                <w:color w:val="000000"/>
                <w:sz w:val="20"/>
                <w:szCs w:val="20"/>
              </w:rPr>
            </w:pPr>
            <w:r w:rsidRPr="00567684">
              <w:rPr>
                <w:rFonts w:ascii="Tw Cen MT" w:hAnsi="Tw Cen MT"/>
                <w:color w:val="000000"/>
                <w:sz w:val="20"/>
                <w:szCs w:val="20"/>
              </w:rPr>
              <w:t>421</w:t>
            </w:r>
          </w:p>
        </w:tc>
        <w:tc>
          <w:tcPr>
            <w:tcW w:w="3661" w:type="dxa"/>
            <w:tcBorders>
              <w:top w:val="single" w:sz="4" w:space="0" w:color="auto"/>
              <w:left w:val="nil"/>
              <w:bottom w:val="nil"/>
              <w:right w:val="nil"/>
            </w:tcBorders>
            <w:shd w:val="clear" w:color="auto" w:fill="auto"/>
            <w:vAlign w:val="center"/>
            <w:hideMark/>
          </w:tcPr>
          <w:p w14:paraId="0FF1C746" w14:textId="77777777" w:rsidR="00567684" w:rsidRPr="00567684" w:rsidRDefault="00567684" w:rsidP="00567684">
            <w:pPr>
              <w:spacing w:after="0"/>
              <w:jc w:val="left"/>
              <w:rPr>
                <w:rFonts w:ascii="Tw Cen MT" w:hAnsi="Tw Cen MT"/>
                <w:sz w:val="20"/>
                <w:szCs w:val="20"/>
              </w:rPr>
            </w:pPr>
            <w:r w:rsidRPr="00567684">
              <w:rPr>
                <w:rFonts w:ascii="Tw Cen MT" w:hAnsi="Tw Cen MT"/>
                <w:sz w:val="20"/>
                <w:szCs w:val="20"/>
              </w:rPr>
              <w:t xml:space="preserve">Organisation de la production du bois de chauffe et du charbon de bois, en encourageant les plantations communautaires et individuelles </w:t>
            </w:r>
          </w:p>
        </w:tc>
        <w:tc>
          <w:tcPr>
            <w:tcW w:w="4418" w:type="dxa"/>
            <w:tcBorders>
              <w:top w:val="single" w:sz="4" w:space="0" w:color="auto"/>
              <w:left w:val="nil"/>
              <w:bottom w:val="nil"/>
              <w:right w:val="nil"/>
            </w:tcBorders>
            <w:shd w:val="clear" w:color="auto" w:fill="auto"/>
            <w:vAlign w:val="center"/>
            <w:hideMark/>
          </w:tcPr>
          <w:p w14:paraId="49769455" w14:textId="77777777" w:rsidR="00567684" w:rsidRPr="00567684" w:rsidRDefault="00567684" w:rsidP="00567684">
            <w:pPr>
              <w:spacing w:after="0"/>
              <w:jc w:val="left"/>
              <w:rPr>
                <w:rFonts w:ascii="Tw Cen MT" w:hAnsi="Tw Cen MT"/>
                <w:sz w:val="20"/>
                <w:szCs w:val="20"/>
              </w:rPr>
            </w:pPr>
            <w:r w:rsidRPr="00567684">
              <w:rPr>
                <w:rFonts w:ascii="Tw Cen MT" w:hAnsi="Tw Cen MT"/>
                <w:sz w:val="20"/>
                <w:szCs w:val="20"/>
              </w:rPr>
              <w:t xml:space="preserve">Mettre en œuvre le PRONAR sur son volet plantations énergétiques autour de Brazzaville et Pointe Noire et distribuer le bois/charbon issu de ces plantations </w:t>
            </w:r>
          </w:p>
        </w:tc>
        <w:tc>
          <w:tcPr>
            <w:tcW w:w="1985" w:type="dxa"/>
            <w:vMerge w:val="restart"/>
            <w:tcBorders>
              <w:top w:val="nil"/>
              <w:left w:val="nil"/>
              <w:bottom w:val="single" w:sz="4" w:space="0" w:color="000000"/>
              <w:right w:val="nil"/>
            </w:tcBorders>
            <w:shd w:val="clear" w:color="auto" w:fill="auto"/>
            <w:vAlign w:val="center"/>
            <w:hideMark/>
          </w:tcPr>
          <w:p w14:paraId="65255ACA" w14:textId="77777777" w:rsidR="00567684" w:rsidRPr="00567684" w:rsidRDefault="00567684" w:rsidP="00567684">
            <w:pPr>
              <w:spacing w:after="0"/>
              <w:jc w:val="left"/>
              <w:rPr>
                <w:rFonts w:ascii="Tw Cen MT" w:hAnsi="Tw Cen MT"/>
                <w:sz w:val="20"/>
                <w:szCs w:val="20"/>
              </w:rPr>
            </w:pPr>
            <w:r w:rsidRPr="00567684">
              <w:rPr>
                <w:rFonts w:ascii="Tw Cen MT" w:hAnsi="Tw Cen MT"/>
                <w:sz w:val="20"/>
                <w:szCs w:val="20"/>
              </w:rPr>
              <w:t xml:space="preserve">Gouvernement </w:t>
            </w:r>
          </w:p>
        </w:tc>
        <w:tc>
          <w:tcPr>
            <w:tcW w:w="1984" w:type="dxa"/>
            <w:vMerge w:val="restart"/>
            <w:tcBorders>
              <w:top w:val="nil"/>
              <w:left w:val="nil"/>
              <w:bottom w:val="single" w:sz="4" w:space="0" w:color="000000"/>
              <w:right w:val="single" w:sz="4" w:space="0" w:color="auto"/>
            </w:tcBorders>
            <w:shd w:val="clear" w:color="auto" w:fill="auto"/>
            <w:vAlign w:val="center"/>
            <w:hideMark/>
          </w:tcPr>
          <w:p w14:paraId="6518F662"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BM (FIP, CAFI</w:t>
            </w:r>
            <w:proofErr w:type="gramStart"/>
            <w:r w:rsidRPr="00567684">
              <w:rPr>
                <w:rFonts w:ascii="Tw Cen MT" w:hAnsi="Tw Cen MT"/>
                <w:color w:val="000000"/>
                <w:sz w:val="20"/>
                <w:szCs w:val="20"/>
              </w:rPr>
              <w:t>)</w:t>
            </w:r>
            <w:proofErr w:type="gramEnd"/>
            <w:r w:rsidRPr="00567684">
              <w:rPr>
                <w:rFonts w:ascii="Tw Cen MT" w:hAnsi="Tw Cen MT"/>
                <w:color w:val="000000"/>
                <w:sz w:val="20"/>
                <w:szCs w:val="20"/>
              </w:rPr>
              <w:br/>
              <w:t>BAD (FFBC)</w:t>
            </w:r>
            <w:r w:rsidRPr="00567684">
              <w:rPr>
                <w:rFonts w:ascii="Tw Cen MT" w:hAnsi="Tw Cen MT"/>
                <w:color w:val="000000"/>
                <w:sz w:val="20"/>
                <w:szCs w:val="20"/>
              </w:rPr>
              <w:br/>
              <w:t>AFD/FFEM</w:t>
            </w:r>
            <w:r w:rsidRPr="00567684">
              <w:rPr>
                <w:rFonts w:ascii="Tw Cen MT" w:hAnsi="Tw Cen MT"/>
                <w:color w:val="000000"/>
                <w:sz w:val="20"/>
                <w:szCs w:val="20"/>
              </w:rPr>
              <w:br/>
            </w:r>
            <w:r w:rsidRPr="00567684">
              <w:rPr>
                <w:rFonts w:ascii="Tw Cen MT" w:hAnsi="Tw Cen MT"/>
                <w:i/>
                <w:iCs/>
                <w:color w:val="244062"/>
                <w:sz w:val="20"/>
                <w:szCs w:val="20"/>
              </w:rPr>
              <w:t>autres fonds climatiques  (FVC, SCCF, FCCA, ICF, IKI) et énergie (GCPF, GCCI, CTF)</w:t>
            </w:r>
          </w:p>
        </w:tc>
      </w:tr>
      <w:tr w:rsidR="00567684" w:rsidRPr="00567684" w14:paraId="4AFCACFF" w14:textId="77777777" w:rsidTr="005F4572">
        <w:trPr>
          <w:trHeight w:val="855"/>
        </w:trPr>
        <w:tc>
          <w:tcPr>
            <w:tcW w:w="993" w:type="dxa"/>
            <w:vMerge/>
            <w:tcBorders>
              <w:top w:val="nil"/>
              <w:left w:val="single" w:sz="4" w:space="0" w:color="auto"/>
              <w:bottom w:val="single" w:sz="4" w:space="0" w:color="auto"/>
              <w:right w:val="nil"/>
            </w:tcBorders>
            <w:vAlign w:val="center"/>
            <w:hideMark/>
          </w:tcPr>
          <w:p w14:paraId="67BC1165" w14:textId="77777777" w:rsidR="00567684" w:rsidRPr="00567684" w:rsidRDefault="00567684" w:rsidP="00567684">
            <w:pPr>
              <w:spacing w:after="0"/>
              <w:jc w:val="left"/>
              <w:rPr>
                <w:rFonts w:ascii="Tw Cen MT" w:hAnsi="Tw Cen MT"/>
                <w:b/>
                <w:bCs/>
                <w:color w:val="000000"/>
                <w:sz w:val="20"/>
                <w:szCs w:val="20"/>
              </w:rPr>
            </w:pPr>
          </w:p>
        </w:tc>
        <w:tc>
          <w:tcPr>
            <w:tcW w:w="567" w:type="dxa"/>
            <w:tcBorders>
              <w:top w:val="nil"/>
              <w:left w:val="single" w:sz="4" w:space="0" w:color="auto"/>
              <w:bottom w:val="single" w:sz="4" w:space="0" w:color="auto"/>
              <w:right w:val="nil"/>
            </w:tcBorders>
            <w:shd w:val="clear" w:color="auto" w:fill="auto"/>
            <w:noWrap/>
            <w:vAlign w:val="center"/>
            <w:hideMark/>
          </w:tcPr>
          <w:p w14:paraId="34F43E49" w14:textId="77777777" w:rsidR="00567684" w:rsidRPr="00567684" w:rsidRDefault="00567684" w:rsidP="00567684">
            <w:pPr>
              <w:spacing w:after="0"/>
              <w:jc w:val="center"/>
              <w:rPr>
                <w:rFonts w:ascii="Tw Cen MT" w:hAnsi="Tw Cen MT"/>
                <w:color w:val="000000"/>
                <w:sz w:val="20"/>
                <w:szCs w:val="20"/>
              </w:rPr>
            </w:pPr>
            <w:r w:rsidRPr="00567684">
              <w:rPr>
                <w:rFonts w:ascii="Tw Cen MT" w:hAnsi="Tw Cen MT"/>
                <w:color w:val="000000"/>
                <w:sz w:val="20"/>
                <w:szCs w:val="20"/>
              </w:rPr>
              <w:t>423</w:t>
            </w:r>
          </w:p>
        </w:tc>
        <w:tc>
          <w:tcPr>
            <w:tcW w:w="3661" w:type="dxa"/>
            <w:tcBorders>
              <w:top w:val="nil"/>
              <w:left w:val="nil"/>
              <w:bottom w:val="single" w:sz="4" w:space="0" w:color="auto"/>
              <w:right w:val="nil"/>
            </w:tcBorders>
            <w:shd w:val="clear" w:color="auto" w:fill="auto"/>
            <w:vAlign w:val="center"/>
            <w:hideMark/>
          </w:tcPr>
          <w:p w14:paraId="19065442"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Organisation des filières liées au stockage, conditionnement, transport, commercialisation etc. du bois énergie</w:t>
            </w:r>
          </w:p>
        </w:tc>
        <w:tc>
          <w:tcPr>
            <w:tcW w:w="4418" w:type="dxa"/>
            <w:tcBorders>
              <w:top w:val="nil"/>
              <w:left w:val="nil"/>
              <w:bottom w:val="single" w:sz="4" w:space="0" w:color="auto"/>
              <w:right w:val="nil"/>
            </w:tcBorders>
            <w:shd w:val="clear" w:color="auto" w:fill="auto"/>
            <w:vAlign w:val="center"/>
            <w:hideMark/>
          </w:tcPr>
          <w:p w14:paraId="22DB245F"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Mise en place de coopératives appuyant la distribution et la commercialisation du bois énergie</w:t>
            </w:r>
          </w:p>
        </w:tc>
        <w:tc>
          <w:tcPr>
            <w:tcW w:w="1985" w:type="dxa"/>
            <w:vMerge/>
            <w:tcBorders>
              <w:top w:val="nil"/>
              <w:left w:val="nil"/>
              <w:bottom w:val="single" w:sz="4" w:space="0" w:color="000000"/>
              <w:right w:val="nil"/>
            </w:tcBorders>
            <w:vAlign w:val="center"/>
            <w:hideMark/>
          </w:tcPr>
          <w:p w14:paraId="4C0F136C" w14:textId="77777777" w:rsidR="00567684" w:rsidRPr="00567684" w:rsidRDefault="00567684" w:rsidP="00567684">
            <w:pPr>
              <w:spacing w:after="0"/>
              <w:jc w:val="left"/>
              <w:rPr>
                <w:rFonts w:ascii="Tw Cen MT" w:hAnsi="Tw Cen MT"/>
                <w:color w:val="000000"/>
                <w:sz w:val="20"/>
                <w:szCs w:val="20"/>
              </w:rPr>
            </w:pPr>
          </w:p>
        </w:tc>
        <w:tc>
          <w:tcPr>
            <w:tcW w:w="1984" w:type="dxa"/>
            <w:vMerge/>
            <w:tcBorders>
              <w:top w:val="nil"/>
              <w:left w:val="nil"/>
              <w:bottom w:val="single" w:sz="4" w:space="0" w:color="000000"/>
              <w:right w:val="single" w:sz="4" w:space="0" w:color="auto"/>
            </w:tcBorders>
            <w:vAlign w:val="center"/>
            <w:hideMark/>
          </w:tcPr>
          <w:p w14:paraId="7968F7F0" w14:textId="77777777" w:rsidR="00567684" w:rsidRPr="00567684" w:rsidRDefault="00567684" w:rsidP="00567684">
            <w:pPr>
              <w:spacing w:after="0"/>
              <w:jc w:val="left"/>
              <w:rPr>
                <w:rFonts w:ascii="Tw Cen MT" w:hAnsi="Tw Cen MT"/>
                <w:color w:val="000000"/>
                <w:sz w:val="20"/>
                <w:szCs w:val="20"/>
              </w:rPr>
            </w:pPr>
          </w:p>
        </w:tc>
      </w:tr>
      <w:tr w:rsidR="00567684" w:rsidRPr="00567684" w14:paraId="1063C94E" w14:textId="77777777" w:rsidTr="005F4572">
        <w:trPr>
          <w:trHeight w:val="2280"/>
        </w:trPr>
        <w:tc>
          <w:tcPr>
            <w:tcW w:w="993" w:type="dxa"/>
            <w:vMerge w:val="restart"/>
            <w:tcBorders>
              <w:top w:val="single" w:sz="4" w:space="0" w:color="auto"/>
              <w:left w:val="single" w:sz="4" w:space="0" w:color="auto"/>
              <w:bottom w:val="single" w:sz="4" w:space="0" w:color="auto"/>
              <w:right w:val="nil"/>
            </w:tcBorders>
            <w:shd w:val="clear" w:color="000000" w:fill="B8CCE4"/>
            <w:textDirection w:val="btLr"/>
            <w:vAlign w:val="center"/>
            <w:hideMark/>
          </w:tcPr>
          <w:p w14:paraId="5A858163" w14:textId="77777777" w:rsidR="00567684" w:rsidRPr="00567684" w:rsidRDefault="00567684" w:rsidP="00567684">
            <w:pPr>
              <w:spacing w:after="0"/>
              <w:jc w:val="center"/>
              <w:rPr>
                <w:rFonts w:ascii="Tw Cen MT" w:hAnsi="Tw Cen MT"/>
                <w:b/>
                <w:bCs/>
                <w:color w:val="000000"/>
                <w:sz w:val="20"/>
                <w:szCs w:val="20"/>
              </w:rPr>
            </w:pPr>
            <w:r w:rsidRPr="00567684">
              <w:rPr>
                <w:rFonts w:ascii="Tw Cen MT" w:hAnsi="Tw Cen MT"/>
                <w:b/>
                <w:bCs/>
                <w:color w:val="000000"/>
                <w:sz w:val="20"/>
                <w:szCs w:val="20"/>
              </w:rPr>
              <w:t xml:space="preserve">SO 4.3 Développement et incitation à l'utilisation des énergies propres </w:t>
            </w:r>
          </w:p>
        </w:tc>
        <w:tc>
          <w:tcPr>
            <w:tcW w:w="567" w:type="dxa"/>
            <w:tcBorders>
              <w:top w:val="nil"/>
              <w:left w:val="single" w:sz="4" w:space="0" w:color="auto"/>
              <w:bottom w:val="single" w:sz="4" w:space="0" w:color="auto"/>
              <w:right w:val="nil"/>
            </w:tcBorders>
            <w:shd w:val="clear" w:color="auto" w:fill="auto"/>
            <w:noWrap/>
            <w:vAlign w:val="center"/>
            <w:hideMark/>
          </w:tcPr>
          <w:p w14:paraId="4EC18922" w14:textId="77777777" w:rsidR="00567684" w:rsidRPr="00567684" w:rsidRDefault="00567684" w:rsidP="00567684">
            <w:pPr>
              <w:spacing w:after="0"/>
              <w:jc w:val="center"/>
              <w:rPr>
                <w:rFonts w:ascii="Tw Cen MT" w:hAnsi="Tw Cen MT"/>
                <w:color w:val="000000"/>
                <w:sz w:val="20"/>
                <w:szCs w:val="20"/>
              </w:rPr>
            </w:pPr>
            <w:r w:rsidRPr="00567684">
              <w:rPr>
                <w:rFonts w:ascii="Tw Cen MT" w:hAnsi="Tw Cen MT"/>
                <w:color w:val="000000"/>
                <w:sz w:val="20"/>
                <w:szCs w:val="20"/>
              </w:rPr>
              <w:t>431</w:t>
            </w:r>
          </w:p>
        </w:tc>
        <w:tc>
          <w:tcPr>
            <w:tcW w:w="3661" w:type="dxa"/>
            <w:tcBorders>
              <w:top w:val="nil"/>
              <w:left w:val="nil"/>
              <w:bottom w:val="single" w:sz="4" w:space="0" w:color="auto"/>
              <w:right w:val="nil"/>
            </w:tcBorders>
            <w:shd w:val="clear" w:color="auto" w:fill="auto"/>
            <w:vAlign w:val="center"/>
            <w:hideMark/>
          </w:tcPr>
          <w:p w14:paraId="71B6B2D8" w14:textId="77777777" w:rsidR="00567684" w:rsidRPr="00567684" w:rsidRDefault="00567684" w:rsidP="00567684">
            <w:pPr>
              <w:spacing w:after="0"/>
              <w:jc w:val="left"/>
              <w:rPr>
                <w:rFonts w:ascii="Tw Cen MT" w:hAnsi="Tw Cen MT"/>
                <w:sz w:val="20"/>
                <w:szCs w:val="20"/>
              </w:rPr>
            </w:pPr>
            <w:r w:rsidRPr="00567684">
              <w:rPr>
                <w:rFonts w:ascii="Tw Cen MT" w:hAnsi="Tw Cen MT"/>
                <w:sz w:val="20"/>
                <w:szCs w:val="20"/>
              </w:rPr>
              <w:t>Promotion et développement de l'énergie hydroélectrique par la construction de barrage et micro-barrage</w:t>
            </w:r>
          </w:p>
        </w:tc>
        <w:tc>
          <w:tcPr>
            <w:tcW w:w="4418" w:type="dxa"/>
            <w:tcBorders>
              <w:top w:val="nil"/>
              <w:left w:val="nil"/>
              <w:bottom w:val="single" w:sz="4" w:space="0" w:color="auto"/>
              <w:right w:val="nil"/>
            </w:tcBorders>
            <w:shd w:val="clear" w:color="auto" w:fill="auto"/>
            <w:vAlign w:val="center"/>
            <w:hideMark/>
          </w:tcPr>
          <w:p w14:paraId="08F7EBFA" w14:textId="77777777" w:rsidR="00567684" w:rsidRPr="00567684" w:rsidRDefault="00567684" w:rsidP="00567684">
            <w:pPr>
              <w:spacing w:after="0"/>
              <w:jc w:val="left"/>
              <w:rPr>
                <w:rFonts w:ascii="Tw Cen MT" w:hAnsi="Tw Cen MT"/>
                <w:sz w:val="20"/>
                <w:szCs w:val="20"/>
              </w:rPr>
            </w:pPr>
            <w:r w:rsidRPr="00567684">
              <w:rPr>
                <w:rFonts w:ascii="Tw Cen MT" w:hAnsi="Tw Cen MT"/>
                <w:sz w:val="20"/>
                <w:szCs w:val="20"/>
              </w:rPr>
              <w:t xml:space="preserve">Finalisation de la mise en place des barrages prévus pour le programme "boulevard énergétique" </w:t>
            </w:r>
          </w:p>
        </w:tc>
        <w:tc>
          <w:tcPr>
            <w:tcW w:w="1985" w:type="dxa"/>
            <w:tcBorders>
              <w:top w:val="nil"/>
              <w:left w:val="nil"/>
              <w:bottom w:val="single" w:sz="4" w:space="0" w:color="auto"/>
              <w:right w:val="nil"/>
            </w:tcBorders>
            <w:shd w:val="clear" w:color="auto" w:fill="auto"/>
            <w:noWrap/>
            <w:vAlign w:val="center"/>
            <w:hideMark/>
          </w:tcPr>
          <w:p w14:paraId="2A2491B1" w14:textId="77777777" w:rsidR="00567684" w:rsidRPr="00567684" w:rsidRDefault="00567684" w:rsidP="00567684">
            <w:pPr>
              <w:spacing w:after="0"/>
              <w:jc w:val="left"/>
              <w:rPr>
                <w:rFonts w:ascii="Tw Cen MT" w:hAnsi="Tw Cen MT"/>
                <w:sz w:val="20"/>
                <w:szCs w:val="20"/>
              </w:rPr>
            </w:pPr>
            <w:r w:rsidRPr="00567684">
              <w:rPr>
                <w:rFonts w:ascii="Tw Cen MT" w:hAnsi="Tw Cen MT"/>
                <w:sz w:val="20"/>
                <w:szCs w:val="20"/>
              </w:rPr>
              <w:t>Gouvernement (dont PID)</w:t>
            </w:r>
          </w:p>
        </w:tc>
        <w:tc>
          <w:tcPr>
            <w:tcW w:w="1984" w:type="dxa"/>
            <w:tcBorders>
              <w:top w:val="nil"/>
              <w:left w:val="nil"/>
              <w:bottom w:val="single" w:sz="4" w:space="0" w:color="auto"/>
              <w:right w:val="single" w:sz="4" w:space="0" w:color="auto"/>
            </w:tcBorders>
            <w:shd w:val="clear" w:color="auto" w:fill="auto"/>
            <w:vAlign w:val="center"/>
            <w:hideMark/>
          </w:tcPr>
          <w:p w14:paraId="57F5EBCC"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 xml:space="preserve">Barrages : BM (IFC) - Chine (CADF) </w:t>
            </w:r>
            <w:r w:rsidRPr="00567684">
              <w:rPr>
                <w:rFonts w:ascii="Tw Cen MT" w:hAnsi="Tw Cen MT"/>
                <w:color w:val="000000"/>
                <w:sz w:val="20"/>
                <w:szCs w:val="20"/>
              </w:rPr>
              <w:br/>
            </w:r>
            <w:r w:rsidRPr="00567684">
              <w:rPr>
                <w:rFonts w:ascii="Tw Cen MT" w:hAnsi="Tw Cen MT"/>
                <w:sz w:val="20"/>
                <w:szCs w:val="20"/>
              </w:rPr>
              <w:t xml:space="preserve">Micro barrages : FEM, BAD (FAD) </w:t>
            </w:r>
            <w:r w:rsidRPr="00567684">
              <w:rPr>
                <w:rFonts w:ascii="Tw Cen MT" w:hAnsi="Tw Cen MT"/>
                <w:color w:val="244062"/>
                <w:sz w:val="20"/>
                <w:szCs w:val="20"/>
              </w:rPr>
              <w:br/>
            </w:r>
            <w:r w:rsidRPr="00567684">
              <w:rPr>
                <w:rFonts w:ascii="Tw Cen MT" w:hAnsi="Tw Cen MT"/>
                <w:i/>
                <w:iCs/>
                <w:color w:val="244062"/>
                <w:sz w:val="20"/>
                <w:szCs w:val="20"/>
              </w:rPr>
              <w:t>autres fonds climatiques  (FVC, SCCF, FCCA, ICF, IKI) et énergie (GCPF, GCCI, CTF)</w:t>
            </w:r>
          </w:p>
        </w:tc>
      </w:tr>
      <w:tr w:rsidR="00567684" w:rsidRPr="00567684" w14:paraId="710FDB33" w14:textId="77777777" w:rsidTr="005F4572">
        <w:trPr>
          <w:trHeight w:val="855"/>
        </w:trPr>
        <w:tc>
          <w:tcPr>
            <w:tcW w:w="993" w:type="dxa"/>
            <w:vMerge/>
            <w:tcBorders>
              <w:top w:val="single" w:sz="4" w:space="0" w:color="auto"/>
              <w:left w:val="single" w:sz="4" w:space="0" w:color="auto"/>
              <w:bottom w:val="single" w:sz="4" w:space="0" w:color="auto"/>
              <w:right w:val="nil"/>
            </w:tcBorders>
            <w:vAlign w:val="center"/>
            <w:hideMark/>
          </w:tcPr>
          <w:p w14:paraId="5F2E60CB" w14:textId="77777777" w:rsidR="00567684" w:rsidRPr="00567684" w:rsidRDefault="00567684" w:rsidP="00567684">
            <w:pPr>
              <w:spacing w:after="0"/>
              <w:jc w:val="left"/>
              <w:rPr>
                <w:rFonts w:ascii="Tw Cen MT" w:hAnsi="Tw Cen MT"/>
                <w:b/>
                <w:bCs/>
                <w:color w:val="000000"/>
                <w:sz w:val="20"/>
                <w:szCs w:val="20"/>
              </w:rPr>
            </w:pP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14:paraId="11443313" w14:textId="77777777" w:rsidR="00567684" w:rsidRPr="00567684" w:rsidRDefault="00567684" w:rsidP="00567684">
            <w:pPr>
              <w:spacing w:after="0"/>
              <w:jc w:val="center"/>
              <w:rPr>
                <w:rFonts w:ascii="Tw Cen MT" w:hAnsi="Tw Cen MT"/>
                <w:color w:val="000000"/>
                <w:sz w:val="20"/>
                <w:szCs w:val="20"/>
              </w:rPr>
            </w:pPr>
            <w:r w:rsidRPr="00567684">
              <w:rPr>
                <w:rFonts w:ascii="Tw Cen MT" w:hAnsi="Tw Cen MT"/>
                <w:color w:val="000000"/>
                <w:sz w:val="20"/>
                <w:szCs w:val="20"/>
              </w:rPr>
              <w:t>432</w:t>
            </w:r>
          </w:p>
        </w:tc>
        <w:tc>
          <w:tcPr>
            <w:tcW w:w="3661" w:type="dxa"/>
            <w:tcBorders>
              <w:top w:val="single" w:sz="4" w:space="0" w:color="auto"/>
              <w:left w:val="nil"/>
              <w:bottom w:val="single" w:sz="4" w:space="0" w:color="auto"/>
              <w:right w:val="nil"/>
            </w:tcBorders>
            <w:shd w:val="clear" w:color="auto" w:fill="auto"/>
            <w:vAlign w:val="center"/>
            <w:hideMark/>
          </w:tcPr>
          <w:p w14:paraId="006825E4"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Promotion et développement de l'énergie propre (solaire, biogaz, etc.)</w:t>
            </w:r>
          </w:p>
        </w:tc>
        <w:tc>
          <w:tcPr>
            <w:tcW w:w="4418" w:type="dxa"/>
            <w:tcBorders>
              <w:top w:val="single" w:sz="4" w:space="0" w:color="auto"/>
              <w:left w:val="nil"/>
              <w:bottom w:val="single" w:sz="4" w:space="0" w:color="auto"/>
              <w:right w:val="nil"/>
            </w:tcBorders>
            <w:shd w:val="clear" w:color="auto" w:fill="auto"/>
            <w:vAlign w:val="center"/>
            <w:hideMark/>
          </w:tcPr>
          <w:p w14:paraId="368241F8" w14:textId="77777777" w:rsidR="00567684" w:rsidRPr="00567684" w:rsidRDefault="00567684" w:rsidP="00567684">
            <w:pPr>
              <w:spacing w:after="0"/>
              <w:jc w:val="left"/>
              <w:rPr>
                <w:rFonts w:ascii="Tw Cen MT" w:hAnsi="Tw Cen MT"/>
                <w:sz w:val="20"/>
                <w:szCs w:val="20"/>
              </w:rPr>
            </w:pPr>
            <w:r w:rsidRPr="00567684">
              <w:rPr>
                <w:rFonts w:ascii="Tw Cen MT" w:hAnsi="Tw Cen MT"/>
                <w:sz w:val="20"/>
                <w:szCs w:val="20"/>
              </w:rPr>
              <w:t xml:space="preserve">Mise en place de projets de promotion et développement de l'énergie solaire prévus en marge du programme "boulevard énergétique" </w:t>
            </w:r>
          </w:p>
        </w:tc>
        <w:tc>
          <w:tcPr>
            <w:tcW w:w="1985" w:type="dxa"/>
            <w:tcBorders>
              <w:top w:val="single" w:sz="4" w:space="0" w:color="auto"/>
              <w:left w:val="nil"/>
              <w:bottom w:val="single" w:sz="4" w:space="0" w:color="auto"/>
              <w:right w:val="nil"/>
            </w:tcBorders>
            <w:shd w:val="clear" w:color="auto" w:fill="auto"/>
            <w:noWrap/>
            <w:vAlign w:val="center"/>
            <w:hideMark/>
          </w:tcPr>
          <w:p w14:paraId="3E298C08"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Gouvernement (dont FDSEL)</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AEDD4F6" w14:textId="77777777" w:rsidR="00567684" w:rsidRPr="00567684" w:rsidRDefault="00567684" w:rsidP="00567684">
            <w:pPr>
              <w:spacing w:after="0"/>
              <w:jc w:val="left"/>
              <w:rPr>
                <w:rFonts w:ascii="Tw Cen MT" w:hAnsi="Tw Cen MT"/>
                <w:i/>
                <w:iCs/>
                <w:color w:val="244062"/>
                <w:sz w:val="20"/>
                <w:szCs w:val="20"/>
              </w:rPr>
            </w:pPr>
            <w:r w:rsidRPr="00567684">
              <w:rPr>
                <w:rFonts w:ascii="Tw Cen MT" w:hAnsi="Tw Cen MT"/>
                <w:i/>
                <w:iCs/>
                <w:color w:val="244062"/>
                <w:sz w:val="20"/>
                <w:szCs w:val="20"/>
              </w:rPr>
              <w:t>Fonds climatiques  (SCCF, FCCA, ICF, IKI) et énergie (GCPF, GCCI, CTF)</w:t>
            </w:r>
          </w:p>
        </w:tc>
      </w:tr>
      <w:tr w:rsidR="00567684" w:rsidRPr="00567684" w14:paraId="0E0B94D4" w14:textId="77777777" w:rsidTr="005F4572">
        <w:trPr>
          <w:trHeight w:val="1140"/>
        </w:trPr>
        <w:tc>
          <w:tcPr>
            <w:tcW w:w="993" w:type="dxa"/>
            <w:vMerge/>
            <w:tcBorders>
              <w:top w:val="single" w:sz="4" w:space="0" w:color="auto"/>
              <w:left w:val="single" w:sz="4" w:space="0" w:color="auto"/>
              <w:bottom w:val="single" w:sz="4" w:space="0" w:color="auto"/>
              <w:right w:val="nil"/>
            </w:tcBorders>
            <w:vAlign w:val="center"/>
            <w:hideMark/>
          </w:tcPr>
          <w:p w14:paraId="08591AB5" w14:textId="77777777" w:rsidR="00567684" w:rsidRPr="00567684" w:rsidRDefault="00567684" w:rsidP="00567684">
            <w:pPr>
              <w:spacing w:after="0"/>
              <w:jc w:val="left"/>
              <w:rPr>
                <w:rFonts w:ascii="Tw Cen MT" w:hAnsi="Tw Cen MT"/>
                <w:b/>
                <w:bCs/>
                <w:color w:val="000000"/>
                <w:sz w:val="20"/>
                <w:szCs w:val="20"/>
              </w:rPr>
            </w:pP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14:paraId="5D6249E0" w14:textId="77777777" w:rsidR="00567684" w:rsidRPr="00567684" w:rsidRDefault="00567684" w:rsidP="00567684">
            <w:pPr>
              <w:spacing w:after="0"/>
              <w:jc w:val="center"/>
              <w:rPr>
                <w:rFonts w:ascii="Tw Cen MT" w:hAnsi="Tw Cen MT"/>
                <w:color w:val="000000"/>
                <w:sz w:val="20"/>
                <w:szCs w:val="20"/>
              </w:rPr>
            </w:pPr>
            <w:r w:rsidRPr="00567684">
              <w:rPr>
                <w:rFonts w:ascii="Tw Cen MT" w:hAnsi="Tw Cen MT"/>
                <w:color w:val="000000"/>
                <w:sz w:val="20"/>
                <w:szCs w:val="20"/>
              </w:rPr>
              <w:t>433</w:t>
            </w:r>
          </w:p>
        </w:tc>
        <w:tc>
          <w:tcPr>
            <w:tcW w:w="3661" w:type="dxa"/>
            <w:tcBorders>
              <w:top w:val="single" w:sz="4" w:space="0" w:color="auto"/>
              <w:left w:val="nil"/>
              <w:bottom w:val="single" w:sz="4" w:space="0" w:color="auto"/>
              <w:right w:val="nil"/>
            </w:tcBorders>
            <w:shd w:val="clear" w:color="auto" w:fill="auto"/>
            <w:vAlign w:val="center"/>
            <w:hideMark/>
          </w:tcPr>
          <w:p w14:paraId="1EB8F217"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Installation d'hydroliennes flottantes au niveau des villages pour éviter l'usage des générateurs</w:t>
            </w:r>
          </w:p>
        </w:tc>
        <w:tc>
          <w:tcPr>
            <w:tcW w:w="4418" w:type="dxa"/>
            <w:tcBorders>
              <w:top w:val="single" w:sz="4" w:space="0" w:color="auto"/>
              <w:left w:val="nil"/>
              <w:bottom w:val="single" w:sz="4" w:space="0" w:color="auto"/>
              <w:right w:val="nil"/>
            </w:tcBorders>
            <w:shd w:val="clear" w:color="auto" w:fill="auto"/>
            <w:vAlign w:val="center"/>
            <w:hideMark/>
          </w:tcPr>
          <w:p w14:paraId="382C1C6C"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Mettre en place une hydrolienne au Congo pour tester la pertinence de la technologie</w:t>
            </w:r>
          </w:p>
        </w:tc>
        <w:tc>
          <w:tcPr>
            <w:tcW w:w="1985" w:type="dxa"/>
            <w:tcBorders>
              <w:top w:val="single" w:sz="4" w:space="0" w:color="auto"/>
              <w:left w:val="nil"/>
              <w:bottom w:val="single" w:sz="4" w:space="0" w:color="auto"/>
              <w:right w:val="nil"/>
            </w:tcBorders>
            <w:shd w:val="clear" w:color="auto" w:fill="auto"/>
            <w:noWrap/>
            <w:vAlign w:val="center"/>
            <w:hideMark/>
          </w:tcPr>
          <w:p w14:paraId="0F4B1A54"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Gouvernement (dont FDSEL)</w:t>
            </w:r>
          </w:p>
        </w:tc>
        <w:tc>
          <w:tcPr>
            <w:tcW w:w="1984" w:type="dxa"/>
            <w:tcBorders>
              <w:top w:val="single" w:sz="4" w:space="0" w:color="auto"/>
              <w:left w:val="nil"/>
              <w:bottom w:val="nil"/>
              <w:right w:val="single" w:sz="4" w:space="0" w:color="auto"/>
            </w:tcBorders>
            <w:shd w:val="clear" w:color="auto" w:fill="auto"/>
            <w:vAlign w:val="center"/>
            <w:hideMark/>
          </w:tcPr>
          <w:p w14:paraId="4F3DB9BE" w14:textId="77777777" w:rsidR="00567684" w:rsidRPr="00567684" w:rsidRDefault="00567684" w:rsidP="00567684">
            <w:pPr>
              <w:spacing w:after="0"/>
              <w:jc w:val="left"/>
              <w:rPr>
                <w:rFonts w:ascii="Tw Cen MT" w:hAnsi="Tw Cen MT"/>
                <w:i/>
                <w:iCs/>
                <w:color w:val="244062"/>
                <w:sz w:val="20"/>
                <w:szCs w:val="20"/>
              </w:rPr>
            </w:pPr>
            <w:r w:rsidRPr="00567684">
              <w:rPr>
                <w:rFonts w:ascii="Tw Cen MT" w:hAnsi="Tw Cen MT"/>
                <w:i/>
                <w:iCs/>
                <w:color w:val="244062"/>
                <w:sz w:val="20"/>
                <w:szCs w:val="20"/>
              </w:rPr>
              <w:t>Fonds climatiques  (FVC, SCCF, FCCA, ICF, IKI) et énergie (GCPF, GCCI, CTF)</w:t>
            </w:r>
          </w:p>
        </w:tc>
      </w:tr>
      <w:tr w:rsidR="00567684" w:rsidRPr="00567684" w14:paraId="2A290FF9" w14:textId="77777777" w:rsidTr="005F4572">
        <w:trPr>
          <w:trHeight w:val="1710"/>
        </w:trPr>
        <w:tc>
          <w:tcPr>
            <w:tcW w:w="993" w:type="dxa"/>
            <w:vMerge w:val="restart"/>
            <w:tcBorders>
              <w:top w:val="single" w:sz="4" w:space="0" w:color="auto"/>
              <w:left w:val="single" w:sz="4" w:space="0" w:color="auto"/>
              <w:bottom w:val="single" w:sz="4" w:space="0" w:color="auto"/>
              <w:right w:val="nil"/>
            </w:tcBorders>
            <w:shd w:val="clear" w:color="000000" w:fill="B8CCE4"/>
            <w:textDirection w:val="btLr"/>
            <w:vAlign w:val="center"/>
            <w:hideMark/>
          </w:tcPr>
          <w:p w14:paraId="6D594495" w14:textId="77777777" w:rsidR="00567684" w:rsidRPr="00567684" w:rsidRDefault="00567684" w:rsidP="00567684">
            <w:pPr>
              <w:spacing w:after="0"/>
              <w:jc w:val="center"/>
              <w:rPr>
                <w:rFonts w:ascii="Tw Cen MT" w:hAnsi="Tw Cen MT"/>
                <w:b/>
                <w:bCs/>
                <w:color w:val="000000"/>
                <w:sz w:val="20"/>
                <w:szCs w:val="20"/>
              </w:rPr>
            </w:pPr>
            <w:r w:rsidRPr="00567684">
              <w:rPr>
                <w:rFonts w:ascii="Tw Cen MT" w:hAnsi="Tw Cen MT"/>
                <w:b/>
                <w:bCs/>
                <w:color w:val="000000"/>
                <w:sz w:val="20"/>
                <w:szCs w:val="20"/>
              </w:rPr>
              <w:t>SO 4.4 Valorisation des déchets de l'exploitation et de l'industrie forestière ainsi que ceux de l'agriculture à des fins énergétiques</w:t>
            </w:r>
          </w:p>
        </w:tc>
        <w:tc>
          <w:tcPr>
            <w:tcW w:w="567" w:type="dxa"/>
            <w:tcBorders>
              <w:top w:val="nil"/>
              <w:left w:val="single" w:sz="4" w:space="0" w:color="auto"/>
              <w:bottom w:val="single" w:sz="4" w:space="0" w:color="auto"/>
              <w:right w:val="nil"/>
            </w:tcBorders>
            <w:shd w:val="clear" w:color="auto" w:fill="auto"/>
            <w:noWrap/>
            <w:vAlign w:val="center"/>
            <w:hideMark/>
          </w:tcPr>
          <w:p w14:paraId="14A8F17B" w14:textId="77777777" w:rsidR="00567684" w:rsidRPr="00567684" w:rsidRDefault="00567684" w:rsidP="00567684">
            <w:pPr>
              <w:spacing w:after="0"/>
              <w:jc w:val="center"/>
              <w:rPr>
                <w:rFonts w:ascii="Tw Cen MT" w:hAnsi="Tw Cen MT"/>
                <w:color w:val="000000"/>
                <w:sz w:val="20"/>
                <w:szCs w:val="20"/>
              </w:rPr>
            </w:pPr>
            <w:r w:rsidRPr="00567684">
              <w:rPr>
                <w:rFonts w:ascii="Tw Cen MT" w:hAnsi="Tw Cen MT"/>
                <w:color w:val="000000"/>
                <w:sz w:val="20"/>
                <w:szCs w:val="20"/>
              </w:rPr>
              <w:t>441</w:t>
            </w:r>
          </w:p>
        </w:tc>
        <w:tc>
          <w:tcPr>
            <w:tcW w:w="3661" w:type="dxa"/>
            <w:tcBorders>
              <w:top w:val="nil"/>
              <w:left w:val="nil"/>
              <w:bottom w:val="single" w:sz="4" w:space="0" w:color="auto"/>
              <w:right w:val="nil"/>
            </w:tcBorders>
            <w:shd w:val="clear" w:color="auto" w:fill="auto"/>
            <w:vAlign w:val="center"/>
            <w:hideMark/>
          </w:tcPr>
          <w:p w14:paraId="3044BE25"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Développement de la cogénération</w:t>
            </w:r>
          </w:p>
        </w:tc>
        <w:tc>
          <w:tcPr>
            <w:tcW w:w="4418" w:type="dxa"/>
            <w:tcBorders>
              <w:top w:val="nil"/>
              <w:left w:val="nil"/>
              <w:bottom w:val="single" w:sz="4" w:space="0" w:color="auto"/>
              <w:right w:val="nil"/>
            </w:tcBorders>
            <w:shd w:val="clear" w:color="auto" w:fill="auto"/>
            <w:vAlign w:val="center"/>
            <w:hideMark/>
          </w:tcPr>
          <w:p w14:paraId="583F6FB3"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 xml:space="preserve">Equiper les sites industriels de transformation du bois en unité de cogénération </w:t>
            </w:r>
          </w:p>
        </w:tc>
        <w:tc>
          <w:tcPr>
            <w:tcW w:w="1985" w:type="dxa"/>
            <w:tcBorders>
              <w:top w:val="nil"/>
              <w:left w:val="nil"/>
              <w:bottom w:val="nil"/>
              <w:right w:val="nil"/>
            </w:tcBorders>
            <w:shd w:val="clear" w:color="auto" w:fill="auto"/>
            <w:vAlign w:val="center"/>
            <w:hideMark/>
          </w:tcPr>
          <w:p w14:paraId="14AD1333"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Gouvernement (dont FDSEL</w:t>
            </w:r>
            <w:proofErr w:type="gramStart"/>
            <w:r w:rsidRPr="00567684">
              <w:rPr>
                <w:rFonts w:ascii="Tw Cen MT" w:hAnsi="Tw Cen MT"/>
                <w:color w:val="000000"/>
                <w:sz w:val="20"/>
                <w:szCs w:val="20"/>
              </w:rPr>
              <w:t>)</w:t>
            </w:r>
            <w:proofErr w:type="gramEnd"/>
            <w:r w:rsidRPr="00567684">
              <w:rPr>
                <w:rFonts w:ascii="Tw Cen MT" w:hAnsi="Tw Cen MT"/>
                <w:color w:val="000000"/>
                <w:sz w:val="20"/>
                <w:szCs w:val="20"/>
              </w:rPr>
              <w:br/>
              <w:t xml:space="preserve">Entreprises privées </w:t>
            </w:r>
          </w:p>
        </w:tc>
        <w:tc>
          <w:tcPr>
            <w:tcW w:w="1984" w:type="dxa"/>
            <w:tcBorders>
              <w:top w:val="single" w:sz="4" w:space="0" w:color="auto"/>
              <w:left w:val="nil"/>
              <w:bottom w:val="nil"/>
              <w:right w:val="single" w:sz="4" w:space="0" w:color="auto"/>
            </w:tcBorders>
            <w:shd w:val="clear" w:color="auto" w:fill="auto"/>
            <w:vAlign w:val="center"/>
            <w:hideMark/>
          </w:tcPr>
          <w:p w14:paraId="4EC657F4" w14:textId="2660F301" w:rsidR="00567684" w:rsidRPr="00567684" w:rsidRDefault="00BA65C9" w:rsidP="00567684">
            <w:pPr>
              <w:spacing w:after="0"/>
              <w:jc w:val="left"/>
              <w:rPr>
                <w:rFonts w:ascii="Tw Cen MT" w:hAnsi="Tw Cen MT"/>
                <w:color w:val="000000"/>
                <w:sz w:val="20"/>
                <w:szCs w:val="20"/>
              </w:rPr>
            </w:pPr>
            <w:r>
              <w:rPr>
                <w:rFonts w:ascii="Tw Cen MT" w:hAnsi="Tw Cen MT"/>
                <w:color w:val="000000"/>
                <w:sz w:val="20"/>
                <w:szCs w:val="20"/>
              </w:rPr>
              <w:t>IED</w:t>
            </w:r>
            <w:r w:rsidR="00567684" w:rsidRPr="00567684">
              <w:rPr>
                <w:rFonts w:ascii="Tw Cen MT" w:hAnsi="Tw Cen MT"/>
                <w:color w:val="000000"/>
                <w:sz w:val="20"/>
                <w:szCs w:val="20"/>
              </w:rPr>
              <w:t xml:space="preserve"> (appui IFI</w:t>
            </w:r>
            <w:proofErr w:type="gramStart"/>
            <w:r w:rsidR="00567684" w:rsidRPr="00567684">
              <w:rPr>
                <w:rFonts w:ascii="Tw Cen MT" w:hAnsi="Tw Cen MT"/>
                <w:color w:val="000000"/>
                <w:sz w:val="20"/>
                <w:szCs w:val="20"/>
              </w:rPr>
              <w:t>)</w:t>
            </w:r>
            <w:proofErr w:type="gramEnd"/>
            <w:r w:rsidR="00567684" w:rsidRPr="00567684">
              <w:rPr>
                <w:rFonts w:ascii="Tw Cen MT" w:hAnsi="Tw Cen MT"/>
                <w:color w:val="000000"/>
                <w:sz w:val="20"/>
                <w:szCs w:val="20"/>
              </w:rPr>
              <w:br/>
              <w:t>AFD (C2D)</w:t>
            </w:r>
            <w:r w:rsidR="00567684" w:rsidRPr="00567684">
              <w:rPr>
                <w:rFonts w:ascii="Tw Cen MT" w:hAnsi="Tw Cen MT"/>
                <w:color w:val="000000"/>
                <w:sz w:val="20"/>
                <w:szCs w:val="20"/>
              </w:rPr>
              <w:br/>
            </w:r>
            <w:r w:rsidR="00567684" w:rsidRPr="00567684">
              <w:rPr>
                <w:rFonts w:ascii="Tw Cen MT" w:hAnsi="Tw Cen MT"/>
                <w:i/>
                <w:iCs/>
                <w:color w:val="244062"/>
                <w:sz w:val="20"/>
                <w:szCs w:val="20"/>
              </w:rPr>
              <w:t>autres fonds climatiques  (FVC, SCCF, FCCA, ICF, IKI) et énergie (GCPF, GCCI, CTF)</w:t>
            </w:r>
          </w:p>
        </w:tc>
      </w:tr>
      <w:tr w:rsidR="00567684" w:rsidRPr="00567684" w14:paraId="751126BA" w14:textId="77777777" w:rsidTr="00567684">
        <w:trPr>
          <w:trHeight w:val="1710"/>
        </w:trPr>
        <w:tc>
          <w:tcPr>
            <w:tcW w:w="993" w:type="dxa"/>
            <w:vMerge/>
            <w:tcBorders>
              <w:top w:val="nil"/>
              <w:left w:val="single" w:sz="4" w:space="0" w:color="auto"/>
              <w:bottom w:val="single" w:sz="4" w:space="0" w:color="auto"/>
              <w:right w:val="nil"/>
            </w:tcBorders>
            <w:vAlign w:val="center"/>
            <w:hideMark/>
          </w:tcPr>
          <w:p w14:paraId="04567F41" w14:textId="77777777" w:rsidR="00567684" w:rsidRPr="00567684" w:rsidRDefault="00567684" w:rsidP="00567684">
            <w:pPr>
              <w:spacing w:after="0"/>
              <w:jc w:val="left"/>
              <w:rPr>
                <w:rFonts w:ascii="Tw Cen MT" w:hAnsi="Tw Cen MT"/>
                <w:b/>
                <w:bCs/>
                <w:color w:val="000000"/>
                <w:sz w:val="20"/>
                <w:szCs w:val="20"/>
              </w:rPr>
            </w:pPr>
          </w:p>
        </w:tc>
        <w:tc>
          <w:tcPr>
            <w:tcW w:w="567" w:type="dxa"/>
            <w:vMerge w:val="restart"/>
            <w:tcBorders>
              <w:top w:val="nil"/>
              <w:left w:val="single" w:sz="4" w:space="0" w:color="auto"/>
              <w:bottom w:val="single" w:sz="4" w:space="0" w:color="000000"/>
              <w:right w:val="nil"/>
            </w:tcBorders>
            <w:shd w:val="clear" w:color="auto" w:fill="auto"/>
            <w:noWrap/>
            <w:vAlign w:val="center"/>
            <w:hideMark/>
          </w:tcPr>
          <w:p w14:paraId="055C9225" w14:textId="77777777" w:rsidR="00567684" w:rsidRPr="00567684" w:rsidRDefault="00567684" w:rsidP="00567684">
            <w:pPr>
              <w:spacing w:after="0"/>
              <w:jc w:val="center"/>
              <w:rPr>
                <w:rFonts w:ascii="Tw Cen MT" w:hAnsi="Tw Cen MT"/>
                <w:color w:val="000000"/>
                <w:sz w:val="20"/>
                <w:szCs w:val="20"/>
              </w:rPr>
            </w:pPr>
            <w:r w:rsidRPr="00567684">
              <w:rPr>
                <w:rFonts w:ascii="Tw Cen MT" w:hAnsi="Tw Cen MT"/>
                <w:color w:val="000000"/>
                <w:sz w:val="20"/>
                <w:szCs w:val="20"/>
              </w:rPr>
              <w:t>442</w:t>
            </w:r>
          </w:p>
        </w:tc>
        <w:tc>
          <w:tcPr>
            <w:tcW w:w="3661" w:type="dxa"/>
            <w:vMerge w:val="restart"/>
            <w:tcBorders>
              <w:top w:val="nil"/>
              <w:left w:val="nil"/>
              <w:bottom w:val="single" w:sz="4" w:space="0" w:color="000000"/>
              <w:right w:val="nil"/>
            </w:tcBorders>
            <w:shd w:val="clear" w:color="auto" w:fill="auto"/>
            <w:vAlign w:val="center"/>
            <w:hideMark/>
          </w:tcPr>
          <w:p w14:paraId="4B5F4B64"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Promotion et développement des unités de carbonisation et de fabrique de briquettes à proximité des sites industriels</w:t>
            </w:r>
          </w:p>
        </w:tc>
        <w:tc>
          <w:tcPr>
            <w:tcW w:w="4418" w:type="dxa"/>
            <w:tcBorders>
              <w:top w:val="nil"/>
              <w:left w:val="nil"/>
              <w:bottom w:val="nil"/>
              <w:right w:val="nil"/>
            </w:tcBorders>
            <w:shd w:val="clear" w:color="auto" w:fill="auto"/>
            <w:vAlign w:val="center"/>
            <w:hideMark/>
          </w:tcPr>
          <w:p w14:paraId="21DC0CC7"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 xml:space="preserve">Développement et accompagnement de producteurs locaux des communautés résidentes à proximité des sites de transformation pour la production de charbon améliorée </w:t>
            </w:r>
          </w:p>
        </w:tc>
        <w:tc>
          <w:tcPr>
            <w:tcW w:w="1985" w:type="dxa"/>
            <w:tcBorders>
              <w:top w:val="single" w:sz="4" w:space="0" w:color="auto"/>
              <w:left w:val="nil"/>
              <w:bottom w:val="nil"/>
              <w:right w:val="nil"/>
            </w:tcBorders>
            <w:shd w:val="clear" w:color="auto" w:fill="auto"/>
            <w:vAlign w:val="center"/>
            <w:hideMark/>
          </w:tcPr>
          <w:p w14:paraId="11E2F2C8"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Entreprises privées (contributions au développement local)</w:t>
            </w:r>
          </w:p>
        </w:tc>
        <w:tc>
          <w:tcPr>
            <w:tcW w:w="1984" w:type="dxa"/>
            <w:tcBorders>
              <w:top w:val="single" w:sz="4" w:space="0" w:color="auto"/>
              <w:left w:val="nil"/>
              <w:bottom w:val="nil"/>
              <w:right w:val="single" w:sz="4" w:space="0" w:color="auto"/>
            </w:tcBorders>
            <w:shd w:val="clear" w:color="auto" w:fill="auto"/>
            <w:vAlign w:val="center"/>
            <w:hideMark/>
          </w:tcPr>
          <w:p w14:paraId="4A8896E2" w14:textId="77777777" w:rsidR="00567684" w:rsidRPr="00567684" w:rsidRDefault="00567684" w:rsidP="00567684">
            <w:pPr>
              <w:spacing w:after="0"/>
              <w:jc w:val="left"/>
              <w:rPr>
                <w:rFonts w:ascii="Tw Cen MT" w:hAnsi="Tw Cen MT"/>
                <w:color w:val="244062"/>
                <w:sz w:val="20"/>
                <w:szCs w:val="20"/>
              </w:rPr>
            </w:pPr>
            <w:r w:rsidRPr="00567684">
              <w:rPr>
                <w:rFonts w:ascii="Tw Cen MT" w:hAnsi="Tw Cen MT"/>
                <w:i/>
                <w:iCs/>
                <w:color w:val="244062"/>
                <w:sz w:val="20"/>
                <w:szCs w:val="20"/>
              </w:rPr>
              <w:t>FFEM (PPI</w:t>
            </w:r>
            <w:proofErr w:type="gramStart"/>
            <w:r w:rsidRPr="00567684">
              <w:rPr>
                <w:rFonts w:ascii="Tw Cen MT" w:hAnsi="Tw Cen MT"/>
                <w:i/>
                <w:iCs/>
                <w:color w:val="244062"/>
                <w:sz w:val="20"/>
                <w:szCs w:val="20"/>
              </w:rPr>
              <w:t>)</w:t>
            </w:r>
            <w:proofErr w:type="gramEnd"/>
            <w:r w:rsidRPr="00567684">
              <w:rPr>
                <w:rFonts w:ascii="Tw Cen MT" w:hAnsi="Tw Cen MT"/>
                <w:i/>
                <w:iCs/>
                <w:color w:val="244062"/>
                <w:sz w:val="20"/>
                <w:szCs w:val="20"/>
              </w:rPr>
              <w:br/>
              <w:t>BDEAC (FEVAC)</w:t>
            </w:r>
            <w:r w:rsidRPr="00567684">
              <w:rPr>
                <w:rFonts w:ascii="Tw Cen MT" w:hAnsi="Tw Cen MT"/>
                <w:color w:val="244062"/>
                <w:sz w:val="20"/>
                <w:szCs w:val="20"/>
              </w:rPr>
              <w:br/>
            </w:r>
            <w:r w:rsidRPr="00567684">
              <w:rPr>
                <w:rFonts w:ascii="Tw Cen MT" w:hAnsi="Tw Cen MT"/>
                <w:i/>
                <w:iCs/>
                <w:color w:val="244062"/>
                <w:sz w:val="20"/>
                <w:szCs w:val="20"/>
              </w:rPr>
              <w:t>autres fonds climatiques  (FVC, SCCF, FCCA, ICF, IKI) et énergie (GCPF, GCCI, CTF)</w:t>
            </w:r>
          </w:p>
        </w:tc>
      </w:tr>
      <w:tr w:rsidR="00567684" w:rsidRPr="00567684" w14:paraId="1F0FBD1A" w14:textId="77777777" w:rsidTr="00567684">
        <w:trPr>
          <w:trHeight w:val="1710"/>
        </w:trPr>
        <w:tc>
          <w:tcPr>
            <w:tcW w:w="993" w:type="dxa"/>
            <w:vMerge/>
            <w:tcBorders>
              <w:top w:val="nil"/>
              <w:left w:val="single" w:sz="4" w:space="0" w:color="auto"/>
              <w:bottom w:val="single" w:sz="4" w:space="0" w:color="auto"/>
              <w:right w:val="nil"/>
            </w:tcBorders>
            <w:vAlign w:val="center"/>
            <w:hideMark/>
          </w:tcPr>
          <w:p w14:paraId="2E07AA7A" w14:textId="77777777" w:rsidR="00567684" w:rsidRPr="00567684" w:rsidRDefault="00567684" w:rsidP="00567684">
            <w:pPr>
              <w:spacing w:after="0"/>
              <w:jc w:val="left"/>
              <w:rPr>
                <w:rFonts w:ascii="Tw Cen MT" w:hAnsi="Tw Cen MT"/>
                <w:b/>
                <w:bCs/>
                <w:color w:val="000000"/>
                <w:sz w:val="20"/>
                <w:szCs w:val="20"/>
              </w:rPr>
            </w:pPr>
          </w:p>
        </w:tc>
        <w:tc>
          <w:tcPr>
            <w:tcW w:w="567" w:type="dxa"/>
            <w:vMerge/>
            <w:tcBorders>
              <w:top w:val="nil"/>
              <w:left w:val="single" w:sz="4" w:space="0" w:color="auto"/>
              <w:bottom w:val="single" w:sz="4" w:space="0" w:color="000000"/>
              <w:right w:val="nil"/>
            </w:tcBorders>
            <w:vAlign w:val="center"/>
            <w:hideMark/>
          </w:tcPr>
          <w:p w14:paraId="7723DC5D" w14:textId="77777777" w:rsidR="00567684" w:rsidRPr="00567684" w:rsidRDefault="00567684" w:rsidP="00567684">
            <w:pPr>
              <w:spacing w:after="0"/>
              <w:jc w:val="left"/>
              <w:rPr>
                <w:rFonts w:ascii="Tw Cen MT" w:hAnsi="Tw Cen MT"/>
                <w:color w:val="000000"/>
                <w:sz w:val="20"/>
                <w:szCs w:val="20"/>
              </w:rPr>
            </w:pPr>
          </w:p>
        </w:tc>
        <w:tc>
          <w:tcPr>
            <w:tcW w:w="3661" w:type="dxa"/>
            <w:vMerge/>
            <w:tcBorders>
              <w:top w:val="nil"/>
              <w:left w:val="nil"/>
              <w:bottom w:val="single" w:sz="4" w:space="0" w:color="000000"/>
              <w:right w:val="nil"/>
            </w:tcBorders>
            <w:vAlign w:val="center"/>
            <w:hideMark/>
          </w:tcPr>
          <w:p w14:paraId="35C9D804" w14:textId="77777777" w:rsidR="00567684" w:rsidRPr="00567684" w:rsidRDefault="00567684" w:rsidP="00567684">
            <w:pPr>
              <w:spacing w:after="0"/>
              <w:jc w:val="left"/>
              <w:rPr>
                <w:rFonts w:ascii="Tw Cen MT" w:hAnsi="Tw Cen MT"/>
                <w:color w:val="000000"/>
                <w:sz w:val="20"/>
                <w:szCs w:val="20"/>
              </w:rPr>
            </w:pPr>
          </w:p>
        </w:tc>
        <w:tc>
          <w:tcPr>
            <w:tcW w:w="4418" w:type="dxa"/>
            <w:tcBorders>
              <w:top w:val="nil"/>
              <w:left w:val="nil"/>
              <w:bottom w:val="single" w:sz="4" w:space="0" w:color="auto"/>
              <w:right w:val="nil"/>
            </w:tcBorders>
            <w:shd w:val="clear" w:color="auto" w:fill="auto"/>
            <w:vAlign w:val="center"/>
            <w:hideMark/>
          </w:tcPr>
          <w:p w14:paraId="1B70F197"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Développement et accompagnement de producteurs locaux des communautés résidentes à proximité des sites de transformation pour la production de briquettes</w:t>
            </w:r>
          </w:p>
        </w:tc>
        <w:tc>
          <w:tcPr>
            <w:tcW w:w="1985" w:type="dxa"/>
            <w:tcBorders>
              <w:top w:val="nil"/>
              <w:left w:val="nil"/>
              <w:bottom w:val="single" w:sz="4" w:space="0" w:color="auto"/>
              <w:right w:val="nil"/>
            </w:tcBorders>
            <w:shd w:val="clear" w:color="auto" w:fill="auto"/>
            <w:vAlign w:val="center"/>
            <w:hideMark/>
          </w:tcPr>
          <w:p w14:paraId="56F0E30E" w14:textId="77777777" w:rsidR="00567684" w:rsidRPr="00567684" w:rsidRDefault="00567684" w:rsidP="00567684">
            <w:pPr>
              <w:spacing w:after="0"/>
              <w:jc w:val="left"/>
              <w:rPr>
                <w:rFonts w:ascii="Tw Cen MT" w:hAnsi="Tw Cen MT"/>
                <w:color w:val="000000"/>
                <w:sz w:val="20"/>
                <w:szCs w:val="20"/>
              </w:rPr>
            </w:pPr>
            <w:r w:rsidRPr="00567684">
              <w:rPr>
                <w:rFonts w:ascii="Tw Cen MT" w:hAnsi="Tw Cen MT"/>
                <w:color w:val="000000"/>
                <w:sz w:val="20"/>
                <w:szCs w:val="20"/>
              </w:rPr>
              <w:t>Entreprises privées (contributions au développement local)</w:t>
            </w:r>
          </w:p>
        </w:tc>
        <w:tc>
          <w:tcPr>
            <w:tcW w:w="1984" w:type="dxa"/>
            <w:tcBorders>
              <w:top w:val="nil"/>
              <w:left w:val="nil"/>
              <w:bottom w:val="single" w:sz="4" w:space="0" w:color="auto"/>
              <w:right w:val="single" w:sz="4" w:space="0" w:color="auto"/>
            </w:tcBorders>
            <w:shd w:val="clear" w:color="auto" w:fill="auto"/>
            <w:vAlign w:val="center"/>
            <w:hideMark/>
          </w:tcPr>
          <w:p w14:paraId="72436893" w14:textId="77777777" w:rsidR="00567684" w:rsidRPr="00567684" w:rsidRDefault="00567684" w:rsidP="00567684">
            <w:pPr>
              <w:spacing w:after="0"/>
              <w:jc w:val="left"/>
              <w:rPr>
                <w:rFonts w:ascii="Tw Cen MT" w:hAnsi="Tw Cen MT"/>
                <w:color w:val="244062"/>
                <w:sz w:val="20"/>
                <w:szCs w:val="20"/>
              </w:rPr>
            </w:pPr>
            <w:r w:rsidRPr="00567684">
              <w:rPr>
                <w:rFonts w:ascii="Tw Cen MT" w:hAnsi="Tw Cen MT"/>
                <w:i/>
                <w:iCs/>
                <w:color w:val="244062"/>
                <w:sz w:val="20"/>
                <w:szCs w:val="20"/>
              </w:rPr>
              <w:t>FFEM (PPI</w:t>
            </w:r>
            <w:proofErr w:type="gramStart"/>
            <w:r w:rsidRPr="00567684">
              <w:rPr>
                <w:rFonts w:ascii="Tw Cen MT" w:hAnsi="Tw Cen MT"/>
                <w:i/>
                <w:iCs/>
                <w:color w:val="244062"/>
                <w:sz w:val="20"/>
                <w:szCs w:val="20"/>
              </w:rPr>
              <w:t>)</w:t>
            </w:r>
            <w:proofErr w:type="gramEnd"/>
            <w:r w:rsidRPr="00567684">
              <w:rPr>
                <w:rFonts w:ascii="Tw Cen MT" w:hAnsi="Tw Cen MT"/>
                <w:i/>
                <w:iCs/>
                <w:color w:val="244062"/>
                <w:sz w:val="20"/>
                <w:szCs w:val="20"/>
              </w:rPr>
              <w:br/>
              <w:t>BDEAC (FEVAC)</w:t>
            </w:r>
            <w:r w:rsidRPr="00567684">
              <w:rPr>
                <w:rFonts w:ascii="Tw Cen MT" w:hAnsi="Tw Cen MT"/>
                <w:color w:val="244062"/>
                <w:sz w:val="20"/>
                <w:szCs w:val="20"/>
              </w:rPr>
              <w:br/>
            </w:r>
            <w:r w:rsidRPr="00567684">
              <w:rPr>
                <w:rFonts w:ascii="Tw Cen MT" w:hAnsi="Tw Cen MT"/>
                <w:i/>
                <w:iCs/>
                <w:color w:val="244062"/>
                <w:sz w:val="20"/>
                <w:szCs w:val="20"/>
              </w:rPr>
              <w:t>autres fonds climatiques  (FVC, SCCF, FCCA, ICF, IKI) et énergie (GCPF, GCCI, CTF)</w:t>
            </w:r>
          </w:p>
        </w:tc>
      </w:tr>
      <w:tr w:rsidR="00567684" w:rsidRPr="00567684" w14:paraId="19D721FF" w14:textId="77777777" w:rsidTr="00567684">
        <w:trPr>
          <w:trHeight w:val="855"/>
        </w:trPr>
        <w:tc>
          <w:tcPr>
            <w:tcW w:w="993" w:type="dxa"/>
            <w:vMerge/>
            <w:tcBorders>
              <w:top w:val="nil"/>
              <w:left w:val="single" w:sz="4" w:space="0" w:color="auto"/>
              <w:bottom w:val="single" w:sz="4" w:space="0" w:color="auto"/>
              <w:right w:val="nil"/>
            </w:tcBorders>
            <w:vAlign w:val="center"/>
            <w:hideMark/>
          </w:tcPr>
          <w:p w14:paraId="39D63EED" w14:textId="77777777" w:rsidR="00567684" w:rsidRPr="00567684" w:rsidRDefault="00567684" w:rsidP="00567684">
            <w:pPr>
              <w:spacing w:after="0"/>
              <w:jc w:val="left"/>
              <w:rPr>
                <w:rFonts w:ascii="Tw Cen MT" w:hAnsi="Tw Cen MT"/>
                <w:b/>
                <w:bCs/>
                <w:color w:val="000000"/>
                <w:sz w:val="20"/>
                <w:szCs w:val="20"/>
              </w:rPr>
            </w:pPr>
          </w:p>
        </w:tc>
        <w:tc>
          <w:tcPr>
            <w:tcW w:w="567" w:type="dxa"/>
            <w:tcBorders>
              <w:top w:val="nil"/>
              <w:left w:val="single" w:sz="4" w:space="0" w:color="auto"/>
              <w:bottom w:val="single" w:sz="4" w:space="0" w:color="auto"/>
              <w:right w:val="nil"/>
            </w:tcBorders>
            <w:shd w:val="clear" w:color="000000" w:fill="F2F2F2"/>
            <w:noWrap/>
            <w:vAlign w:val="center"/>
            <w:hideMark/>
          </w:tcPr>
          <w:p w14:paraId="6B38D194" w14:textId="77777777" w:rsidR="00567684" w:rsidRPr="00567684" w:rsidRDefault="00567684" w:rsidP="00567684">
            <w:pPr>
              <w:spacing w:after="0"/>
              <w:jc w:val="center"/>
              <w:rPr>
                <w:rFonts w:ascii="Tw Cen MT" w:hAnsi="Tw Cen MT"/>
                <w:color w:val="808080"/>
                <w:sz w:val="20"/>
                <w:szCs w:val="20"/>
              </w:rPr>
            </w:pPr>
            <w:r w:rsidRPr="00567684">
              <w:rPr>
                <w:rFonts w:ascii="Tw Cen MT" w:hAnsi="Tw Cen MT"/>
                <w:color w:val="808080"/>
                <w:sz w:val="20"/>
                <w:szCs w:val="20"/>
              </w:rPr>
              <w:t>443</w:t>
            </w:r>
          </w:p>
        </w:tc>
        <w:tc>
          <w:tcPr>
            <w:tcW w:w="3661" w:type="dxa"/>
            <w:tcBorders>
              <w:top w:val="nil"/>
              <w:left w:val="nil"/>
              <w:bottom w:val="single" w:sz="4" w:space="0" w:color="auto"/>
              <w:right w:val="nil"/>
            </w:tcBorders>
            <w:shd w:val="clear" w:color="000000" w:fill="F2F2F2"/>
            <w:vAlign w:val="center"/>
            <w:hideMark/>
          </w:tcPr>
          <w:p w14:paraId="7DCCFF8A" w14:textId="77777777" w:rsidR="00567684" w:rsidRPr="00567684" w:rsidRDefault="00567684" w:rsidP="00567684">
            <w:pPr>
              <w:spacing w:after="0"/>
              <w:jc w:val="left"/>
              <w:rPr>
                <w:rFonts w:ascii="Tw Cen MT" w:hAnsi="Tw Cen MT"/>
                <w:color w:val="808080"/>
                <w:sz w:val="20"/>
                <w:szCs w:val="20"/>
              </w:rPr>
            </w:pPr>
            <w:r w:rsidRPr="00567684">
              <w:rPr>
                <w:rFonts w:ascii="Tw Cen MT" w:hAnsi="Tw Cen MT"/>
                <w:color w:val="808080"/>
                <w:sz w:val="20"/>
                <w:szCs w:val="20"/>
              </w:rPr>
              <w:t>Le recyclage des déchets par la valorisation énergétique de la biomasse ligneuse</w:t>
            </w:r>
          </w:p>
        </w:tc>
        <w:tc>
          <w:tcPr>
            <w:tcW w:w="4418" w:type="dxa"/>
            <w:tcBorders>
              <w:top w:val="nil"/>
              <w:left w:val="nil"/>
              <w:bottom w:val="single" w:sz="4" w:space="0" w:color="auto"/>
              <w:right w:val="nil"/>
            </w:tcBorders>
            <w:shd w:val="clear" w:color="000000" w:fill="F2F2F2"/>
            <w:vAlign w:val="center"/>
            <w:hideMark/>
          </w:tcPr>
          <w:p w14:paraId="3C745D2D" w14:textId="77777777" w:rsidR="00567684" w:rsidRPr="00567684" w:rsidRDefault="00567684" w:rsidP="00567684">
            <w:pPr>
              <w:spacing w:after="0"/>
              <w:jc w:val="left"/>
              <w:rPr>
                <w:rFonts w:ascii="Tw Cen MT" w:hAnsi="Tw Cen MT"/>
                <w:color w:val="808080"/>
                <w:sz w:val="20"/>
                <w:szCs w:val="20"/>
              </w:rPr>
            </w:pPr>
            <w:r w:rsidRPr="00567684">
              <w:rPr>
                <w:rFonts w:ascii="Tw Cen MT" w:hAnsi="Tw Cen MT"/>
                <w:color w:val="808080"/>
                <w:sz w:val="20"/>
                <w:szCs w:val="20"/>
              </w:rPr>
              <w:t>-</w:t>
            </w:r>
          </w:p>
        </w:tc>
        <w:tc>
          <w:tcPr>
            <w:tcW w:w="3969" w:type="dxa"/>
            <w:gridSpan w:val="2"/>
            <w:tcBorders>
              <w:top w:val="nil"/>
              <w:left w:val="nil"/>
              <w:bottom w:val="single" w:sz="4" w:space="0" w:color="auto"/>
              <w:right w:val="single" w:sz="4" w:space="0" w:color="000000"/>
            </w:tcBorders>
            <w:shd w:val="clear" w:color="000000" w:fill="F2F2F2"/>
            <w:noWrap/>
            <w:vAlign w:val="center"/>
            <w:hideMark/>
          </w:tcPr>
          <w:p w14:paraId="57274D8E" w14:textId="77777777" w:rsidR="00567684" w:rsidRPr="00567684" w:rsidRDefault="00567684" w:rsidP="00567684">
            <w:pPr>
              <w:spacing w:after="0"/>
              <w:jc w:val="center"/>
              <w:rPr>
                <w:rFonts w:ascii="Tw Cen MT" w:hAnsi="Tw Cen MT"/>
                <w:color w:val="808080"/>
                <w:sz w:val="20"/>
                <w:szCs w:val="20"/>
              </w:rPr>
            </w:pPr>
            <w:r w:rsidRPr="00567684">
              <w:rPr>
                <w:rFonts w:ascii="Tw Cen MT" w:hAnsi="Tw Cen MT"/>
                <w:color w:val="808080"/>
                <w:sz w:val="20"/>
                <w:szCs w:val="20"/>
              </w:rPr>
              <w:t>Activité couverte par 441 et 442</w:t>
            </w:r>
          </w:p>
        </w:tc>
      </w:tr>
    </w:tbl>
    <w:p w14:paraId="2F0AF82F" w14:textId="77777777" w:rsidR="0075216C" w:rsidRDefault="0075216C" w:rsidP="00643127">
      <w:pPr>
        <w:rPr>
          <w:highlight w:val="yellow"/>
        </w:rPr>
      </w:pPr>
    </w:p>
    <w:p w14:paraId="52DFFA37" w14:textId="77777777" w:rsidR="0075216C" w:rsidRDefault="0075216C" w:rsidP="00643127">
      <w:pPr>
        <w:rPr>
          <w:highlight w:val="yellow"/>
        </w:rPr>
      </w:pPr>
    </w:p>
    <w:p w14:paraId="4993B167" w14:textId="77777777" w:rsidR="00563458" w:rsidRDefault="00563458" w:rsidP="00643127">
      <w:pPr>
        <w:rPr>
          <w:highlight w:val="yellow"/>
        </w:rPr>
      </w:pPr>
    </w:p>
    <w:p w14:paraId="5B163486" w14:textId="77777777" w:rsidR="005B5FAB" w:rsidRDefault="005B5FAB" w:rsidP="00643127">
      <w:pPr>
        <w:rPr>
          <w:highlight w:val="yellow"/>
        </w:rPr>
      </w:pPr>
    </w:p>
    <w:p w14:paraId="6AC49361" w14:textId="21757414" w:rsidR="007A1700" w:rsidRDefault="007A1700" w:rsidP="00643127">
      <w:pPr>
        <w:rPr>
          <w:rFonts w:eastAsiaTheme="minorHAnsi" w:cstheme="minorBidi"/>
          <w:szCs w:val="22"/>
          <w:lang w:val="en-US" w:eastAsia="en-US"/>
        </w:rPr>
      </w:pPr>
    </w:p>
    <w:p w14:paraId="74095F91" w14:textId="4FB9AED8" w:rsidR="000904F0" w:rsidRDefault="000904F0" w:rsidP="00643127">
      <w:pPr>
        <w:rPr>
          <w:highlight w:val="yellow"/>
        </w:rPr>
        <w:sectPr w:rsidR="000904F0" w:rsidSect="004421EA">
          <w:pgSz w:w="16838" w:h="11906" w:orient="landscape"/>
          <w:pgMar w:top="1417" w:right="1417" w:bottom="1417" w:left="1417" w:header="708" w:footer="708" w:gutter="0"/>
          <w:cols w:space="708"/>
          <w:docGrid w:linePitch="360"/>
        </w:sectPr>
      </w:pPr>
    </w:p>
    <w:p w14:paraId="688FE6B3" w14:textId="25E99DFE" w:rsidR="001E7D72" w:rsidRDefault="001E7D72" w:rsidP="001E7D72">
      <w:pPr>
        <w:pStyle w:val="Heading1"/>
      </w:pPr>
      <w:bookmarkStart w:id="66" w:name="_Toc454886799"/>
      <w:r>
        <w:lastRenderedPageBreak/>
        <w:t>Bibliographie</w:t>
      </w:r>
      <w:bookmarkEnd w:id="66"/>
    </w:p>
    <w:p w14:paraId="58E82008" w14:textId="1CD11637" w:rsidR="00305879" w:rsidRDefault="00305879" w:rsidP="007E10C4">
      <w:pPr>
        <w:rPr>
          <w:b/>
        </w:rPr>
      </w:pPr>
      <w:r>
        <w:rPr>
          <w:b/>
        </w:rPr>
        <w:t xml:space="preserve">BAD, 2011. </w:t>
      </w:r>
      <w:r w:rsidRPr="00305879">
        <w:rPr>
          <w:i/>
        </w:rPr>
        <w:t>La Chine et l’Afrique : un nouveau partenariat pour le développement ?</w:t>
      </w:r>
      <w:r w:rsidRPr="00305879">
        <w:t xml:space="preserve"> Groupe de la Banque Africaine pour le Développement.</w:t>
      </w:r>
      <w:r>
        <w:rPr>
          <w:b/>
        </w:rPr>
        <w:t xml:space="preserve"> </w:t>
      </w:r>
    </w:p>
    <w:p w14:paraId="5771F216" w14:textId="2A14FCE1" w:rsidR="0083110A" w:rsidRDefault="0083110A" w:rsidP="007E10C4">
      <w:r>
        <w:rPr>
          <w:b/>
        </w:rPr>
        <w:t xml:space="preserve">BAD, 2012. </w:t>
      </w:r>
      <w:r w:rsidRPr="0083110A">
        <w:rPr>
          <w:i/>
        </w:rPr>
        <w:t>Environnement de l’investissement privé au Congo</w:t>
      </w:r>
      <w:r>
        <w:rPr>
          <w:b/>
        </w:rPr>
        <w:t xml:space="preserve">. </w:t>
      </w:r>
      <w:r w:rsidRPr="0083110A">
        <w:t xml:space="preserve">Département régional de l’Afrique Centrale. </w:t>
      </w:r>
    </w:p>
    <w:p w14:paraId="50BB03BE" w14:textId="1DD502F5" w:rsidR="003F4F07" w:rsidRPr="00E746D3" w:rsidRDefault="003F4F07" w:rsidP="007E10C4">
      <w:pPr>
        <w:rPr>
          <w:b/>
        </w:rPr>
      </w:pPr>
      <w:r w:rsidRPr="003F4F07">
        <w:rPr>
          <w:b/>
          <w:lang w:val="en-US"/>
        </w:rPr>
        <w:t>BAD, 2015.</w:t>
      </w:r>
      <w:r w:rsidRPr="003F4F07">
        <w:rPr>
          <w:lang w:val="en-US"/>
        </w:rPr>
        <w:t xml:space="preserve"> </w:t>
      </w:r>
      <w:r w:rsidRPr="003F4F07">
        <w:rPr>
          <w:i/>
          <w:lang w:val="en-US"/>
        </w:rPr>
        <w:t>Investment Climate and Forest Governance Support project (PACIGOF)</w:t>
      </w:r>
      <w:r w:rsidRPr="003F4F07">
        <w:rPr>
          <w:lang w:val="en-US"/>
        </w:rPr>
        <w:t xml:space="preserve"> </w:t>
      </w:r>
      <w:r w:rsidRPr="003F4F07">
        <w:rPr>
          <w:i/>
          <w:lang w:val="en-US"/>
        </w:rPr>
        <w:t>Appraisal Report</w:t>
      </w:r>
      <w:r w:rsidRPr="003F4F07">
        <w:rPr>
          <w:lang w:val="en-US"/>
        </w:rPr>
        <w:t xml:space="preserve">. </w:t>
      </w:r>
      <w:proofErr w:type="spellStart"/>
      <w:r w:rsidRPr="00E746D3">
        <w:t>African</w:t>
      </w:r>
      <w:proofErr w:type="spellEnd"/>
      <w:r w:rsidRPr="00E746D3">
        <w:t xml:space="preserve"> </w:t>
      </w:r>
      <w:proofErr w:type="spellStart"/>
      <w:r w:rsidRPr="00E746D3">
        <w:t>Development</w:t>
      </w:r>
      <w:proofErr w:type="spellEnd"/>
      <w:r w:rsidRPr="00E746D3">
        <w:t xml:space="preserve"> Bank. Juin 2015.</w:t>
      </w:r>
    </w:p>
    <w:p w14:paraId="6B2D954A" w14:textId="01303E4C" w:rsidR="000C7177" w:rsidRDefault="000C7177" w:rsidP="007E10C4">
      <w:r w:rsidRPr="00E746D3">
        <w:rPr>
          <w:b/>
        </w:rPr>
        <w:t xml:space="preserve">Banque Mondiale, </w:t>
      </w:r>
      <w:r>
        <w:rPr>
          <w:b/>
        </w:rPr>
        <w:t xml:space="preserve">2015. </w:t>
      </w:r>
      <w:r w:rsidRPr="000C7177">
        <w:rPr>
          <w:i/>
        </w:rPr>
        <w:t>Rapport de suivi de la situation économique et financière – République du Congo.</w:t>
      </w:r>
      <w:r>
        <w:rPr>
          <w:b/>
        </w:rPr>
        <w:t xml:space="preserve"> </w:t>
      </w:r>
      <w:r w:rsidRPr="000C7177">
        <w:t>Deuxième Edition. Septembre 2015. Groupe de la Banque Mondiale.</w:t>
      </w:r>
    </w:p>
    <w:p w14:paraId="672F1DF3" w14:textId="5E3D8308" w:rsidR="00A019F2" w:rsidRDefault="006474AB" w:rsidP="007E10C4">
      <w:r>
        <w:rPr>
          <w:b/>
        </w:rPr>
        <w:t>CN REDD,</w:t>
      </w:r>
      <w:r w:rsidR="00A019F2" w:rsidRPr="00A019F2">
        <w:rPr>
          <w:b/>
        </w:rPr>
        <w:t xml:space="preserve"> 2015</w:t>
      </w:r>
      <w:r w:rsidR="00A019F2">
        <w:t xml:space="preserve">. </w:t>
      </w:r>
      <w:r w:rsidR="00A019F2" w:rsidRPr="00A019F2">
        <w:rPr>
          <w:i/>
        </w:rPr>
        <w:t xml:space="preserve">Projet d’appui à la promotion des plantations </w:t>
      </w:r>
      <w:proofErr w:type="spellStart"/>
      <w:r w:rsidR="00A019F2" w:rsidRPr="00A019F2">
        <w:rPr>
          <w:i/>
        </w:rPr>
        <w:t>dendroénergétiques</w:t>
      </w:r>
      <w:proofErr w:type="spellEnd"/>
      <w:r w:rsidR="00A019F2" w:rsidRPr="00A019F2">
        <w:rPr>
          <w:i/>
        </w:rPr>
        <w:t xml:space="preserve"> et agroforestières autour de centres de grande concentration humaine en République du Congo.</w:t>
      </w:r>
      <w:r w:rsidR="00A019F2">
        <w:t xml:space="preserve"> CN REDD République du Congo.</w:t>
      </w:r>
    </w:p>
    <w:p w14:paraId="74AB86DF" w14:textId="67E6631E" w:rsidR="007F1584" w:rsidRPr="00E746D3" w:rsidRDefault="007F1584" w:rsidP="007E10C4">
      <w:pPr>
        <w:rPr>
          <w:lang w:val="en-US"/>
        </w:rPr>
      </w:pPr>
      <w:proofErr w:type="spellStart"/>
      <w:r w:rsidRPr="007F1584">
        <w:rPr>
          <w:b/>
        </w:rPr>
        <w:t>Chauvelot</w:t>
      </w:r>
      <w:proofErr w:type="spellEnd"/>
      <w:r w:rsidRPr="007F1584">
        <w:rPr>
          <w:b/>
        </w:rPr>
        <w:t xml:space="preserve"> E., 2014.</w:t>
      </w:r>
      <w:r>
        <w:t xml:space="preserve"> </w:t>
      </w:r>
      <w:r w:rsidRPr="007F1584">
        <w:rPr>
          <w:i/>
        </w:rPr>
        <w:t>Les investissements directs étrangers</w:t>
      </w:r>
      <w:r>
        <w:rPr>
          <w:i/>
        </w:rPr>
        <w:t xml:space="preserve"> au Congo en 2012</w:t>
      </w:r>
      <w:r>
        <w:t xml:space="preserve">. Publication des services économiques de la direction générale du Trésor. </w:t>
      </w:r>
      <w:proofErr w:type="spellStart"/>
      <w:r w:rsidRPr="00E746D3">
        <w:rPr>
          <w:lang w:val="en-US"/>
        </w:rPr>
        <w:t>Juin</w:t>
      </w:r>
      <w:proofErr w:type="spellEnd"/>
      <w:r w:rsidRPr="00E746D3">
        <w:rPr>
          <w:lang w:val="en-US"/>
        </w:rPr>
        <w:t xml:space="preserve"> 2014.</w:t>
      </w:r>
    </w:p>
    <w:p w14:paraId="60FE1BB0" w14:textId="4B9DAA2A" w:rsidR="005C3FB1" w:rsidRPr="00E746D3" w:rsidRDefault="005C3FB1" w:rsidP="007E10C4">
      <w:r w:rsidRPr="005C3FB1">
        <w:rPr>
          <w:b/>
          <w:lang w:val="en-US"/>
        </w:rPr>
        <w:t>CN REDD, 2014.</w:t>
      </w:r>
      <w:r w:rsidRPr="005C3FB1">
        <w:rPr>
          <w:lang w:val="en-US"/>
        </w:rPr>
        <w:t xml:space="preserve"> </w:t>
      </w:r>
      <w:r w:rsidRPr="005C3FB1">
        <w:rPr>
          <w:i/>
          <w:lang w:val="en-US"/>
        </w:rPr>
        <w:t>Emission Reductions Program Idea Note (ER-PIN) Republic of Congo</w:t>
      </w:r>
      <w:r w:rsidRPr="005C3FB1">
        <w:rPr>
          <w:lang w:val="en-US"/>
        </w:rPr>
        <w:t xml:space="preserve">. </w:t>
      </w:r>
      <w:r w:rsidRPr="00E746D3">
        <w:t>10 juillet 2014.</w:t>
      </w:r>
    </w:p>
    <w:p w14:paraId="587CDD5F" w14:textId="7438721B" w:rsidR="00133A4A" w:rsidRDefault="00133A4A" w:rsidP="007E10C4">
      <w:r w:rsidRPr="00E746D3">
        <w:rPr>
          <w:b/>
        </w:rPr>
        <w:t>CN REDD, 2015.</w:t>
      </w:r>
      <w:r w:rsidRPr="00E746D3">
        <w:t xml:space="preserve"> </w:t>
      </w:r>
      <w:r w:rsidRPr="00133A4A">
        <w:rPr>
          <w:i/>
        </w:rPr>
        <w:t xml:space="preserve">Rapport mi-parcours pour la République du Congo au Fonds de Partenariat pour le Carbone Forestier (FCPF) </w:t>
      </w:r>
      <w:r>
        <w:t>Fonds de préparation. 20 mars 2015.</w:t>
      </w:r>
    </w:p>
    <w:p w14:paraId="2DCBBDCF" w14:textId="0493FE04" w:rsidR="007F1584" w:rsidRDefault="007F1584" w:rsidP="007E10C4">
      <w:r w:rsidRPr="007F1584">
        <w:rPr>
          <w:b/>
        </w:rPr>
        <w:t>CNUCED, 2015.</w:t>
      </w:r>
      <w:r>
        <w:t xml:space="preserve"> </w:t>
      </w:r>
      <w:r w:rsidRPr="007F1584">
        <w:rPr>
          <w:i/>
        </w:rPr>
        <w:t>Examen de la politique d’investissement – République du Congo</w:t>
      </w:r>
      <w:r>
        <w:t>. Document des Nations Unies.</w:t>
      </w:r>
    </w:p>
    <w:p w14:paraId="32D293CC" w14:textId="786282B0" w:rsidR="000C7177" w:rsidRDefault="000C7177" w:rsidP="007E10C4">
      <w:r w:rsidRPr="000C7177">
        <w:rPr>
          <w:b/>
        </w:rPr>
        <w:t>CPCMB, 2012.</w:t>
      </w:r>
      <w:r>
        <w:t xml:space="preserve"> </w:t>
      </w:r>
      <w:r w:rsidRPr="000C7177">
        <w:rPr>
          <w:i/>
        </w:rPr>
        <w:t>Plan National de Développement CONGO 2012-2016. Livre 3 : Cadre Macroéconomique et Budgétaire 2012-2016</w:t>
      </w:r>
      <w:r>
        <w:t xml:space="preserve">. Comité Permanent de Cadrage Macroéconomique et Budgétaire – Ministère de l’Economie, du Plan, de l’Aménagement du Territoire et de l’Intégration et Ministère des Finances, du Budget et du Portefeuille Public. </w:t>
      </w:r>
    </w:p>
    <w:p w14:paraId="04EB1DC6" w14:textId="572A7AB8" w:rsidR="00733349" w:rsidRDefault="00733349" w:rsidP="007E10C4">
      <w:r w:rsidRPr="00733349">
        <w:rPr>
          <w:b/>
        </w:rPr>
        <w:t>COBAC, 2010.</w:t>
      </w:r>
      <w:r>
        <w:t xml:space="preserve"> </w:t>
      </w:r>
      <w:r w:rsidRPr="00733349">
        <w:rPr>
          <w:i/>
        </w:rPr>
        <w:t>Architecture de la tarification des services bancaires dans la CEMAC</w:t>
      </w:r>
      <w:r>
        <w:t>. Secrétariat général de la Commission Bancaire de l’Afrique Centrale. Avril 2010.</w:t>
      </w:r>
    </w:p>
    <w:p w14:paraId="4819D0BF" w14:textId="78DE3B22" w:rsidR="008F78A3" w:rsidRPr="00912E9B" w:rsidRDefault="008F78A3" w:rsidP="007E10C4">
      <w:pPr>
        <w:rPr>
          <w:lang w:val="en-US"/>
        </w:rPr>
      </w:pPr>
      <w:r w:rsidRPr="00912E9B">
        <w:rPr>
          <w:b/>
          <w:lang w:val="en-US"/>
        </w:rPr>
        <w:t>DFID, 2015.</w:t>
      </w:r>
      <w:r w:rsidRPr="00912E9B">
        <w:rPr>
          <w:lang w:val="en-US"/>
        </w:rPr>
        <w:t xml:space="preserve"> </w:t>
      </w:r>
      <w:r w:rsidRPr="00912E9B">
        <w:rPr>
          <w:i/>
          <w:lang w:val="en-US"/>
        </w:rPr>
        <w:t>Annual Report and Accounts 2014-2015</w:t>
      </w:r>
      <w:r w:rsidRPr="00912E9B">
        <w:rPr>
          <w:lang w:val="en-US"/>
        </w:rPr>
        <w:t xml:space="preserve">. Department for International Development. </w:t>
      </w:r>
    </w:p>
    <w:p w14:paraId="593F02AD" w14:textId="72910769" w:rsidR="00563423" w:rsidRPr="00A5015C" w:rsidRDefault="00563423" w:rsidP="007E10C4">
      <w:r w:rsidRPr="0080491D">
        <w:rPr>
          <w:b/>
        </w:rPr>
        <w:t xml:space="preserve">FCCA, 2014. </w:t>
      </w:r>
      <w:proofErr w:type="spellStart"/>
      <w:r w:rsidRPr="00A5015C">
        <w:rPr>
          <w:i/>
        </w:rPr>
        <w:t>Annual</w:t>
      </w:r>
      <w:proofErr w:type="spellEnd"/>
      <w:r w:rsidRPr="00A5015C">
        <w:rPr>
          <w:i/>
        </w:rPr>
        <w:t xml:space="preserve"> Report ACCF 2014</w:t>
      </w:r>
      <w:r w:rsidRPr="00A5015C">
        <w:t xml:space="preserve">. Disponible à : </w:t>
      </w:r>
      <w:hyperlink r:id="rId30" w:history="1">
        <w:r w:rsidR="00A5015C" w:rsidRPr="00B715D2">
          <w:rPr>
            <w:rStyle w:val="Hyperlink"/>
          </w:rPr>
          <w:t>http://www.afdb.org/fileadmin/uploads/afdb/Documents/Generic-Documents/ACCF_2014_Annual_Report.pdf</w:t>
        </w:r>
      </w:hyperlink>
      <w:r w:rsidR="00A5015C">
        <w:t xml:space="preserve"> </w:t>
      </w:r>
    </w:p>
    <w:p w14:paraId="02840262" w14:textId="7A96070E" w:rsidR="00563423" w:rsidRPr="00563423" w:rsidRDefault="00563423" w:rsidP="00563423">
      <w:r w:rsidRPr="0080491D">
        <w:rPr>
          <w:b/>
        </w:rPr>
        <w:t>FIDA</w:t>
      </w:r>
      <w:r w:rsidR="00856272" w:rsidRPr="0080491D">
        <w:rPr>
          <w:b/>
        </w:rPr>
        <w:t>,</w:t>
      </w:r>
      <w:r w:rsidRPr="0080491D">
        <w:rPr>
          <w:b/>
        </w:rPr>
        <w:t xml:space="preserve"> 2009.</w:t>
      </w:r>
      <w:r w:rsidRPr="0080491D">
        <w:t xml:space="preserve"> </w:t>
      </w:r>
      <w:r w:rsidRPr="000C7177">
        <w:rPr>
          <w:i/>
          <w:lang w:val="en-US"/>
        </w:rPr>
        <w:t xml:space="preserve">Republic of the Congo. Country strategic opportunities program. </w:t>
      </w:r>
      <w:r w:rsidRPr="0080491D">
        <w:rPr>
          <w:i/>
        </w:rPr>
        <w:t xml:space="preserve">Rome, 15-17 </w:t>
      </w:r>
      <w:proofErr w:type="spellStart"/>
      <w:r w:rsidRPr="0080491D">
        <w:rPr>
          <w:i/>
        </w:rPr>
        <w:t>December</w:t>
      </w:r>
      <w:proofErr w:type="spellEnd"/>
      <w:r w:rsidRPr="0080491D">
        <w:rPr>
          <w:i/>
        </w:rPr>
        <w:t xml:space="preserve"> 2009</w:t>
      </w:r>
      <w:r w:rsidRPr="0080491D">
        <w:t xml:space="preserve">. </w:t>
      </w:r>
      <w:r>
        <w:t xml:space="preserve">Disponible à : </w:t>
      </w:r>
      <w:hyperlink r:id="rId31" w:history="1">
        <w:r w:rsidRPr="006B313E">
          <w:rPr>
            <w:rStyle w:val="Hyperlink"/>
          </w:rPr>
          <w:t>http://www.ifad.org/gbdocs/eb/98/e/EB-2009-98-R-20.pdf</w:t>
        </w:r>
      </w:hyperlink>
      <w:r>
        <w:t xml:space="preserve"> </w:t>
      </w:r>
    </w:p>
    <w:p w14:paraId="28322A00" w14:textId="2426ABB5" w:rsidR="00563423" w:rsidRDefault="00563423" w:rsidP="007E10C4">
      <w:r w:rsidRPr="00563423">
        <w:rPr>
          <w:b/>
        </w:rPr>
        <w:t>FIDA</w:t>
      </w:r>
      <w:r w:rsidR="00856272">
        <w:rPr>
          <w:b/>
        </w:rPr>
        <w:t>,</w:t>
      </w:r>
      <w:r w:rsidRPr="00563423">
        <w:rPr>
          <w:b/>
        </w:rPr>
        <w:t xml:space="preserve"> 20</w:t>
      </w:r>
      <w:r>
        <w:rPr>
          <w:b/>
        </w:rPr>
        <w:t>12</w:t>
      </w:r>
      <w:r w:rsidRPr="00563423">
        <w:rPr>
          <w:b/>
        </w:rPr>
        <w:t>.</w:t>
      </w:r>
      <w:r w:rsidRPr="00563423">
        <w:t xml:space="preserve"> </w:t>
      </w:r>
      <w:r w:rsidRPr="00563423">
        <w:rPr>
          <w:i/>
        </w:rPr>
        <w:t>Programme d’appui au développement des filières agricoles (PADEF) Document de conception</w:t>
      </w:r>
      <w:r w:rsidRPr="00563423">
        <w:t xml:space="preserve">. </w:t>
      </w:r>
      <w:r>
        <w:t>Division Afrique de l’ouest et du centre. FIDA</w:t>
      </w:r>
    </w:p>
    <w:p w14:paraId="7A183E4B" w14:textId="16F02A2E" w:rsidR="00BA6569" w:rsidRPr="00563423" w:rsidRDefault="00BA6569" w:rsidP="007E10C4">
      <w:r>
        <w:rPr>
          <w:b/>
        </w:rPr>
        <w:t>FIDA</w:t>
      </w:r>
      <w:r w:rsidRPr="00563423">
        <w:rPr>
          <w:b/>
        </w:rPr>
        <w:t>, 2013.</w:t>
      </w:r>
      <w:r>
        <w:t xml:space="preserve"> </w:t>
      </w:r>
      <w:r w:rsidRPr="00563423">
        <w:rPr>
          <w:i/>
        </w:rPr>
        <w:t>Rapport final de la composante de développement des services financiers ruraux.</w:t>
      </w:r>
      <w:r>
        <w:t xml:space="preserve"> PRODER SUD. FIDA</w:t>
      </w:r>
    </w:p>
    <w:p w14:paraId="10247F32" w14:textId="77777777" w:rsidR="007E10C4" w:rsidRDefault="007E10C4" w:rsidP="007E10C4">
      <w:r w:rsidRPr="000C7177">
        <w:rPr>
          <w:b/>
        </w:rPr>
        <w:t>FIDA, 2016.</w:t>
      </w:r>
      <w:r w:rsidRPr="00D50E80">
        <w:t xml:space="preserve"> </w:t>
      </w:r>
      <w:r w:rsidRPr="000C7177">
        <w:rPr>
          <w:i/>
        </w:rPr>
        <w:t>Coup d’</w:t>
      </w:r>
      <w:proofErr w:type="spellStart"/>
      <w:r w:rsidRPr="000C7177">
        <w:rPr>
          <w:i/>
        </w:rPr>
        <w:t>oeil</w:t>
      </w:r>
      <w:proofErr w:type="spellEnd"/>
      <w:r w:rsidRPr="000C7177">
        <w:rPr>
          <w:i/>
        </w:rPr>
        <w:t xml:space="preserve"> sur le FIDA</w:t>
      </w:r>
      <w:r w:rsidRPr="00D50E80">
        <w:t xml:space="preserve">. </w:t>
      </w:r>
      <w:r>
        <w:t xml:space="preserve">Février 2016. Disponible à : </w:t>
      </w:r>
      <w:hyperlink r:id="rId32" w:history="1">
        <w:r w:rsidRPr="006B313E">
          <w:rPr>
            <w:rStyle w:val="Hyperlink"/>
          </w:rPr>
          <w:t>http://www.ifad.org/pub/brochure/ifadglance_f.pdf</w:t>
        </w:r>
      </w:hyperlink>
    </w:p>
    <w:p w14:paraId="508DA4DA" w14:textId="2F18F2F6" w:rsidR="007E10C4" w:rsidRDefault="000C7177" w:rsidP="007E10C4">
      <w:r w:rsidRPr="000C7177">
        <w:rPr>
          <w:b/>
        </w:rPr>
        <w:t>FMI, 2015.</w:t>
      </w:r>
      <w:r>
        <w:t xml:space="preserve"> </w:t>
      </w:r>
      <w:r w:rsidRPr="000C7177">
        <w:rPr>
          <w:i/>
        </w:rPr>
        <w:t>Rapport des services du FMI sur les consultations de 2015 au titre de l’article IV : Communiqué de presse pour la République du Congo</w:t>
      </w:r>
      <w:r>
        <w:t>. Rapport du FMI No.15/263. Juillet 2015.</w:t>
      </w:r>
    </w:p>
    <w:p w14:paraId="04AD73BA" w14:textId="7D65BE46" w:rsidR="00E27C95" w:rsidRDefault="00E27C95" w:rsidP="007E10C4">
      <w:r w:rsidRPr="00E27C95">
        <w:rPr>
          <w:b/>
        </w:rPr>
        <w:t>OCDE, 2016.</w:t>
      </w:r>
      <w:r>
        <w:t xml:space="preserve"> </w:t>
      </w:r>
      <w:r w:rsidRPr="00E27C95">
        <w:rPr>
          <w:i/>
        </w:rPr>
        <w:t>Répartition géographique des ressources financières allouées aux pays en développement. Versements, Engagements, Indicateurs par pays</w:t>
      </w:r>
      <w:r>
        <w:t>. Publication de l’OCDE. 308p.</w:t>
      </w:r>
    </w:p>
    <w:p w14:paraId="57163931" w14:textId="3C966BB5" w:rsidR="00D64A47" w:rsidRPr="00D64A47" w:rsidRDefault="00D64A47" w:rsidP="00D64A47">
      <w:pPr>
        <w:rPr>
          <w:rFonts w:eastAsiaTheme="minorHAnsi"/>
          <w:szCs w:val="22"/>
          <w:lang w:eastAsia="en-US"/>
        </w:rPr>
      </w:pPr>
      <w:r w:rsidRPr="00D64A47">
        <w:rPr>
          <w:b/>
          <w:szCs w:val="22"/>
        </w:rPr>
        <w:t>IDL, 2015.</w:t>
      </w:r>
      <w:r w:rsidRPr="00D64A47">
        <w:rPr>
          <w:szCs w:val="22"/>
        </w:rPr>
        <w:t xml:space="preserve"> </w:t>
      </w:r>
      <w:r w:rsidRPr="00D64A47">
        <w:rPr>
          <w:rFonts w:eastAsiaTheme="minorHAnsi"/>
          <w:i/>
          <w:szCs w:val="22"/>
          <w:lang w:eastAsia="en-US"/>
        </w:rPr>
        <w:t>Appui au mécanisme de Fonds de Développement Local dans le secteur forestier en République du Congo</w:t>
      </w:r>
      <w:r w:rsidRPr="00D64A47">
        <w:rPr>
          <w:rFonts w:eastAsiaTheme="minorHAnsi"/>
          <w:szCs w:val="22"/>
          <w:lang w:eastAsia="en-US"/>
        </w:rPr>
        <w:t xml:space="preserve">. </w:t>
      </w:r>
      <w:r w:rsidRPr="00D64A47">
        <w:rPr>
          <w:rFonts w:eastAsiaTheme="minorHAnsi" w:cs="Calibri"/>
          <w:szCs w:val="22"/>
          <w:lang w:eastAsia="en-US"/>
        </w:rPr>
        <w:t>Rapport Final de l’Assistance Technique. Version finale juillet 2015.</w:t>
      </w:r>
    </w:p>
    <w:p w14:paraId="4B035C7C" w14:textId="1DCD4EB3" w:rsidR="007665BA" w:rsidRDefault="007665BA" w:rsidP="007E10C4">
      <w:r w:rsidRPr="007665BA">
        <w:rPr>
          <w:b/>
        </w:rPr>
        <w:t>ITIE, 2014.</w:t>
      </w:r>
      <w:r>
        <w:t xml:space="preserve"> </w:t>
      </w:r>
      <w:r w:rsidRPr="007665BA">
        <w:rPr>
          <w:i/>
        </w:rPr>
        <w:t>Rapport ITIE 2013</w:t>
      </w:r>
      <w:r>
        <w:t>. Initiative pour la Transparence des Industries Extractives – République du Congo. Décembre 2014.</w:t>
      </w:r>
    </w:p>
    <w:p w14:paraId="436CC474" w14:textId="4B2FF0D4" w:rsidR="00D64A47" w:rsidRDefault="00D64A47" w:rsidP="007E10C4">
      <w:r w:rsidRPr="00D64A47">
        <w:rPr>
          <w:b/>
        </w:rPr>
        <w:lastRenderedPageBreak/>
        <w:t>MEFDD, 2014.</w:t>
      </w:r>
      <w:r>
        <w:t xml:space="preserve"> </w:t>
      </w:r>
      <w:r w:rsidRPr="00D64A47">
        <w:rPr>
          <w:i/>
        </w:rPr>
        <w:t>Annuaire des statistiques forestières. Année 2013</w:t>
      </w:r>
      <w:r>
        <w:t>. Avril 2014.</w:t>
      </w:r>
    </w:p>
    <w:p w14:paraId="7BE6D01C" w14:textId="0150AD77" w:rsidR="00C7636A" w:rsidRPr="00912E9B" w:rsidRDefault="00C7636A" w:rsidP="007E10C4">
      <w:proofErr w:type="spellStart"/>
      <w:r w:rsidRPr="00912E9B">
        <w:rPr>
          <w:b/>
        </w:rPr>
        <w:t>Torvanger</w:t>
      </w:r>
      <w:proofErr w:type="spellEnd"/>
      <w:r w:rsidRPr="00912E9B">
        <w:rPr>
          <w:b/>
        </w:rPr>
        <w:t xml:space="preserve"> A., </w:t>
      </w:r>
      <w:proofErr w:type="spellStart"/>
      <w:r w:rsidRPr="00912E9B">
        <w:rPr>
          <w:b/>
        </w:rPr>
        <w:t>Narbel</w:t>
      </w:r>
      <w:proofErr w:type="spellEnd"/>
      <w:r w:rsidRPr="00912E9B">
        <w:rPr>
          <w:b/>
        </w:rPr>
        <w:t xml:space="preserve"> P., Lund H.F., 2015.</w:t>
      </w:r>
      <w:r w:rsidRPr="00912E9B">
        <w:t xml:space="preserve"> </w:t>
      </w:r>
      <w:r w:rsidRPr="00C7636A">
        <w:rPr>
          <w:i/>
          <w:lang w:val="en-US"/>
        </w:rPr>
        <w:t>Estimating mobilized private climate finance for developing countries – A Norwegian pilot study</w:t>
      </w:r>
      <w:r>
        <w:rPr>
          <w:lang w:val="en-US"/>
        </w:rPr>
        <w:t xml:space="preserve">. </w:t>
      </w:r>
      <w:r w:rsidRPr="00912E9B">
        <w:t xml:space="preserve">CICERO Report 2015:05. </w:t>
      </w:r>
      <w:proofErr w:type="spellStart"/>
      <w:r w:rsidRPr="00912E9B">
        <w:t>December</w:t>
      </w:r>
      <w:proofErr w:type="spellEnd"/>
      <w:r w:rsidRPr="00912E9B">
        <w:t xml:space="preserve"> 2015</w:t>
      </w:r>
    </w:p>
    <w:p w14:paraId="0DC98C2E" w14:textId="3B7F23BB" w:rsidR="006A16D7" w:rsidRDefault="006A16D7" w:rsidP="007E10C4">
      <w:proofErr w:type="spellStart"/>
      <w:r w:rsidRPr="006A16D7">
        <w:rPr>
          <w:b/>
        </w:rPr>
        <w:t>Trogoff</w:t>
      </w:r>
      <w:proofErr w:type="spellEnd"/>
      <w:r w:rsidRPr="006A16D7">
        <w:rPr>
          <w:b/>
        </w:rPr>
        <w:t>, 2014.</w:t>
      </w:r>
      <w:r>
        <w:t xml:space="preserve"> </w:t>
      </w:r>
      <w:r w:rsidRPr="00E746D3">
        <w:rPr>
          <w:i/>
        </w:rPr>
        <w:t xml:space="preserve">Aide au développement des pays arabes. Les clés du </w:t>
      </w:r>
      <w:proofErr w:type="spellStart"/>
      <w:r w:rsidRPr="00E746D3">
        <w:rPr>
          <w:i/>
        </w:rPr>
        <w:t>moyen-orient</w:t>
      </w:r>
      <w:proofErr w:type="spellEnd"/>
      <w:r w:rsidRPr="00E746D3">
        <w:rPr>
          <w:i/>
        </w:rPr>
        <w:t xml:space="preserve">. </w:t>
      </w:r>
      <w:r>
        <w:t xml:space="preserve">Article publié le 15/10/2014. </w:t>
      </w:r>
      <w:hyperlink r:id="rId33" w:history="1">
        <w:r w:rsidRPr="00541A75">
          <w:rPr>
            <w:rStyle w:val="Hyperlink"/>
          </w:rPr>
          <w:t>http://www.lesclesdumoyenorient.com/Aide-au-developpement-des-pays.html</w:t>
        </w:r>
      </w:hyperlink>
      <w:r>
        <w:t xml:space="preserve"> </w:t>
      </w:r>
    </w:p>
    <w:p w14:paraId="1E796492" w14:textId="4B3E22D0" w:rsidR="0080491D" w:rsidRDefault="0080491D" w:rsidP="007E10C4">
      <w:r>
        <w:br w:type="page"/>
      </w:r>
    </w:p>
    <w:p w14:paraId="64FA25EC" w14:textId="1666BB6D" w:rsidR="007E10C4" w:rsidRPr="0002134F" w:rsidRDefault="007E10C4" w:rsidP="007E10C4">
      <w:pPr>
        <w:rPr>
          <w:b/>
        </w:rPr>
      </w:pPr>
      <w:r w:rsidRPr="0002134F">
        <w:rPr>
          <w:b/>
        </w:rPr>
        <w:lastRenderedPageBreak/>
        <w:t>Site internet</w:t>
      </w:r>
      <w:r w:rsidR="0002134F" w:rsidRPr="0002134F">
        <w:rPr>
          <w:b/>
        </w:rPr>
        <w:t xml:space="preserve"> </w:t>
      </w:r>
      <w:r w:rsidR="00B02E1F">
        <w:rPr>
          <w:b/>
        </w:rPr>
        <w:t xml:space="preserve">(consultés </w:t>
      </w:r>
      <w:r w:rsidR="00C64F62">
        <w:rPr>
          <w:b/>
        </w:rPr>
        <w:t>de février à</w:t>
      </w:r>
      <w:r w:rsidR="0002134F" w:rsidRPr="0002134F">
        <w:rPr>
          <w:b/>
        </w:rPr>
        <w:t xml:space="preserve"> avril 2016)</w:t>
      </w:r>
    </w:p>
    <w:tbl>
      <w:tblPr>
        <w:tblW w:w="9855" w:type="dxa"/>
        <w:tblInd w:w="70" w:type="dxa"/>
        <w:tblCellMar>
          <w:left w:w="70" w:type="dxa"/>
          <w:right w:w="70" w:type="dxa"/>
        </w:tblCellMar>
        <w:tblLook w:val="04A0" w:firstRow="1" w:lastRow="0" w:firstColumn="1" w:lastColumn="0" w:noHBand="0" w:noVBand="1"/>
      </w:tblPr>
      <w:tblGrid>
        <w:gridCol w:w="1985"/>
        <w:gridCol w:w="7870"/>
      </w:tblGrid>
      <w:tr w:rsidR="00975BD5" w:rsidRPr="00975BD5" w14:paraId="64DAF508" w14:textId="77777777" w:rsidTr="00975BD5">
        <w:trPr>
          <w:trHeight w:val="300"/>
        </w:trPr>
        <w:tc>
          <w:tcPr>
            <w:tcW w:w="1985" w:type="dxa"/>
            <w:tcBorders>
              <w:top w:val="nil"/>
              <w:left w:val="nil"/>
              <w:bottom w:val="nil"/>
              <w:right w:val="nil"/>
            </w:tcBorders>
            <w:shd w:val="clear" w:color="auto" w:fill="auto"/>
            <w:noWrap/>
            <w:vAlign w:val="bottom"/>
            <w:hideMark/>
          </w:tcPr>
          <w:p w14:paraId="549B6223" w14:textId="77777777" w:rsidR="00975BD5" w:rsidRPr="00975BD5" w:rsidRDefault="00975BD5" w:rsidP="00975BD5">
            <w:pPr>
              <w:spacing w:after="0"/>
              <w:jc w:val="left"/>
              <w:rPr>
                <w:szCs w:val="22"/>
              </w:rPr>
            </w:pPr>
            <w:r w:rsidRPr="00975BD5">
              <w:rPr>
                <w:szCs w:val="22"/>
              </w:rPr>
              <w:t>AF</w:t>
            </w:r>
          </w:p>
        </w:tc>
        <w:tc>
          <w:tcPr>
            <w:tcW w:w="7870" w:type="dxa"/>
            <w:tcBorders>
              <w:top w:val="nil"/>
              <w:left w:val="nil"/>
              <w:bottom w:val="nil"/>
              <w:right w:val="nil"/>
            </w:tcBorders>
            <w:shd w:val="clear" w:color="auto" w:fill="auto"/>
            <w:noWrap/>
            <w:vAlign w:val="bottom"/>
            <w:hideMark/>
          </w:tcPr>
          <w:p w14:paraId="6810BACB" w14:textId="77777777" w:rsidR="00975BD5" w:rsidRPr="00975BD5" w:rsidRDefault="00D36020" w:rsidP="00975BD5">
            <w:pPr>
              <w:spacing w:after="0"/>
              <w:jc w:val="left"/>
              <w:rPr>
                <w:szCs w:val="22"/>
              </w:rPr>
            </w:pPr>
            <w:hyperlink r:id="rId34" w:history="1">
              <w:r w:rsidR="00975BD5" w:rsidRPr="000565E1">
                <w:rPr>
                  <w:szCs w:val="22"/>
                </w:rPr>
                <w:t>www.adaptation-fund.org</w:t>
              </w:r>
            </w:hyperlink>
          </w:p>
        </w:tc>
      </w:tr>
      <w:tr w:rsidR="00975BD5" w:rsidRPr="00975BD5" w14:paraId="0FA9C138" w14:textId="77777777" w:rsidTr="00975BD5">
        <w:trPr>
          <w:trHeight w:val="300"/>
        </w:trPr>
        <w:tc>
          <w:tcPr>
            <w:tcW w:w="1985" w:type="dxa"/>
            <w:tcBorders>
              <w:top w:val="nil"/>
              <w:left w:val="nil"/>
              <w:bottom w:val="nil"/>
              <w:right w:val="nil"/>
            </w:tcBorders>
            <w:shd w:val="clear" w:color="auto" w:fill="auto"/>
            <w:noWrap/>
            <w:vAlign w:val="bottom"/>
            <w:hideMark/>
          </w:tcPr>
          <w:p w14:paraId="3EF71457" w14:textId="77777777" w:rsidR="00975BD5" w:rsidRPr="00975BD5" w:rsidRDefault="00975BD5" w:rsidP="00975BD5">
            <w:pPr>
              <w:spacing w:after="0"/>
              <w:jc w:val="left"/>
              <w:rPr>
                <w:szCs w:val="22"/>
              </w:rPr>
            </w:pPr>
            <w:r w:rsidRPr="00975BD5">
              <w:rPr>
                <w:szCs w:val="22"/>
              </w:rPr>
              <w:t>AFD</w:t>
            </w:r>
          </w:p>
        </w:tc>
        <w:tc>
          <w:tcPr>
            <w:tcW w:w="7870" w:type="dxa"/>
            <w:tcBorders>
              <w:top w:val="nil"/>
              <w:left w:val="nil"/>
              <w:bottom w:val="nil"/>
              <w:right w:val="nil"/>
            </w:tcBorders>
            <w:shd w:val="clear" w:color="auto" w:fill="auto"/>
            <w:noWrap/>
            <w:vAlign w:val="bottom"/>
            <w:hideMark/>
          </w:tcPr>
          <w:p w14:paraId="27D41EAE" w14:textId="77777777" w:rsidR="00975BD5" w:rsidRPr="00975BD5" w:rsidRDefault="00975BD5" w:rsidP="00975BD5">
            <w:pPr>
              <w:spacing w:after="0"/>
              <w:jc w:val="left"/>
              <w:rPr>
                <w:szCs w:val="22"/>
              </w:rPr>
            </w:pPr>
            <w:r w:rsidRPr="00975BD5">
              <w:rPr>
                <w:szCs w:val="22"/>
              </w:rPr>
              <w:t>www.afd.fr</w:t>
            </w:r>
          </w:p>
        </w:tc>
      </w:tr>
      <w:tr w:rsidR="00975BD5" w:rsidRPr="00975BD5" w14:paraId="5024F2AB" w14:textId="77777777" w:rsidTr="00975BD5">
        <w:trPr>
          <w:trHeight w:val="300"/>
        </w:trPr>
        <w:tc>
          <w:tcPr>
            <w:tcW w:w="1985" w:type="dxa"/>
            <w:tcBorders>
              <w:top w:val="nil"/>
              <w:left w:val="nil"/>
              <w:bottom w:val="nil"/>
              <w:right w:val="nil"/>
            </w:tcBorders>
            <w:shd w:val="clear" w:color="auto" w:fill="auto"/>
            <w:noWrap/>
            <w:vAlign w:val="bottom"/>
            <w:hideMark/>
          </w:tcPr>
          <w:p w14:paraId="7E664A2C" w14:textId="77777777" w:rsidR="00975BD5" w:rsidRPr="00975BD5" w:rsidRDefault="00975BD5" w:rsidP="00975BD5">
            <w:pPr>
              <w:spacing w:after="0"/>
              <w:jc w:val="left"/>
              <w:rPr>
                <w:szCs w:val="22"/>
              </w:rPr>
            </w:pPr>
            <w:r w:rsidRPr="00975BD5">
              <w:rPr>
                <w:szCs w:val="22"/>
              </w:rPr>
              <w:t>BAD</w:t>
            </w:r>
          </w:p>
        </w:tc>
        <w:tc>
          <w:tcPr>
            <w:tcW w:w="7870" w:type="dxa"/>
            <w:tcBorders>
              <w:top w:val="nil"/>
              <w:left w:val="nil"/>
              <w:bottom w:val="nil"/>
              <w:right w:val="nil"/>
            </w:tcBorders>
            <w:shd w:val="clear" w:color="auto" w:fill="auto"/>
            <w:noWrap/>
            <w:vAlign w:val="bottom"/>
            <w:hideMark/>
          </w:tcPr>
          <w:p w14:paraId="3538691B" w14:textId="77777777" w:rsidR="00975BD5" w:rsidRPr="00975BD5" w:rsidRDefault="00975BD5" w:rsidP="00975BD5">
            <w:pPr>
              <w:spacing w:after="0"/>
              <w:jc w:val="left"/>
              <w:rPr>
                <w:szCs w:val="22"/>
              </w:rPr>
            </w:pPr>
            <w:r w:rsidRPr="00975BD5">
              <w:rPr>
                <w:szCs w:val="22"/>
              </w:rPr>
              <w:t>www.afdb.org</w:t>
            </w:r>
          </w:p>
        </w:tc>
      </w:tr>
      <w:tr w:rsidR="00975BD5" w:rsidRPr="00975BD5" w14:paraId="46A5DFF5" w14:textId="77777777" w:rsidTr="00975BD5">
        <w:trPr>
          <w:trHeight w:val="300"/>
        </w:trPr>
        <w:tc>
          <w:tcPr>
            <w:tcW w:w="1985" w:type="dxa"/>
            <w:tcBorders>
              <w:top w:val="nil"/>
              <w:left w:val="nil"/>
              <w:bottom w:val="nil"/>
              <w:right w:val="nil"/>
            </w:tcBorders>
            <w:shd w:val="clear" w:color="auto" w:fill="auto"/>
            <w:noWrap/>
            <w:vAlign w:val="bottom"/>
            <w:hideMark/>
          </w:tcPr>
          <w:p w14:paraId="347E7D5D" w14:textId="77777777" w:rsidR="00975BD5" w:rsidRPr="00975BD5" w:rsidRDefault="00975BD5" w:rsidP="00975BD5">
            <w:pPr>
              <w:spacing w:after="0"/>
              <w:jc w:val="left"/>
              <w:rPr>
                <w:szCs w:val="22"/>
              </w:rPr>
            </w:pPr>
            <w:r w:rsidRPr="00975BD5">
              <w:rPr>
                <w:szCs w:val="22"/>
              </w:rPr>
              <w:t>BADEA</w:t>
            </w:r>
          </w:p>
        </w:tc>
        <w:tc>
          <w:tcPr>
            <w:tcW w:w="7870" w:type="dxa"/>
            <w:tcBorders>
              <w:top w:val="nil"/>
              <w:left w:val="nil"/>
              <w:bottom w:val="nil"/>
              <w:right w:val="nil"/>
            </w:tcBorders>
            <w:shd w:val="clear" w:color="auto" w:fill="auto"/>
            <w:noWrap/>
            <w:vAlign w:val="bottom"/>
            <w:hideMark/>
          </w:tcPr>
          <w:p w14:paraId="739C1A32" w14:textId="77777777" w:rsidR="00975BD5" w:rsidRPr="00975BD5" w:rsidRDefault="00D36020" w:rsidP="00975BD5">
            <w:pPr>
              <w:spacing w:after="0"/>
              <w:jc w:val="left"/>
              <w:rPr>
                <w:szCs w:val="22"/>
              </w:rPr>
            </w:pPr>
            <w:hyperlink r:id="rId35" w:history="1">
              <w:r w:rsidR="00975BD5" w:rsidRPr="000565E1">
                <w:rPr>
                  <w:szCs w:val="22"/>
                </w:rPr>
                <w:t>www.badea.org</w:t>
              </w:r>
            </w:hyperlink>
          </w:p>
        </w:tc>
      </w:tr>
      <w:tr w:rsidR="00975BD5" w:rsidRPr="00975BD5" w14:paraId="0E65C109" w14:textId="77777777" w:rsidTr="00975BD5">
        <w:trPr>
          <w:trHeight w:val="300"/>
        </w:trPr>
        <w:tc>
          <w:tcPr>
            <w:tcW w:w="1985" w:type="dxa"/>
            <w:tcBorders>
              <w:top w:val="nil"/>
              <w:left w:val="nil"/>
              <w:bottom w:val="nil"/>
              <w:right w:val="nil"/>
            </w:tcBorders>
            <w:shd w:val="clear" w:color="auto" w:fill="auto"/>
            <w:noWrap/>
            <w:vAlign w:val="bottom"/>
            <w:hideMark/>
          </w:tcPr>
          <w:p w14:paraId="648D9424" w14:textId="77777777" w:rsidR="00975BD5" w:rsidRPr="00975BD5" w:rsidRDefault="00975BD5" w:rsidP="00975BD5">
            <w:pPr>
              <w:spacing w:after="0"/>
              <w:jc w:val="left"/>
              <w:rPr>
                <w:szCs w:val="22"/>
              </w:rPr>
            </w:pPr>
            <w:r w:rsidRPr="00975BD5">
              <w:rPr>
                <w:szCs w:val="22"/>
              </w:rPr>
              <w:t>Banque Mondiale</w:t>
            </w:r>
          </w:p>
        </w:tc>
        <w:tc>
          <w:tcPr>
            <w:tcW w:w="7870" w:type="dxa"/>
            <w:tcBorders>
              <w:top w:val="nil"/>
              <w:left w:val="nil"/>
              <w:bottom w:val="nil"/>
              <w:right w:val="nil"/>
            </w:tcBorders>
            <w:shd w:val="clear" w:color="auto" w:fill="auto"/>
            <w:noWrap/>
            <w:vAlign w:val="bottom"/>
            <w:hideMark/>
          </w:tcPr>
          <w:p w14:paraId="267916A0" w14:textId="77777777" w:rsidR="00975BD5" w:rsidRPr="00975BD5" w:rsidRDefault="00D36020" w:rsidP="00975BD5">
            <w:pPr>
              <w:spacing w:after="0"/>
              <w:jc w:val="left"/>
              <w:rPr>
                <w:szCs w:val="22"/>
              </w:rPr>
            </w:pPr>
            <w:hyperlink r:id="rId36" w:history="1">
              <w:r w:rsidR="00975BD5" w:rsidRPr="000565E1">
                <w:rPr>
                  <w:szCs w:val="22"/>
                </w:rPr>
                <w:t>www.worldbank.org</w:t>
              </w:r>
            </w:hyperlink>
          </w:p>
        </w:tc>
      </w:tr>
      <w:tr w:rsidR="00975BD5" w:rsidRPr="00975BD5" w14:paraId="63697FAC" w14:textId="77777777" w:rsidTr="00975BD5">
        <w:trPr>
          <w:trHeight w:val="300"/>
        </w:trPr>
        <w:tc>
          <w:tcPr>
            <w:tcW w:w="1985" w:type="dxa"/>
            <w:tcBorders>
              <w:top w:val="nil"/>
              <w:left w:val="nil"/>
              <w:bottom w:val="nil"/>
              <w:right w:val="nil"/>
            </w:tcBorders>
            <w:shd w:val="clear" w:color="auto" w:fill="auto"/>
            <w:noWrap/>
            <w:vAlign w:val="bottom"/>
            <w:hideMark/>
          </w:tcPr>
          <w:p w14:paraId="70AB1FA1" w14:textId="77777777" w:rsidR="00975BD5" w:rsidRPr="00975BD5" w:rsidRDefault="00975BD5" w:rsidP="00975BD5">
            <w:pPr>
              <w:spacing w:after="0"/>
              <w:jc w:val="left"/>
              <w:rPr>
                <w:szCs w:val="22"/>
              </w:rPr>
            </w:pPr>
            <w:r w:rsidRPr="00975BD5">
              <w:rPr>
                <w:szCs w:val="22"/>
              </w:rPr>
              <w:t>BDEAC</w:t>
            </w:r>
          </w:p>
        </w:tc>
        <w:tc>
          <w:tcPr>
            <w:tcW w:w="7870" w:type="dxa"/>
            <w:tcBorders>
              <w:top w:val="nil"/>
              <w:left w:val="nil"/>
              <w:bottom w:val="nil"/>
              <w:right w:val="nil"/>
            </w:tcBorders>
            <w:shd w:val="clear" w:color="auto" w:fill="auto"/>
            <w:noWrap/>
            <w:vAlign w:val="bottom"/>
            <w:hideMark/>
          </w:tcPr>
          <w:p w14:paraId="6FE94784" w14:textId="77777777" w:rsidR="00975BD5" w:rsidRPr="00975BD5" w:rsidRDefault="00D36020" w:rsidP="00975BD5">
            <w:pPr>
              <w:spacing w:after="0"/>
              <w:jc w:val="left"/>
              <w:rPr>
                <w:szCs w:val="22"/>
              </w:rPr>
            </w:pPr>
            <w:hyperlink r:id="rId37" w:history="1">
              <w:r w:rsidR="00975BD5" w:rsidRPr="000565E1">
                <w:rPr>
                  <w:szCs w:val="22"/>
                </w:rPr>
                <w:t>www.bdeac.org</w:t>
              </w:r>
            </w:hyperlink>
          </w:p>
        </w:tc>
      </w:tr>
      <w:tr w:rsidR="00975BD5" w:rsidRPr="00975BD5" w14:paraId="00F1508F" w14:textId="77777777" w:rsidTr="00975BD5">
        <w:trPr>
          <w:trHeight w:val="300"/>
        </w:trPr>
        <w:tc>
          <w:tcPr>
            <w:tcW w:w="1985" w:type="dxa"/>
            <w:tcBorders>
              <w:top w:val="nil"/>
              <w:left w:val="nil"/>
              <w:bottom w:val="nil"/>
              <w:right w:val="nil"/>
            </w:tcBorders>
            <w:shd w:val="clear" w:color="auto" w:fill="auto"/>
            <w:noWrap/>
            <w:vAlign w:val="bottom"/>
            <w:hideMark/>
          </w:tcPr>
          <w:p w14:paraId="6153D8E7" w14:textId="77777777" w:rsidR="00975BD5" w:rsidRPr="00975BD5" w:rsidRDefault="00975BD5" w:rsidP="00975BD5">
            <w:pPr>
              <w:spacing w:after="0"/>
              <w:jc w:val="left"/>
              <w:rPr>
                <w:szCs w:val="22"/>
              </w:rPr>
            </w:pPr>
            <w:r w:rsidRPr="00975BD5">
              <w:rPr>
                <w:szCs w:val="22"/>
              </w:rPr>
              <w:t>BMZ</w:t>
            </w:r>
          </w:p>
        </w:tc>
        <w:tc>
          <w:tcPr>
            <w:tcW w:w="7870" w:type="dxa"/>
            <w:tcBorders>
              <w:top w:val="nil"/>
              <w:left w:val="nil"/>
              <w:bottom w:val="nil"/>
              <w:right w:val="nil"/>
            </w:tcBorders>
            <w:shd w:val="clear" w:color="auto" w:fill="auto"/>
            <w:noWrap/>
            <w:vAlign w:val="bottom"/>
            <w:hideMark/>
          </w:tcPr>
          <w:p w14:paraId="68B4F394" w14:textId="77777777" w:rsidR="00975BD5" w:rsidRPr="00975BD5" w:rsidRDefault="00D36020" w:rsidP="00975BD5">
            <w:pPr>
              <w:spacing w:after="0"/>
              <w:jc w:val="left"/>
              <w:rPr>
                <w:szCs w:val="22"/>
              </w:rPr>
            </w:pPr>
            <w:hyperlink r:id="rId38" w:history="1">
              <w:r w:rsidR="00975BD5" w:rsidRPr="000565E1">
                <w:rPr>
                  <w:szCs w:val="22"/>
                </w:rPr>
                <w:t>www.bmz.de</w:t>
              </w:r>
            </w:hyperlink>
          </w:p>
        </w:tc>
      </w:tr>
      <w:tr w:rsidR="00975BD5" w:rsidRPr="00975BD5" w14:paraId="43CE0D5D" w14:textId="77777777" w:rsidTr="00975BD5">
        <w:trPr>
          <w:trHeight w:val="300"/>
        </w:trPr>
        <w:tc>
          <w:tcPr>
            <w:tcW w:w="1985" w:type="dxa"/>
            <w:tcBorders>
              <w:top w:val="nil"/>
              <w:left w:val="nil"/>
              <w:bottom w:val="nil"/>
              <w:right w:val="nil"/>
            </w:tcBorders>
            <w:shd w:val="clear" w:color="auto" w:fill="auto"/>
            <w:noWrap/>
            <w:vAlign w:val="bottom"/>
            <w:hideMark/>
          </w:tcPr>
          <w:p w14:paraId="44AC1E9E" w14:textId="77777777" w:rsidR="00975BD5" w:rsidRPr="00975BD5" w:rsidRDefault="00975BD5" w:rsidP="00975BD5">
            <w:pPr>
              <w:spacing w:after="0"/>
              <w:jc w:val="left"/>
              <w:rPr>
                <w:szCs w:val="22"/>
              </w:rPr>
            </w:pPr>
            <w:r w:rsidRPr="00975BD5">
              <w:rPr>
                <w:szCs w:val="22"/>
              </w:rPr>
              <w:t>CADF</w:t>
            </w:r>
          </w:p>
        </w:tc>
        <w:tc>
          <w:tcPr>
            <w:tcW w:w="7870" w:type="dxa"/>
            <w:tcBorders>
              <w:top w:val="nil"/>
              <w:left w:val="nil"/>
              <w:bottom w:val="nil"/>
              <w:right w:val="nil"/>
            </w:tcBorders>
            <w:shd w:val="clear" w:color="auto" w:fill="auto"/>
            <w:noWrap/>
            <w:vAlign w:val="bottom"/>
            <w:hideMark/>
          </w:tcPr>
          <w:p w14:paraId="1A1F74BC" w14:textId="77777777" w:rsidR="00975BD5" w:rsidRPr="00975BD5" w:rsidRDefault="00D36020" w:rsidP="00975BD5">
            <w:pPr>
              <w:spacing w:after="0"/>
              <w:jc w:val="left"/>
              <w:rPr>
                <w:szCs w:val="22"/>
              </w:rPr>
            </w:pPr>
            <w:hyperlink r:id="rId39" w:history="1">
              <w:r w:rsidR="00975BD5" w:rsidRPr="000565E1">
                <w:rPr>
                  <w:szCs w:val="22"/>
                </w:rPr>
                <w:t>www.cadfund.com</w:t>
              </w:r>
            </w:hyperlink>
          </w:p>
        </w:tc>
      </w:tr>
      <w:tr w:rsidR="00975BD5" w:rsidRPr="00975BD5" w14:paraId="2680186C" w14:textId="77777777" w:rsidTr="00975BD5">
        <w:trPr>
          <w:trHeight w:val="300"/>
        </w:trPr>
        <w:tc>
          <w:tcPr>
            <w:tcW w:w="1985" w:type="dxa"/>
            <w:tcBorders>
              <w:top w:val="nil"/>
              <w:left w:val="nil"/>
              <w:bottom w:val="nil"/>
              <w:right w:val="nil"/>
            </w:tcBorders>
            <w:shd w:val="clear" w:color="auto" w:fill="auto"/>
            <w:noWrap/>
            <w:vAlign w:val="bottom"/>
            <w:hideMark/>
          </w:tcPr>
          <w:p w14:paraId="52E3840C" w14:textId="77777777" w:rsidR="00975BD5" w:rsidRPr="00975BD5" w:rsidRDefault="00975BD5" w:rsidP="00975BD5">
            <w:pPr>
              <w:spacing w:after="0"/>
              <w:jc w:val="left"/>
              <w:rPr>
                <w:szCs w:val="22"/>
              </w:rPr>
            </w:pPr>
            <w:r w:rsidRPr="00975BD5">
              <w:rPr>
                <w:szCs w:val="22"/>
              </w:rPr>
              <w:t>CAFI</w:t>
            </w:r>
          </w:p>
        </w:tc>
        <w:tc>
          <w:tcPr>
            <w:tcW w:w="7870" w:type="dxa"/>
            <w:tcBorders>
              <w:top w:val="nil"/>
              <w:left w:val="nil"/>
              <w:bottom w:val="nil"/>
              <w:right w:val="nil"/>
            </w:tcBorders>
            <w:shd w:val="clear" w:color="auto" w:fill="auto"/>
            <w:noWrap/>
            <w:vAlign w:val="bottom"/>
            <w:hideMark/>
          </w:tcPr>
          <w:p w14:paraId="7D4DA356" w14:textId="77777777" w:rsidR="00975BD5" w:rsidRPr="00975BD5" w:rsidRDefault="00D36020" w:rsidP="00975BD5">
            <w:pPr>
              <w:spacing w:after="0"/>
              <w:jc w:val="left"/>
              <w:rPr>
                <w:szCs w:val="22"/>
              </w:rPr>
            </w:pPr>
            <w:hyperlink r:id="rId40" w:history="1">
              <w:r w:rsidR="00975BD5" w:rsidRPr="000565E1">
                <w:rPr>
                  <w:szCs w:val="22"/>
                </w:rPr>
                <w:t>www.cafi.org</w:t>
              </w:r>
            </w:hyperlink>
          </w:p>
        </w:tc>
      </w:tr>
      <w:tr w:rsidR="00975BD5" w:rsidRPr="00975BD5" w14:paraId="76405A59" w14:textId="77777777" w:rsidTr="00975BD5">
        <w:trPr>
          <w:trHeight w:val="300"/>
        </w:trPr>
        <w:tc>
          <w:tcPr>
            <w:tcW w:w="1985" w:type="dxa"/>
            <w:tcBorders>
              <w:top w:val="nil"/>
              <w:left w:val="nil"/>
              <w:bottom w:val="nil"/>
              <w:right w:val="nil"/>
            </w:tcBorders>
            <w:shd w:val="clear" w:color="auto" w:fill="auto"/>
            <w:noWrap/>
            <w:vAlign w:val="bottom"/>
            <w:hideMark/>
          </w:tcPr>
          <w:p w14:paraId="1B35BC95" w14:textId="77777777" w:rsidR="00975BD5" w:rsidRPr="00975BD5" w:rsidRDefault="00975BD5" w:rsidP="00975BD5">
            <w:pPr>
              <w:spacing w:after="0"/>
              <w:jc w:val="left"/>
              <w:rPr>
                <w:szCs w:val="22"/>
              </w:rPr>
            </w:pPr>
            <w:r w:rsidRPr="00975BD5">
              <w:rPr>
                <w:szCs w:val="22"/>
              </w:rPr>
              <w:t>CARPE</w:t>
            </w:r>
          </w:p>
        </w:tc>
        <w:tc>
          <w:tcPr>
            <w:tcW w:w="7870" w:type="dxa"/>
            <w:tcBorders>
              <w:top w:val="nil"/>
              <w:left w:val="nil"/>
              <w:bottom w:val="nil"/>
              <w:right w:val="nil"/>
            </w:tcBorders>
            <w:shd w:val="clear" w:color="auto" w:fill="auto"/>
            <w:noWrap/>
            <w:vAlign w:val="bottom"/>
            <w:hideMark/>
          </w:tcPr>
          <w:p w14:paraId="77904F55" w14:textId="77777777" w:rsidR="00975BD5" w:rsidRPr="00975BD5" w:rsidRDefault="00D36020" w:rsidP="00975BD5">
            <w:pPr>
              <w:spacing w:after="0"/>
              <w:jc w:val="left"/>
              <w:rPr>
                <w:szCs w:val="22"/>
              </w:rPr>
            </w:pPr>
            <w:hyperlink r:id="rId41" w:history="1">
              <w:r w:rsidR="00975BD5" w:rsidRPr="000565E1">
                <w:rPr>
                  <w:szCs w:val="22"/>
                </w:rPr>
                <w:t>carpe.umd.edu</w:t>
              </w:r>
            </w:hyperlink>
          </w:p>
        </w:tc>
      </w:tr>
      <w:tr w:rsidR="00975BD5" w:rsidRPr="00975BD5" w14:paraId="0C2542F9" w14:textId="77777777" w:rsidTr="00975BD5">
        <w:trPr>
          <w:trHeight w:val="300"/>
        </w:trPr>
        <w:tc>
          <w:tcPr>
            <w:tcW w:w="1985" w:type="dxa"/>
            <w:tcBorders>
              <w:top w:val="nil"/>
              <w:left w:val="nil"/>
              <w:bottom w:val="nil"/>
              <w:right w:val="nil"/>
            </w:tcBorders>
            <w:shd w:val="clear" w:color="auto" w:fill="auto"/>
            <w:noWrap/>
            <w:vAlign w:val="bottom"/>
            <w:hideMark/>
          </w:tcPr>
          <w:p w14:paraId="1DD70CE2" w14:textId="77777777" w:rsidR="00975BD5" w:rsidRPr="00975BD5" w:rsidRDefault="00975BD5" w:rsidP="00975BD5">
            <w:pPr>
              <w:spacing w:after="0"/>
              <w:jc w:val="left"/>
              <w:rPr>
                <w:szCs w:val="22"/>
              </w:rPr>
            </w:pPr>
            <w:r w:rsidRPr="00975BD5">
              <w:rPr>
                <w:szCs w:val="22"/>
              </w:rPr>
              <w:t>CDC</w:t>
            </w:r>
          </w:p>
        </w:tc>
        <w:tc>
          <w:tcPr>
            <w:tcW w:w="7870" w:type="dxa"/>
            <w:tcBorders>
              <w:top w:val="nil"/>
              <w:left w:val="nil"/>
              <w:bottom w:val="nil"/>
              <w:right w:val="nil"/>
            </w:tcBorders>
            <w:shd w:val="clear" w:color="auto" w:fill="auto"/>
            <w:noWrap/>
            <w:vAlign w:val="bottom"/>
            <w:hideMark/>
          </w:tcPr>
          <w:p w14:paraId="5E15FA04" w14:textId="77777777" w:rsidR="00975BD5" w:rsidRPr="00975BD5" w:rsidRDefault="00D36020" w:rsidP="00975BD5">
            <w:pPr>
              <w:spacing w:after="0"/>
              <w:jc w:val="left"/>
              <w:rPr>
                <w:szCs w:val="22"/>
              </w:rPr>
            </w:pPr>
            <w:hyperlink r:id="rId42" w:history="1">
              <w:r w:rsidR="00975BD5" w:rsidRPr="000565E1">
                <w:rPr>
                  <w:szCs w:val="22"/>
                </w:rPr>
                <w:t>www.cdcgroup.com</w:t>
              </w:r>
            </w:hyperlink>
          </w:p>
        </w:tc>
      </w:tr>
      <w:tr w:rsidR="00975BD5" w:rsidRPr="00975BD5" w14:paraId="6B9D77C7" w14:textId="77777777" w:rsidTr="00975BD5">
        <w:trPr>
          <w:trHeight w:val="300"/>
        </w:trPr>
        <w:tc>
          <w:tcPr>
            <w:tcW w:w="1985" w:type="dxa"/>
            <w:tcBorders>
              <w:top w:val="nil"/>
              <w:left w:val="nil"/>
              <w:bottom w:val="nil"/>
              <w:right w:val="nil"/>
            </w:tcBorders>
            <w:shd w:val="clear" w:color="auto" w:fill="auto"/>
            <w:noWrap/>
            <w:vAlign w:val="bottom"/>
            <w:hideMark/>
          </w:tcPr>
          <w:p w14:paraId="0C8703EE" w14:textId="77777777" w:rsidR="00975BD5" w:rsidRPr="00975BD5" w:rsidRDefault="00975BD5" w:rsidP="00975BD5">
            <w:pPr>
              <w:spacing w:after="0"/>
              <w:jc w:val="left"/>
              <w:rPr>
                <w:szCs w:val="22"/>
              </w:rPr>
            </w:pPr>
            <w:r w:rsidRPr="00975BD5">
              <w:rPr>
                <w:szCs w:val="22"/>
              </w:rPr>
              <w:t>DEG</w:t>
            </w:r>
          </w:p>
        </w:tc>
        <w:tc>
          <w:tcPr>
            <w:tcW w:w="7870" w:type="dxa"/>
            <w:tcBorders>
              <w:top w:val="nil"/>
              <w:left w:val="nil"/>
              <w:bottom w:val="nil"/>
              <w:right w:val="nil"/>
            </w:tcBorders>
            <w:shd w:val="clear" w:color="auto" w:fill="auto"/>
            <w:noWrap/>
            <w:vAlign w:val="bottom"/>
            <w:hideMark/>
          </w:tcPr>
          <w:p w14:paraId="32AE8127" w14:textId="77777777" w:rsidR="00975BD5" w:rsidRPr="00975BD5" w:rsidRDefault="00975BD5" w:rsidP="00975BD5">
            <w:pPr>
              <w:spacing w:after="0"/>
              <w:jc w:val="left"/>
              <w:rPr>
                <w:szCs w:val="22"/>
              </w:rPr>
            </w:pPr>
            <w:r w:rsidRPr="00975BD5">
              <w:rPr>
                <w:szCs w:val="22"/>
              </w:rPr>
              <w:t>www.deginvest.de</w:t>
            </w:r>
          </w:p>
        </w:tc>
      </w:tr>
      <w:tr w:rsidR="00975BD5" w:rsidRPr="00975BD5" w14:paraId="003777C9" w14:textId="77777777" w:rsidTr="00975BD5">
        <w:trPr>
          <w:trHeight w:val="300"/>
        </w:trPr>
        <w:tc>
          <w:tcPr>
            <w:tcW w:w="1985" w:type="dxa"/>
            <w:tcBorders>
              <w:top w:val="nil"/>
              <w:left w:val="nil"/>
              <w:bottom w:val="nil"/>
              <w:right w:val="nil"/>
            </w:tcBorders>
            <w:shd w:val="clear" w:color="auto" w:fill="auto"/>
            <w:noWrap/>
            <w:vAlign w:val="bottom"/>
            <w:hideMark/>
          </w:tcPr>
          <w:p w14:paraId="1308F97E" w14:textId="77777777" w:rsidR="00975BD5" w:rsidRPr="00975BD5" w:rsidRDefault="00975BD5" w:rsidP="00975BD5">
            <w:pPr>
              <w:spacing w:after="0"/>
              <w:jc w:val="left"/>
              <w:rPr>
                <w:szCs w:val="22"/>
              </w:rPr>
            </w:pPr>
            <w:r w:rsidRPr="00975BD5">
              <w:rPr>
                <w:szCs w:val="22"/>
              </w:rPr>
              <w:t>DFID</w:t>
            </w:r>
          </w:p>
        </w:tc>
        <w:tc>
          <w:tcPr>
            <w:tcW w:w="7870" w:type="dxa"/>
            <w:tcBorders>
              <w:top w:val="nil"/>
              <w:left w:val="nil"/>
              <w:bottom w:val="nil"/>
              <w:right w:val="nil"/>
            </w:tcBorders>
            <w:shd w:val="clear" w:color="auto" w:fill="auto"/>
            <w:noWrap/>
            <w:vAlign w:val="bottom"/>
            <w:hideMark/>
          </w:tcPr>
          <w:p w14:paraId="5A581556" w14:textId="77777777" w:rsidR="00975BD5" w:rsidRPr="00975BD5" w:rsidRDefault="00975BD5" w:rsidP="00975BD5">
            <w:pPr>
              <w:spacing w:after="0"/>
              <w:jc w:val="left"/>
              <w:rPr>
                <w:szCs w:val="22"/>
              </w:rPr>
            </w:pPr>
            <w:r w:rsidRPr="00975BD5">
              <w:rPr>
                <w:szCs w:val="22"/>
              </w:rPr>
              <w:t>www.gov.uk/government/organisations/department-for-international-development</w:t>
            </w:r>
          </w:p>
        </w:tc>
      </w:tr>
      <w:tr w:rsidR="00975BD5" w:rsidRPr="00975BD5" w14:paraId="0B50FDF3" w14:textId="77777777" w:rsidTr="00975BD5">
        <w:trPr>
          <w:trHeight w:val="300"/>
        </w:trPr>
        <w:tc>
          <w:tcPr>
            <w:tcW w:w="1985" w:type="dxa"/>
            <w:tcBorders>
              <w:top w:val="nil"/>
              <w:left w:val="nil"/>
              <w:bottom w:val="nil"/>
              <w:right w:val="nil"/>
            </w:tcBorders>
            <w:shd w:val="clear" w:color="auto" w:fill="auto"/>
            <w:noWrap/>
            <w:vAlign w:val="bottom"/>
            <w:hideMark/>
          </w:tcPr>
          <w:p w14:paraId="6AFB10F1" w14:textId="77777777" w:rsidR="00975BD5" w:rsidRPr="00975BD5" w:rsidRDefault="00975BD5" w:rsidP="00975BD5">
            <w:pPr>
              <w:spacing w:after="0"/>
              <w:jc w:val="left"/>
              <w:rPr>
                <w:szCs w:val="22"/>
              </w:rPr>
            </w:pPr>
            <w:r w:rsidRPr="00975BD5">
              <w:rPr>
                <w:szCs w:val="22"/>
              </w:rPr>
              <w:t>EU REDD</w:t>
            </w:r>
          </w:p>
        </w:tc>
        <w:tc>
          <w:tcPr>
            <w:tcW w:w="7870" w:type="dxa"/>
            <w:tcBorders>
              <w:top w:val="nil"/>
              <w:left w:val="nil"/>
              <w:bottom w:val="nil"/>
              <w:right w:val="nil"/>
            </w:tcBorders>
            <w:shd w:val="clear" w:color="auto" w:fill="auto"/>
            <w:noWrap/>
            <w:vAlign w:val="bottom"/>
            <w:hideMark/>
          </w:tcPr>
          <w:p w14:paraId="3CC5CCDD" w14:textId="77777777" w:rsidR="00975BD5" w:rsidRPr="00975BD5" w:rsidRDefault="00D36020" w:rsidP="00975BD5">
            <w:pPr>
              <w:spacing w:after="0"/>
              <w:jc w:val="left"/>
              <w:rPr>
                <w:szCs w:val="22"/>
              </w:rPr>
            </w:pPr>
            <w:hyperlink r:id="rId43" w:history="1">
              <w:r w:rsidR="00975BD5" w:rsidRPr="000565E1">
                <w:rPr>
                  <w:szCs w:val="22"/>
                </w:rPr>
                <w:t>www.euredd.efi.int</w:t>
              </w:r>
            </w:hyperlink>
          </w:p>
        </w:tc>
      </w:tr>
      <w:tr w:rsidR="00975BD5" w:rsidRPr="00975BD5" w14:paraId="2C9EE435" w14:textId="77777777" w:rsidTr="00975BD5">
        <w:trPr>
          <w:trHeight w:val="300"/>
        </w:trPr>
        <w:tc>
          <w:tcPr>
            <w:tcW w:w="1985" w:type="dxa"/>
            <w:tcBorders>
              <w:top w:val="nil"/>
              <w:left w:val="nil"/>
              <w:bottom w:val="nil"/>
              <w:right w:val="nil"/>
            </w:tcBorders>
            <w:shd w:val="clear" w:color="auto" w:fill="auto"/>
            <w:noWrap/>
            <w:vAlign w:val="bottom"/>
            <w:hideMark/>
          </w:tcPr>
          <w:p w14:paraId="3D2B0794" w14:textId="77777777" w:rsidR="00975BD5" w:rsidRPr="00975BD5" w:rsidRDefault="00975BD5" w:rsidP="00975BD5">
            <w:pPr>
              <w:spacing w:after="0"/>
              <w:jc w:val="left"/>
              <w:rPr>
                <w:szCs w:val="22"/>
              </w:rPr>
            </w:pPr>
            <w:proofErr w:type="spellStart"/>
            <w:r w:rsidRPr="00975BD5">
              <w:rPr>
                <w:szCs w:val="22"/>
              </w:rPr>
              <w:t>EuropeAID</w:t>
            </w:r>
            <w:proofErr w:type="spellEnd"/>
          </w:p>
        </w:tc>
        <w:tc>
          <w:tcPr>
            <w:tcW w:w="7870" w:type="dxa"/>
            <w:tcBorders>
              <w:top w:val="nil"/>
              <w:left w:val="nil"/>
              <w:bottom w:val="nil"/>
              <w:right w:val="nil"/>
            </w:tcBorders>
            <w:shd w:val="clear" w:color="auto" w:fill="auto"/>
            <w:noWrap/>
            <w:vAlign w:val="bottom"/>
            <w:hideMark/>
          </w:tcPr>
          <w:p w14:paraId="36CE8A5D" w14:textId="77777777" w:rsidR="00975BD5" w:rsidRPr="00975BD5" w:rsidRDefault="00D36020" w:rsidP="00975BD5">
            <w:pPr>
              <w:spacing w:after="0"/>
              <w:jc w:val="left"/>
              <w:rPr>
                <w:szCs w:val="22"/>
              </w:rPr>
            </w:pPr>
            <w:hyperlink r:id="rId44" w:history="1">
              <w:r w:rsidR="00975BD5" w:rsidRPr="000565E1">
                <w:rPr>
                  <w:szCs w:val="22"/>
                </w:rPr>
                <w:t>ec.europa.eu/</w:t>
              </w:r>
              <w:proofErr w:type="spellStart"/>
              <w:r w:rsidR="00975BD5" w:rsidRPr="000565E1">
                <w:rPr>
                  <w:szCs w:val="22"/>
                </w:rPr>
                <w:t>europeaid</w:t>
              </w:r>
              <w:proofErr w:type="spellEnd"/>
            </w:hyperlink>
          </w:p>
        </w:tc>
      </w:tr>
      <w:tr w:rsidR="0039319C" w:rsidRPr="00975BD5" w14:paraId="7CF76768" w14:textId="77777777" w:rsidTr="00975BD5">
        <w:trPr>
          <w:trHeight w:val="300"/>
        </w:trPr>
        <w:tc>
          <w:tcPr>
            <w:tcW w:w="1985" w:type="dxa"/>
            <w:tcBorders>
              <w:top w:val="nil"/>
              <w:left w:val="nil"/>
              <w:bottom w:val="nil"/>
              <w:right w:val="nil"/>
            </w:tcBorders>
            <w:shd w:val="clear" w:color="auto" w:fill="auto"/>
            <w:noWrap/>
            <w:vAlign w:val="bottom"/>
          </w:tcPr>
          <w:p w14:paraId="384BCE66" w14:textId="3A46EA48" w:rsidR="0039319C" w:rsidRPr="00975BD5" w:rsidRDefault="0039319C" w:rsidP="00975BD5">
            <w:pPr>
              <w:spacing w:after="0"/>
              <w:jc w:val="left"/>
              <w:rPr>
                <w:szCs w:val="22"/>
              </w:rPr>
            </w:pPr>
            <w:r>
              <w:rPr>
                <w:szCs w:val="22"/>
              </w:rPr>
              <w:t>FASEP</w:t>
            </w:r>
          </w:p>
        </w:tc>
        <w:tc>
          <w:tcPr>
            <w:tcW w:w="7870" w:type="dxa"/>
            <w:tcBorders>
              <w:top w:val="nil"/>
              <w:left w:val="nil"/>
              <w:bottom w:val="nil"/>
              <w:right w:val="nil"/>
            </w:tcBorders>
            <w:shd w:val="clear" w:color="auto" w:fill="auto"/>
            <w:noWrap/>
            <w:vAlign w:val="bottom"/>
          </w:tcPr>
          <w:p w14:paraId="4F39F1A0" w14:textId="2AD297A1" w:rsidR="0039319C" w:rsidRDefault="0039319C" w:rsidP="00975BD5">
            <w:pPr>
              <w:spacing w:after="0"/>
              <w:jc w:val="left"/>
            </w:pPr>
            <w:r w:rsidRPr="0039319C">
              <w:t>www.tresor.economie.gouv.fr/fasep</w:t>
            </w:r>
          </w:p>
        </w:tc>
      </w:tr>
      <w:tr w:rsidR="00975BD5" w:rsidRPr="00975BD5" w14:paraId="4BB9D1A7" w14:textId="77777777" w:rsidTr="00975BD5">
        <w:trPr>
          <w:trHeight w:val="300"/>
        </w:trPr>
        <w:tc>
          <w:tcPr>
            <w:tcW w:w="1985" w:type="dxa"/>
            <w:tcBorders>
              <w:top w:val="nil"/>
              <w:left w:val="nil"/>
              <w:bottom w:val="nil"/>
              <w:right w:val="nil"/>
            </w:tcBorders>
            <w:shd w:val="clear" w:color="auto" w:fill="auto"/>
            <w:noWrap/>
            <w:vAlign w:val="bottom"/>
            <w:hideMark/>
          </w:tcPr>
          <w:p w14:paraId="66A59799" w14:textId="77777777" w:rsidR="00975BD5" w:rsidRPr="00975BD5" w:rsidRDefault="00975BD5" w:rsidP="00975BD5">
            <w:pPr>
              <w:spacing w:after="0"/>
              <w:jc w:val="left"/>
              <w:rPr>
                <w:szCs w:val="22"/>
              </w:rPr>
            </w:pPr>
            <w:r w:rsidRPr="00975BD5">
              <w:rPr>
                <w:szCs w:val="22"/>
              </w:rPr>
              <w:t>FCPF</w:t>
            </w:r>
          </w:p>
        </w:tc>
        <w:tc>
          <w:tcPr>
            <w:tcW w:w="7870" w:type="dxa"/>
            <w:tcBorders>
              <w:top w:val="nil"/>
              <w:left w:val="nil"/>
              <w:bottom w:val="nil"/>
              <w:right w:val="nil"/>
            </w:tcBorders>
            <w:shd w:val="clear" w:color="auto" w:fill="auto"/>
            <w:noWrap/>
            <w:vAlign w:val="bottom"/>
            <w:hideMark/>
          </w:tcPr>
          <w:p w14:paraId="79B5BA52" w14:textId="77777777" w:rsidR="00975BD5" w:rsidRPr="00975BD5" w:rsidRDefault="00D36020" w:rsidP="00975BD5">
            <w:pPr>
              <w:spacing w:after="0"/>
              <w:jc w:val="left"/>
              <w:rPr>
                <w:szCs w:val="22"/>
              </w:rPr>
            </w:pPr>
            <w:hyperlink r:id="rId45" w:history="1">
              <w:r w:rsidR="00975BD5" w:rsidRPr="000565E1">
                <w:rPr>
                  <w:szCs w:val="22"/>
                </w:rPr>
                <w:t>www.forestcarbonpartnership.org</w:t>
              </w:r>
            </w:hyperlink>
          </w:p>
        </w:tc>
      </w:tr>
      <w:tr w:rsidR="00975BD5" w:rsidRPr="00975BD5" w14:paraId="662A2578" w14:textId="77777777" w:rsidTr="00975BD5">
        <w:trPr>
          <w:trHeight w:val="300"/>
        </w:trPr>
        <w:tc>
          <w:tcPr>
            <w:tcW w:w="1985" w:type="dxa"/>
            <w:tcBorders>
              <w:top w:val="nil"/>
              <w:left w:val="nil"/>
              <w:bottom w:val="nil"/>
              <w:right w:val="nil"/>
            </w:tcBorders>
            <w:shd w:val="clear" w:color="auto" w:fill="auto"/>
            <w:noWrap/>
            <w:vAlign w:val="bottom"/>
            <w:hideMark/>
          </w:tcPr>
          <w:p w14:paraId="32ACC2DE" w14:textId="77777777" w:rsidR="00975BD5" w:rsidRPr="00975BD5" w:rsidRDefault="00975BD5" w:rsidP="00975BD5">
            <w:pPr>
              <w:spacing w:after="0"/>
              <w:jc w:val="left"/>
              <w:rPr>
                <w:szCs w:val="22"/>
              </w:rPr>
            </w:pPr>
            <w:r w:rsidRPr="00975BD5">
              <w:rPr>
                <w:szCs w:val="22"/>
              </w:rPr>
              <w:t>FEM</w:t>
            </w:r>
          </w:p>
        </w:tc>
        <w:tc>
          <w:tcPr>
            <w:tcW w:w="7870" w:type="dxa"/>
            <w:tcBorders>
              <w:top w:val="nil"/>
              <w:left w:val="nil"/>
              <w:bottom w:val="nil"/>
              <w:right w:val="nil"/>
            </w:tcBorders>
            <w:shd w:val="clear" w:color="auto" w:fill="auto"/>
            <w:noWrap/>
            <w:vAlign w:val="bottom"/>
            <w:hideMark/>
          </w:tcPr>
          <w:p w14:paraId="28BC9844" w14:textId="77777777" w:rsidR="00975BD5" w:rsidRPr="00975BD5" w:rsidRDefault="00D36020" w:rsidP="00975BD5">
            <w:pPr>
              <w:spacing w:after="0"/>
              <w:jc w:val="left"/>
              <w:rPr>
                <w:szCs w:val="22"/>
              </w:rPr>
            </w:pPr>
            <w:hyperlink r:id="rId46" w:history="1">
              <w:r w:rsidR="00975BD5" w:rsidRPr="000565E1">
                <w:rPr>
                  <w:szCs w:val="22"/>
                </w:rPr>
                <w:t>www.thegef.org</w:t>
              </w:r>
            </w:hyperlink>
          </w:p>
        </w:tc>
      </w:tr>
      <w:tr w:rsidR="00975BD5" w:rsidRPr="00975BD5" w14:paraId="35E491B8" w14:textId="77777777" w:rsidTr="00975BD5">
        <w:trPr>
          <w:trHeight w:val="300"/>
        </w:trPr>
        <w:tc>
          <w:tcPr>
            <w:tcW w:w="1985" w:type="dxa"/>
            <w:tcBorders>
              <w:top w:val="nil"/>
              <w:left w:val="nil"/>
              <w:bottom w:val="nil"/>
              <w:right w:val="nil"/>
            </w:tcBorders>
            <w:shd w:val="clear" w:color="auto" w:fill="auto"/>
            <w:noWrap/>
            <w:vAlign w:val="bottom"/>
            <w:hideMark/>
          </w:tcPr>
          <w:p w14:paraId="79EC5258" w14:textId="77777777" w:rsidR="00975BD5" w:rsidRPr="00975BD5" w:rsidRDefault="00975BD5" w:rsidP="00975BD5">
            <w:pPr>
              <w:spacing w:after="0"/>
              <w:jc w:val="left"/>
              <w:rPr>
                <w:szCs w:val="22"/>
              </w:rPr>
            </w:pPr>
            <w:r w:rsidRPr="00975BD5">
              <w:rPr>
                <w:szCs w:val="22"/>
              </w:rPr>
              <w:t>FFEM</w:t>
            </w:r>
          </w:p>
        </w:tc>
        <w:tc>
          <w:tcPr>
            <w:tcW w:w="7870" w:type="dxa"/>
            <w:tcBorders>
              <w:top w:val="nil"/>
              <w:left w:val="nil"/>
              <w:bottom w:val="nil"/>
              <w:right w:val="nil"/>
            </w:tcBorders>
            <w:shd w:val="clear" w:color="auto" w:fill="auto"/>
            <w:noWrap/>
            <w:vAlign w:val="bottom"/>
            <w:hideMark/>
          </w:tcPr>
          <w:p w14:paraId="7A1FED6E" w14:textId="77777777" w:rsidR="00975BD5" w:rsidRPr="00975BD5" w:rsidRDefault="00975BD5" w:rsidP="00975BD5">
            <w:pPr>
              <w:spacing w:after="0"/>
              <w:jc w:val="left"/>
              <w:rPr>
                <w:szCs w:val="22"/>
              </w:rPr>
            </w:pPr>
            <w:r w:rsidRPr="00975BD5">
              <w:rPr>
                <w:szCs w:val="22"/>
              </w:rPr>
              <w:t>www.ffem.fr</w:t>
            </w:r>
          </w:p>
        </w:tc>
      </w:tr>
      <w:tr w:rsidR="00975BD5" w:rsidRPr="00975BD5" w14:paraId="385AF5FC" w14:textId="77777777" w:rsidTr="00975BD5">
        <w:trPr>
          <w:trHeight w:val="300"/>
        </w:trPr>
        <w:tc>
          <w:tcPr>
            <w:tcW w:w="1985" w:type="dxa"/>
            <w:tcBorders>
              <w:top w:val="nil"/>
              <w:left w:val="nil"/>
              <w:bottom w:val="nil"/>
              <w:right w:val="nil"/>
            </w:tcBorders>
            <w:shd w:val="clear" w:color="auto" w:fill="auto"/>
            <w:noWrap/>
            <w:vAlign w:val="bottom"/>
            <w:hideMark/>
          </w:tcPr>
          <w:p w14:paraId="1CB703F5" w14:textId="77777777" w:rsidR="00975BD5" w:rsidRPr="00975BD5" w:rsidRDefault="00975BD5" w:rsidP="00975BD5">
            <w:pPr>
              <w:spacing w:after="0"/>
              <w:jc w:val="left"/>
              <w:rPr>
                <w:szCs w:val="22"/>
              </w:rPr>
            </w:pPr>
            <w:r w:rsidRPr="00975BD5">
              <w:rPr>
                <w:szCs w:val="22"/>
              </w:rPr>
              <w:t xml:space="preserve">FIC </w:t>
            </w:r>
          </w:p>
        </w:tc>
        <w:tc>
          <w:tcPr>
            <w:tcW w:w="7870" w:type="dxa"/>
            <w:tcBorders>
              <w:top w:val="nil"/>
              <w:left w:val="nil"/>
              <w:bottom w:val="nil"/>
              <w:right w:val="nil"/>
            </w:tcBorders>
            <w:shd w:val="clear" w:color="auto" w:fill="auto"/>
            <w:noWrap/>
            <w:vAlign w:val="bottom"/>
            <w:hideMark/>
          </w:tcPr>
          <w:p w14:paraId="341F85C0" w14:textId="77777777" w:rsidR="00975BD5" w:rsidRPr="00975BD5" w:rsidRDefault="00D36020" w:rsidP="00975BD5">
            <w:pPr>
              <w:spacing w:after="0"/>
              <w:jc w:val="left"/>
              <w:rPr>
                <w:szCs w:val="22"/>
              </w:rPr>
            </w:pPr>
            <w:hyperlink r:id="rId47" w:history="1">
              <w:r w:rsidR="00975BD5" w:rsidRPr="000565E1">
                <w:rPr>
                  <w:szCs w:val="22"/>
                </w:rPr>
                <w:t>www-cif.climateinvestmentfunds.org</w:t>
              </w:r>
            </w:hyperlink>
          </w:p>
        </w:tc>
      </w:tr>
      <w:tr w:rsidR="00975BD5" w:rsidRPr="00975BD5" w14:paraId="49D57526" w14:textId="77777777" w:rsidTr="00975BD5">
        <w:trPr>
          <w:trHeight w:val="300"/>
        </w:trPr>
        <w:tc>
          <w:tcPr>
            <w:tcW w:w="1985" w:type="dxa"/>
            <w:tcBorders>
              <w:top w:val="nil"/>
              <w:left w:val="nil"/>
              <w:bottom w:val="nil"/>
              <w:right w:val="nil"/>
            </w:tcBorders>
            <w:shd w:val="clear" w:color="auto" w:fill="auto"/>
            <w:noWrap/>
            <w:vAlign w:val="bottom"/>
            <w:hideMark/>
          </w:tcPr>
          <w:p w14:paraId="149B9938" w14:textId="77777777" w:rsidR="00975BD5" w:rsidRPr="00975BD5" w:rsidRDefault="00975BD5" w:rsidP="00975BD5">
            <w:pPr>
              <w:spacing w:after="0"/>
              <w:jc w:val="left"/>
              <w:rPr>
                <w:szCs w:val="22"/>
              </w:rPr>
            </w:pPr>
            <w:r w:rsidRPr="00975BD5">
              <w:rPr>
                <w:szCs w:val="22"/>
              </w:rPr>
              <w:t>FIDA</w:t>
            </w:r>
          </w:p>
        </w:tc>
        <w:tc>
          <w:tcPr>
            <w:tcW w:w="7870" w:type="dxa"/>
            <w:tcBorders>
              <w:top w:val="nil"/>
              <w:left w:val="nil"/>
              <w:bottom w:val="nil"/>
              <w:right w:val="nil"/>
            </w:tcBorders>
            <w:shd w:val="clear" w:color="auto" w:fill="auto"/>
            <w:noWrap/>
            <w:vAlign w:val="bottom"/>
            <w:hideMark/>
          </w:tcPr>
          <w:p w14:paraId="3051B690" w14:textId="77777777" w:rsidR="00975BD5" w:rsidRPr="00975BD5" w:rsidRDefault="00D36020" w:rsidP="00975BD5">
            <w:pPr>
              <w:spacing w:after="0"/>
              <w:jc w:val="left"/>
              <w:rPr>
                <w:szCs w:val="22"/>
              </w:rPr>
            </w:pPr>
            <w:hyperlink r:id="rId48" w:history="1">
              <w:r w:rsidR="00975BD5" w:rsidRPr="000565E1">
                <w:rPr>
                  <w:szCs w:val="22"/>
                </w:rPr>
                <w:t xml:space="preserve">www.ifad.org </w:t>
              </w:r>
            </w:hyperlink>
          </w:p>
        </w:tc>
      </w:tr>
      <w:tr w:rsidR="00975BD5" w:rsidRPr="00975BD5" w14:paraId="0078421E" w14:textId="77777777" w:rsidTr="00975BD5">
        <w:trPr>
          <w:trHeight w:val="300"/>
        </w:trPr>
        <w:tc>
          <w:tcPr>
            <w:tcW w:w="1985" w:type="dxa"/>
            <w:tcBorders>
              <w:top w:val="nil"/>
              <w:left w:val="nil"/>
              <w:bottom w:val="nil"/>
              <w:right w:val="nil"/>
            </w:tcBorders>
            <w:shd w:val="clear" w:color="auto" w:fill="auto"/>
            <w:noWrap/>
            <w:vAlign w:val="bottom"/>
            <w:hideMark/>
          </w:tcPr>
          <w:p w14:paraId="1CFC0D8C" w14:textId="77777777" w:rsidR="00975BD5" w:rsidRPr="00975BD5" w:rsidRDefault="00975BD5" w:rsidP="00975BD5">
            <w:pPr>
              <w:spacing w:after="0"/>
              <w:jc w:val="left"/>
              <w:rPr>
                <w:szCs w:val="22"/>
              </w:rPr>
            </w:pPr>
            <w:r w:rsidRPr="00975BD5">
              <w:rPr>
                <w:szCs w:val="22"/>
              </w:rPr>
              <w:t>FODI</w:t>
            </w:r>
          </w:p>
        </w:tc>
        <w:tc>
          <w:tcPr>
            <w:tcW w:w="7870" w:type="dxa"/>
            <w:tcBorders>
              <w:top w:val="nil"/>
              <w:left w:val="nil"/>
              <w:bottom w:val="nil"/>
              <w:right w:val="nil"/>
            </w:tcBorders>
            <w:shd w:val="clear" w:color="auto" w:fill="auto"/>
            <w:noWrap/>
            <w:vAlign w:val="bottom"/>
            <w:hideMark/>
          </w:tcPr>
          <w:p w14:paraId="0CA06611" w14:textId="77777777" w:rsidR="00975BD5" w:rsidRPr="00975BD5" w:rsidRDefault="00975BD5" w:rsidP="00975BD5">
            <w:pPr>
              <w:spacing w:after="0"/>
              <w:jc w:val="left"/>
              <w:rPr>
                <w:szCs w:val="22"/>
              </w:rPr>
            </w:pPr>
            <w:r w:rsidRPr="00975BD5">
              <w:rPr>
                <w:szCs w:val="22"/>
              </w:rPr>
              <w:t xml:space="preserve">www.ofid.org </w:t>
            </w:r>
          </w:p>
        </w:tc>
      </w:tr>
      <w:tr w:rsidR="0080491D" w:rsidRPr="00975BD5" w14:paraId="44B74FB0" w14:textId="77777777" w:rsidTr="00975BD5">
        <w:trPr>
          <w:trHeight w:val="300"/>
        </w:trPr>
        <w:tc>
          <w:tcPr>
            <w:tcW w:w="1985" w:type="dxa"/>
            <w:tcBorders>
              <w:top w:val="nil"/>
              <w:left w:val="nil"/>
              <w:bottom w:val="nil"/>
              <w:right w:val="nil"/>
            </w:tcBorders>
            <w:shd w:val="clear" w:color="auto" w:fill="auto"/>
            <w:noWrap/>
            <w:vAlign w:val="bottom"/>
          </w:tcPr>
          <w:p w14:paraId="60F4556F" w14:textId="154AF775" w:rsidR="0080491D" w:rsidRDefault="0080491D" w:rsidP="00975BD5">
            <w:pPr>
              <w:spacing w:after="0"/>
              <w:jc w:val="left"/>
              <w:rPr>
                <w:szCs w:val="22"/>
              </w:rPr>
            </w:pPr>
            <w:r>
              <w:rPr>
                <w:szCs w:val="22"/>
              </w:rPr>
              <w:t xml:space="preserve">Fondation </w:t>
            </w:r>
            <w:proofErr w:type="spellStart"/>
            <w:r>
              <w:rPr>
                <w:szCs w:val="22"/>
              </w:rPr>
              <w:t>Aspinall</w:t>
            </w:r>
            <w:proofErr w:type="spellEnd"/>
          </w:p>
        </w:tc>
        <w:tc>
          <w:tcPr>
            <w:tcW w:w="7870" w:type="dxa"/>
            <w:tcBorders>
              <w:top w:val="nil"/>
              <w:left w:val="nil"/>
              <w:bottom w:val="nil"/>
              <w:right w:val="nil"/>
            </w:tcBorders>
            <w:shd w:val="clear" w:color="auto" w:fill="auto"/>
            <w:noWrap/>
            <w:vAlign w:val="bottom"/>
          </w:tcPr>
          <w:p w14:paraId="187E6A0E" w14:textId="7B387266" w:rsidR="0080491D" w:rsidRPr="00F20C44" w:rsidRDefault="0080491D" w:rsidP="00F20C44">
            <w:pPr>
              <w:pStyle w:val="FootnoteText"/>
              <w:rPr>
                <w:sz w:val="22"/>
                <w:szCs w:val="22"/>
              </w:rPr>
            </w:pPr>
            <w:r>
              <w:rPr>
                <w:sz w:val="22"/>
                <w:szCs w:val="22"/>
              </w:rPr>
              <w:t>www.aspinallfoundation.org</w:t>
            </w:r>
          </w:p>
        </w:tc>
      </w:tr>
      <w:tr w:rsidR="00F20C44" w:rsidRPr="00975BD5" w14:paraId="3F06B098" w14:textId="77777777" w:rsidTr="00975BD5">
        <w:trPr>
          <w:trHeight w:val="300"/>
        </w:trPr>
        <w:tc>
          <w:tcPr>
            <w:tcW w:w="1985" w:type="dxa"/>
            <w:tcBorders>
              <w:top w:val="nil"/>
              <w:left w:val="nil"/>
              <w:bottom w:val="nil"/>
              <w:right w:val="nil"/>
            </w:tcBorders>
            <w:shd w:val="clear" w:color="auto" w:fill="auto"/>
            <w:noWrap/>
            <w:vAlign w:val="bottom"/>
          </w:tcPr>
          <w:p w14:paraId="65CFA023" w14:textId="20AA45C3" w:rsidR="00F20C44" w:rsidRPr="00975BD5" w:rsidRDefault="00F20C44" w:rsidP="00975BD5">
            <w:pPr>
              <w:spacing w:after="0"/>
              <w:jc w:val="left"/>
              <w:rPr>
                <w:szCs w:val="22"/>
              </w:rPr>
            </w:pPr>
            <w:r>
              <w:rPr>
                <w:szCs w:val="22"/>
              </w:rPr>
              <w:t>Fondation Gates</w:t>
            </w:r>
          </w:p>
        </w:tc>
        <w:tc>
          <w:tcPr>
            <w:tcW w:w="7870" w:type="dxa"/>
            <w:tcBorders>
              <w:top w:val="nil"/>
              <w:left w:val="nil"/>
              <w:bottom w:val="nil"/>
              <w:right w:val="nil"/>
            </w:tcBorders>
            <w:shd w:val="clear" w:color="auto" w:fill="auto"/>
            <w:noWrap/>
            <w:vAlign w:val="bottom"/>
          </w:tcPr>
          <w:p w14:paraId="693F5E04" w14:textId="5CA9AF87" w:rsidR="00F20C44" w:rsidRPr="00F20C44" w:rsidRDefault="00F20C44" w:rsidP="00F20C44">
            <w:pPr>
              <w:pStyle w:val="FootnoteText"/>
              <w:rPr>
                <w:sz w:val="22"/>
                <w:szCs w:val="22"/>
              </w:rPr>
            </w:pPr>
            <w:r w:rsidRPr="00F20C44">
              <w:rPr>
                <w:sz w:val="22"/>
                <w:szCs w:val="22"/>
              </w:rPr>
              <w:t>www.gatesfoundation.org</w:t>
            </w:r>
          </w:p>
        </w:tc>
      </w:tr>
      <w:tr w:rsidR="0080491D" w:rsidRPr="00975BD5" w14:paraId="258F9FCE" w14:textId="77777777" w:rsidTr="00975BD5">
        <w:trPr>
          <w:trHeight w:val="300"/>
        </w:trPr>
        <w:tc>
          <w:tcPr>
            <w:tcW w:w="1985" w:type="dxa"/>
            <w:tcBorders>
              <w:top w:val="nil"/>
              <w:left w:val="nil"/>
              <w:bottom w:val="nil"/>
              <w:right w:val="nil"/>
            </w:tcBorders>
            <w:shd w:val="clear" w:color="auto" w:fill="auto"/>
            <w:noWrap/>
            <w:vAlign w:val="bottom"/>
          </w:tcPr>
          <w:p w14:paraId="5627C62F" w14:textId="474DC02C" w:rsidR="0080491D" w:rsidRDefault="0080491D" w:rsidP="00975BD5">
            <w:pPr>
              <w:spacing w:after="0"/>
              <w:jc w:val="left"/>
              <w:rPr>
                <w:szCs w:val="22"/>
              </w:rPr>
            </w:pPr>
            <w:r>
              <w:rPr>
                <w:szCs w:val="22"/>
              </w:rPr>
              <w:t>Fondation Goodall</w:t>
            </w:r>
          </w:p>
        </w:tc>
        <w:tc>
          <w:tcPr>
            <w:tcW w:w="7870" w:type="dxa"/>
            <w:tcBorders>
              <w:top w:val="nil"/>
              <w:left w:val="nil"/>
              <w:bottom w:val="nil"/>
              <w:right w:val="nil"/>
            </w:tcBorders>
            <w:shd w:val="clear" w:color="auto" w:fill="auto"/>
            <w:noWrap/>
            <w:vAlign w:val="bottom"/>
          </w:tcPr>
          <w:p w14:paraId="4EEAECEA" w14:textId="472A92C7" w:rsidR="0080491D" w:rsidRPr="00F20C44" w:rsidRDefault="0080491D" w:rsidP="00F20C44">
            <w:pPr>
              <w:pStyle w:val="FootnoteText"/>
              <w:rPr>
                <w:sz w:val="22"/>
                <w:szCs w:val="22"/>
              </w:rPr>
            </w:pPr>
            <w:r w:rsidRPr="0080491D">
              <w:rPr>
                <w:sz w:val="22"/>
              </w:rPr>
              <w:t>http://janegoodall.fr/</w:t>
            </w:r>
          </w:p>
        </w:tc>
      </w:tr>
      <w:tr w:rsidR="00F20C44" w:rsidRPr="00975BD5" w14:paraId="17974121" w14:textId="77777777" w:rsidTr="00975BD5">
        <w:trPr>
          <w:trHeight w:val="300"/>
        </w:trPr>
        <w:tc>
          <w:tcPr>
            <w:tcW w:w="1985" w:type="dxa"/>
            <w:tcBorders>
              <w:top w:val="nil"/>
              <w:left w:val="nil"/>
              <w:bottom w:val="nil"/>
              <w:right w:val="nil"/>
            </w:tcBorders>
            <w:shd w:val="clear" w:color="auto" w:fill="auto"/>
            <w:noWrap/>
            <w:vAlign w:val="bottom"/>
          </w:tcPr>
          <w:p w14:paraId="7EB19BB2" w14:textId="3F431B36" w:rsidR="00F20C44" w:rsidRPr="00975BD5" w:rsidRDefault="00F20C44" w:rsidP="00975BD5">
            <w:pPr>
              <w:spacing w:after="0"/>
              <w:jc w:val="left"/>
              <w:rPr>
                <w:szCs w:val="22"/>
              </w:rPr>
            </w:pPr>
            <w:r>
              <w:rPr>
                <w:szCs w:val="22"/>
              </w:rPr>
              <w:t>Fondation Mc Arthur</w:t>
            </w:r>
          </w:p>
        </w:tc>
        <w:tc>
          <w:tcPr>
            <w:tcW w:w="7870" w:type="dxa"/>
            <w:tcBorders>
              <w:top w:val="nil"/>
              <w:left w:val="nil"/>
              <w:bottom w:val="nil"/>
              <w:right w:val="nil"/>
            </w:tcBorders>
            <w:shd w:val="clear" w:color="auto" w:fill="auto"/>
            <w:noWrap/>
            <w:vAlign w:val="bottom"/>
          </w:tcPr>
          <w:p w14:paraId="7EAEEBC1" w14:textId="03642205" w:rsidR="00F20C44" w:rsidRPr="00F20C44" w:rsidRDefault="00F20C44" w:rsidP="00975BD5">
            <w:pPr>
              <w:spacing w:after="0"/>
              <w:jc w:val="left"/>
              <w:rPr>
                <w:szCs w:val="22"/>
              </w:rPr>
            </w:pPr>
            <w:r w:rsidRPr="00F20C44">
              <w:rPr>
                <w:szCs w:val="22"/>
              </w:rPr>
              <w:t>www.macfound.org</w:t>
            </w:r>
          </w:p>
        </w:tc>
      </w:tr>
      <w:tr w:rsidR="00BF47A5" w:rsidRPr="00975BD5" w14:paraId="1C0E676B" w14:textId="77777777" w:rsidTr="00975BD5">
        <w:trPr>
          <w:trHeight w:val="300"/>
        </w:trPr>
        <w:tc>
          <w:tcPr>
            <w:tcW w:w="1985" w:type="dxa"/>
            <w:tcBorders>
              <w:top w:val="nil"/>
              <w:left w:val="nil"/>
              <w:bottom w:val="nil"/>
              <w:right w:val="nil"/>
            </w:tcBorders>
            <w:shd w:val="clear" w:color="auto" w:fill="auto"/>
            <w:noWrap/>
            <w:vAlign w:val="bottom"/>
          </w:tcPr>
          <w:p w14:paraId="52B553E0" w14:textId="6FA247A3" w:rsidR="00BF47A5" w:rsidRDefault="00BF47A5" w:rsidP="00975BD5">
            <w:pPr>
              <w:spacing w:after="0"/>
              <w:jc w:val="left"/>
              <w:rPr>
                <w:szCs w:val="22"/>
              </w:rPr>
            </w:pPr>
            <w:r>
              <w:rPr>
                <w:szCs w:val="22"/>
              </w:rPr>
              <w:t>Fondation Moore</w:t>
            </w:r>
          </w:p>
        </w:tc>
        <w:tc>
          <w:tcPr>
            <w:tcW w:w="7870" w:type="dxa"/>
            <w:tcBorders>
              <w:top w:val="nil"/>
              <w:left w:val="nil"/>
              <w:bottom w:val="nil"/>
              <w:right w:val="nil"/>
            </w:tcBorders>
            <w:shd w:val="clear" w:color="auto" w:fill="auto"/>
            <w:noWrap/>
            <w:vAlign w:val="bottom"/>
          </w:tcPr>
          <w:p w14:paraId="115F9CC8" w14:textId="74256DB3" w:rsidR="00BF47A5" w:rsidRPr="00F20C44" w:rsidRDefault="00BF47A5" w:rsidP="00975BD5">
            <w:pPr>
              <w:spacing w:after="0"/>
              <w:jc w:val="left"/>
              <w:rPr>
                <w:szCs w:val="22"/>
              </w:rPr>
            </w:pPr>
            <w:r>
              <w:rPr>
                <w:szCs w:val="22"/>
              </w:rPr>
              <w:t>www.moore.org</w:t>
            </w:r>
          </w:p>
        </w:tc>
      </w:tr>
      <w:tr w:rsidR="00975BD5" w:rsidRPr="00975BD5" w14:paraId="2DEE0424" w14:textId="77777777" w:rsidTr="00975BD5">
        <w:trPr>
          <w:trHeight w:val="300"/>
        </w:trPr>
        <w:tc>
          <w:tcPr>
            <w:tcW w:w="1985" w:type="dxa"/>
            <w:tcBorders>
              <w:top w:val="nil"/>
              <w:left w:val="nil"/>
              <w:bottom w:val="nil"/>
              <w:right w:val="nil"/>
            </w:tcBorders>
            <w:shd w:val="clear" w:color="auto" w:fill="auto"/>
            <w:noWrap/>
            <w:vAlign w:val="bottom"/>
            <w:hideMark/>
          </w:tcPr>
          <w:p w14:paraId="208D2542" w14:textId="77777777" w:rsidR="00975BD5" w:rsidRPr="00975BD5" w:rsidRDefault="00975BD5" w:rsidP="00975BD5">
            <w:pPr>
              <w:spacing w:after="0"/>
              <w:jc w:val="left"/>
              <w:rPr>
                <w:szCs w:val="22"/>
              </w:rPr>
            </w:pPr>
            <w:r w:rsidRPr="00975BD5">
              <w:rPr>
                <w:szCs w:val="22"/>
              </w:rPr>
              <w:t>FTNS</w:t>
            </w:r>
          </w:p>
        </w:tc>
        <w:tc>
          <w:tcPr>
            <w:tcW w:w="7870" w:type="dxa"/>
            <w:tcBorders>
              <w:top w:val="nil"/>
              <w:left w:val="nil"/>
              <w:bottom w:val="nil"/>
              <w:right w:val="nil"/>
            </w:tcBorders>
            <w:shd w:val="clear" w:color="auto" w:fill="auto"/>
            <w:noWrap/>
            <w:vAlign w:val="bottom"/>
            <w:hideMark/>
          </w:tcPr>
          <w:p w14:paraId="61DB1CD5" w14:textId="77777777" w:rsidR="00975BD5" w:rsidRPr="00975BD5" w:rsidRDefault="00975BD5" w:rsidP="00975BD5">
            <w:pPr>
              <w:spacing w:after="0"/>
              <w:jc w:val="left"/>
              <w:rPr>
                <w:szCs w:val="22"/>
              </w:rPr>
            </w:pPr>
            <w:r w:rsidRPr="00975BD5">
              <w:rPr>
                <w:szCs w:val="22"/>
              </w:rPr>
              <w:t>www.fondationtns.org</w:t>
            </w:r>
          </w:p>
        </w:tc>
      </w:tr>
      <w:tr w:rsidR="00975BD5" w:rsidRPr="00975BD5" w14:paraId="5B1097F2" w14:textId="77777777" w:rsidTr="00975BD5">
        <w:trPr>
          <w:trHeight w:val="300"/>
        </w:trPr>
        <w:tc>
          <w:tcPr>
            <w:tcW w:w="1985" w:type="dxa"/>
            <w:tcBorders>
              <w:top w:val="nil"/>
              <w:left w:val="nil"/>
              <w:bottom w:val="nil"/>
              <w:right w:val="nil"/>
            </w:tcBorders>
            <w:shd w:val="clear" w:color="auto" w:fill="auto"/>
            <w:noWrap/>
            <w:vAlign w:val="bottom"/>
            <w:hideMark/>
          </w:tcPr>
          <w:p w14:paraId="1F219253" w14:textId="77777777" w:rsidR="00975BD5" w:rsidRPr="00975BD5" w:rsidRDefault="00975BD5" w:rsidP="00975BD5">
            <w:pPr>
              <w:spacing w:after="0"/>
              <w:jc w:val="left"/>
              <w:rPr>
                <w:szCs w:val="22"/>
              </w:rPr>
            </w:pPr>
            <w:r w:rsidRPr="00975BD5">
              <w:rPr>
                <w:szCs w:val="22"/>
              </w:rPr>
              <w:t>FVC</w:t>
            </w:r>
          </w:p>
        </w:tc>
        <w:tc>
          <w:tcPr>
            <w:tcW w:w="7870" w:type="dxa"/>
            <w:tcBorders>
              <w:top w:val="nil"/>
              <w:left w:val="nil"/>
              <w:bottom w:val="nil"/>
              <w:right w:val="nil"/>
            </w:tcBorders>
            <w:shd w:val="clear" w:color="auto" w:fill="auto"/>
            <w:noWrap/>
            <w:vAlign w:val="bottom"/>
            <w:hideMark/>
          </w:tcPr>
          <w:p w14:paraId="65F74B4C" w14:textId="77777777" w:rsidR="00975BD5" w:rsidRPr="00975BD5" w:rsidRDefault="00D36020" w:rsidP="00975BD5">
            <w:pPr>
              <w:spacing w:after="0"/>
              <w:jc w:val="left"/>
              <w:rPr>
                <w:szCs w:val="22"/>
              </w:rPr>
            </w:pPr>
            <w:hyperlink r:id="rId49" w:history="1">
              <w:r w:rsidR="00975BD5" w:rsidRPr="000565E1">
                <w:rPr>
                  <w:szCs w:val="22"/>
                </w:rPr>
                <w:t>www.greenclimate.fund</w:t>
              </w:r>
            </w:hyperlink>
          </w:p>
        </w:tc>
      </w:tr>
      <w:tr w:rsidR="00975BD5" w:rsidRPr="00975BD5" w14:paraId="2FE97C43" w14:textId="77777777" w:rsidTr="00975BD5">
        <w:trPr>
          <w:trHeight w:val="300"/>
        </w:trPr>
        <w:tc>
          <w:tcPr>
            <w:tcW w:w="1985" w:type="dxa"/>
            <w:tcBorders>
              <w:top w:val="nil"/>
              <w:left w:val="nil"/>
              <w:bottom w:val="nil"/>
              <w:right w:val="nil"/>
            </w:tcBorders>
            <w:shd w:val="clear" w:color="auto" w:fill="auto"/>
            <w:noWrap/>
            <w:vAlign w:val="bottom"/>
            <w:hideMark/>
          </w:tcPr>
          <w:p w14:paraId="26A209FD" w14:textId="77777777" w:rsidR="00975BD5" w:rsidRPr="00975BD5" w:rsidRDefault="00975BD5" w:rsidP="00975BD5">
            <w:pPr>
              <w:spacing w:after="0"/>
              <w:jc w:val="left"/>
              <w:rPr>
                <w:szCs w:val="22"/>
              </w:rPr>
            </w:pPr>
            <w:r w:rsidRPr="00975BD5">
              <w:rPr>
                <w:szCs w:val="22"/>
              </w:rPr>
              <w:t>GCPF</w:t>
            </w:r>
          </w:p>
        </w:tc>
        <w:tc>
          <w:tcPr>
            <w:tcW w:w="7870" w:type="dxa"/>
            <w:tcBorders>
              <w:top w:val="nil"/>
              <w:left w:val="nil"/>
              <w:bottom w:val="nil"/>
              <w:right w:val="nil"/>
            </w:tcBorders>
            <w:shd w:val="clear" w:color="auto" w:fill="auto"/>
            <w:noWrap/>
            <w:vAlign w:val="bottom"/>
            <w:hideMark/>
          </w:tcPr>
          <w:p w14:paraId="3165F80B" w14:textId="77777777" w:rsidR="00975BD5" w:rsidRPr="00975BD5" w:rsidRDefault="00975BD5" w:rsidP="00975BD5">
            <w:pPr>
              <w:spacing w:after="0"/>
              <w:jc w:val="left"/>
              <w:rPr>
                <w:szCs w:val="22"/>
              </w:rPr>
            </w:pPr>
            <w:r w:rsidRPr="00975BD5">
              <w:rPr>
                <w:szCs w:val="22"/>
              </w:rPr>
              <w:t>gcpf.lu</w:t>
            </w:r>
          </w:p>
        </w:tc>
      </w:tr>
      <w:tr w:rsidR="00975BD5" w:rsidRPr="00975BD5" w14:paraId="340B182A" w14:textId="77777777" w:rsidTr="00975BD5">
        <w:trPr>
          <w:trHeight w:val="300"/>
        </w:trPr>
        <w:tc>
          <w:tcPr>
            <w:tcW w:w="1985" w:type="dxa"/>
            <w:tcBorders>
              <w:top w:val="nil"/>
              <w:left w:val="nil"/>
              <w:bottom w:val="nil"/>
              <w:right w:val="nil"/>
            </w:tcBorders>
            <w:shd w:val="clear" w:color="auto" w:fill="auto"/>
            <w:noWrap/>
            <w:vAlign w:val="bottom"/>
            <w:hideMark/>
          </w:tcPr>
          <w:p w14:paraId="2B50EE02" w14:textId="77777777" w:rsidR="00975BD5" w:rsidRPr="00975BD5" w:rsidRDefault="00975BD5" w:rsidP="00975BD5">
            <w:pPr>
              <w:spacing w:after="0"/>
              <w:jc w:val="left"/>
              <w:rPr>
                <w:szCs w:val="22"/>
              </w:rPr>
            </w:pPr>
            <w:r w:rsidRPr="00975BD5">
              <w:rPr>
                <w:szCs w:val="22"/>
              </w:rPr>
              <w:t>IFC</w:t>
            </w:r>
          </w:p>
        </w:tc>
        <w:tc>
          <w:tcPr>
            <w:tcW w:w="7870" w:type="dxa"/>
            <w:tcBorders>
              <w:top w:val="nil"/>
              <w:left w:val="nil"/>
              <w:bottom w:val="nil"/>
              <w:right w:val="nil"/>
            </w:tcBorders>
            <w:shd w:val="clear" w:color="auto" w:fill="auto"/>
            <w:noWrap/>
            <w:vAlign w:val="bottom"/>
            <w:hideMark/>
          </w:tcPr>
          <w:p w14:paraId="5AC78A22" w14:textId="77777777" w:rsidR="00975BD5" w:rsidRPr="00975BD5" w:rsidRDefault="00D36020" w:rsidP="00975BD5">
            <w:pPr>
              <w:spacing w:after="0"/>
              <w:jc w:val="left"/>
              <w:rPr>
                <w:szCs w:val="22"/>
              </w:rPr>
            </w:pPr>
            <w:hyperlink r:id="rId50" w:history="1">
              <w:r w:rsidR="00975BD5" w:rsidRPr="000565E1">
                <w:rPr>
                  <w:szCs w:val="22"/>
                </w:rPr>
                <w:t>www.ifc.org</w:t>
              </w:r>
            </w:hyperlink>
          </w:p>
        </w:tc>
      </w:tr>
      <w:tr w:rsidR="00975BD5" w:rsidRPr="00975BD5" w14:paraId="215A834E" w14:textId="77777777" w:rsidTr="00975BD5">
        <w:trPr>
          <w:trHeight w:val="300"/>
        </w:trPr>
        <w:tc>
          <w:tcPr>
            <w:tcW w:w="1985" w:type="dxa"/>
            <w:tcBorders>
              <w:top w:val="nil"/>
              <w:left w:val="nil"/>
              <w:bottom w:val="nil"/>
              <w:right w:val="nil"/>
            </w:tcBorders>
            <w:shd w:val="clear" w:color="auto" w:fill="auto"/>
            <w:noWrap/>
            <w:vAlign w:val="bottom"/>
            <w:hideMark/>
          </w:tcPr>
          <w:p w14:paraId="28AAC69F" w14:textId="77777777" w:rsidR="00975BD5" w:rsidRPr="00975BD5" w:rsidRDefault="00975BD5" w:rsidP="00975BD5">
            <w:pPr>
              <w:spacing w:after="0"/>
              <w:jc w:val="left"/>
              <w:rPr>
                <w:szCs w:val="22"/>
              </w:rPr>
            </w:pPr>
            <w:r w:rsidRPr="00975BD5">
              <w:rPr>
                <w:szCs w:val="22"/>
              </w:rPr>
              <w:t>JICA</w:t>
            </w:r>
          </w:p>
        </w:tc>
        <w:tc>
          <w:tcPr>
            <w:tcW w:w="7870" w:type="dxa"/>
            <w:tcBorders>
              <w:top w:val="nil"/>
              <w:left w:val="nil"/>
              <w:bottom w:val="nil"/>
              <w:right w:val="nil"/>
            </w:tcBorders>
            <w:shd w:val="clear" w:color="auto" w:fill="auto"/>
            <w:noWrap/>
            <w:vAlign w:val="bottom"/>
            <w:hideMark/>
          </w:tcPr>
          <w:p w14:paraId="3A92808D" w14:textId="77777777" w:rsidR="00975BD5" w:rsidRPr="00975BD5" w:rsidRDefault="00D36020" w:rsidP="00975BD5">
            <w:pPr>
              <w:spacing w:after="0"/>
              <w:jc w:val="left"/>
              <w:rPr>
                <w:szCs w:val="22"/>
              </w:rPr>
            </w:pPr>
            <w:hyperlink r:id="rId51" w:history="1">
              <w:r w:rsidR="00975BD5" w:rsidRPr="000565E1">
                <w:rPr>
                  <w:szCs w:val="22"/>
                </w:rPr>
                <w:t>www.jica.go.jp</w:t>
              </w:r>
            </w:hyperlink>
          </w:p>
        </w:tc>
      </w:tr>
      <w:tr w:rsidR="00975BD5" w:rsidRPr="00975BD5" w14:paraId="46109938" w14:textId="77777777" w:rsidTr="00975BD5">
        <w:trPr>
          <w:trHeight w:val="300"/>
        </w:trPr>
        <w:tc>
          <w:tcPr>
            <w:tcW w:w="1985" w:type="dxa"/>
            <w:tcBorders>
              <w:top w:val="nil"/>
              <w:left w:val="nil"/>
              <w:bottom w:val="nil"/>
              <w:right w:val="nil"/>
            </w:tcBorders>
            <w:shd w:val="clear" w:color="auto" w:fill="auto"/>
            <w:noWrap/>
            <w:vAlign w:val="bottom"/>
            <w:hideMark/>
          </w:tcPr>
          <w:p w14:paraId="286C1843" w14:textId="77777777" w:rsidR="00975BD5" w:rsidRPr="00975BD5" w:rsidRDefault="00975BD5" w:rsidP="00975BD5">
            <w:pPr>
              <w:spacing w:after="0"/>
              <w:jc w:val="left"/>
              <w:rPr>
                <w:szCs w:val="22"/>
              </w:rPr>
            </w:pPr>
            <w:r w:rsidRPr="00975BD5">
              <w:rPr>
                <w:szCs w:val="22"/>
              </w:rPr>
              <w:t>MUCODEC</w:t>
            </w:r>
          </w:p>
        </w:tc>
        <w:tc>
          <w:tcPr>
            <w:tcW w:w="7870" w:type="dxa"/>
            <w:tcBorders>
              <w:top w:val="nil"/>
              <w:left w:val="nil"/>
              <w:bottom w:val="nil"/>
              <w:right w:val="nil"/>
            </w:tcBorders>
            <w:shd w:val="clear" w:color="auto" w:fill="auto"/>
            <w:noWrap/>
            <w:vAlign w:val="bottom"/>
            <w:hideMark/>
          </w:tcPr>
          <w:p w14:paraId="55EB7C69" w14:textId="77777777" w:rsidR="00975BD5" w:rsidRPr="00975BD5" w:rsidRDefault="00D36020" w:rsidP="00975BD5">
            <w:pPr>
              <w:spacing w:after="0"/>
              <w:jc w:val="left"/>
              <w:rPr>
                <w:szCs w:val="22"/>
              </w:rPr>
            </w:pPr>
            <w:hyperlink r:id="rId52" w:history="1">
              <w:r w:rsidR="00975BD5" w:rsidRPr="000565E1">
                <w:rPr>
                  <w:szCs w:val="22"/>
                </w:rPr>
                <w:t>mucodec.com</w:t>
              </w:r>
            </w:hyperlink>
          </w:p>
        </w:tc>
      </w:tr>
      <w:tr w:rsidR="00975BD5" w:rsidRPr="00975BD5" w14:paraId="03E09DCD" w14:textId="77777777" w:rsidTr="00975BD5">
        <w:trPr>
          <w:trHeight w:val="300"/>
        </w:trPr>
        <w:tc>
          <w:tcPr>
            <w:tcW w:w="1985" w:type="dxa"/>
            <w:tcBorders>
              <w:top w:val="nil"/>
              <w:left w:val="nil"/>
              <w:bottom w:val="nil"/>
              <w:right w:val="nil"/>
            </w:tcBorders>
            <w:shd w:val="clear" w:color="auto" w:fill="auto"/>
            <w:noWrap/>
            <w:vAlign w:val="bottom"/>
            <w:hideMark/>
          </w:tcPr>
          <w:p w14:paraId="05D2C15B" w14:textId="77777777" w:rsidR="00975BD5" w:rsidRPr="00975BD5" w:rsidRDefault="00975BD5" w:rsidP="00975BD5">
            <w:pPr>
              <w:spacing w:after="0"/>
              <w:jc w:val="left"/>
              <w:rPr>
                <w:szCs w:val="22"/>
              </w:rPr>
            </w:pPr>
            <w:r w:rsidRPr="00975BD5">
              <w:rPr>
                <w:szCs w:val="22"/>
              </w:rPr>
              <w:t xml:space="preserve">NAMA </w:t>
            </w:r>
            <w:proofErr w:type="spellStart"/>
            <w:r w:rsidRPr="00975BD5">
              <w:rPr>
                <w:szCs w:val="22"/>
              </w:rPr>
              <w:t>facility</w:t>
            </w:r>
            <w:proofErr w:type="spellEnd"/>
          </w:p>
        </w:tc>
        <w:tc>
          <w:tcPr>
            <w:tcW w:w="7870" w:type="dxa"/>
            <w:tcBorders>
              <w:top w:val="nil"/>
              <w:left w:val="nil"/>
              <w:bottom w:val="nil"/>
              <w:right w:val="nil"/>
            </w:tcBorders>
            <w:shd w:val="clear" w:color="auto" w:fill="auto"/>
            <w:noWrap/>
            <w:vAlign w:val="bottom"/>
            <w:hideMark/>
          </w:tcPr>
          <w:p w14:paraId="01506288" w14:textId="77777777" w:rsidR="00975BD5" w:rsidRPr="00975BD5" w:rsidRDefault="00975BD5" w:rsidP="00975BD5">
            <w:pPr>
              <w:spacing w:after="0"/>
              <w:jc w:val="left"/>
              <w:rPr>
                <w:szCs w:val="22"/>
              </w:rPr>
            </w:pPr>
            <w:r w:rsidRPr="00975BD5">
              <w:rPr>
                <w:szCs w:val="22"/>
              </w:rPr>
              <w:t>www.nama-facility.org</w:t>
            </w:r>
          </w:p>
        </w:tc>
      </w:tr>
      <w:tr w:rsidR="00975BD5" w:rsidRPr="00975BD5" w14:paraId="4038D5F7" w14:textId="77777777" w:rsidTr="00975BD5">
        <w:trPr>
          <w:trHeight w:val="300"/>
        </w:trPr>
        <w:tc>
          <w:tcPr>
            <w:tcW w:w="1985" w:type="dxa"/>
            <w:tcBorders>
              <w:top w:val="nil"/>
              <w:left w:val="nil"/>
              <w:bottom w:val="nil"/>
              <w:right w:val="nil"/>
            </w:tcBorders>
            <w:shd w:val="clear" w:color="auto" w:fill="auto"/>
            <w:noWrap/>
            <w:vAlign w:val="center"/>
            <w:hideMark/>
          </w:tcPr>
          <w:p w14:paraId="5B128342" w14:textId="77777777" w:rsidR="00975BD5" w:rsidRPr="00975BD5" w:rsidRDefault="00975BD5" w:rsidP="00975BD5">
            <w:pPr>
              <w:spacing w:after="0"/>
              <w:jc w:val="left"/>
              <w:rPr>
                <w:szCs w:val="22"/>
              </w:rPr>
            </w:pPr>
            <w:r w:rsidRPr="00975BD5">
              <w:rPr>
                <w:szCs w:val="22"/>
              </w:rPr>
              <w:t>NICFI</w:t>
            </w:r>
          </w:p>
        </w:tc>
        <w:tc>
          <w:tcPr>
            <w:tcW w:w="7870" w:type="dxa"/>
            <w:tcBorders>
              <w:top w:val="nil"/>
              <w:left w:val="nil"/>
              <w:bottom w:val="nil"/>
              <w:right w:val="nil"/>
            </w:tcBorders>
            <w:shd w:val="clear" w:color="auto" w:fill="auto"/>
            <w:noWrap/>
            <w:vAlign w:val="bottom"/>
            <w:hideMark/>
          </w:tcPr>
          <w:p w14:paraId="704272BE" w14:textId="77777777" w:rsidR="00975BD5" w:rsidRPr="00975BD5" w:rsidRDefault="00975BD5" w:rsidP="00975BD5">
            <w:pPr>
              <w:spacing w:after="0"/>
              <w:jc w:val="left"/>
              <w:rPr>
                <w:szCs w:val="22"/>
              </w:rPr>
            </w:pPr>
            <w:r w:rsidRPr="00975BD5">
              <w:rPr>
                <w:szCs w:val="22"/>
              </w:rPr>
              <w:t>www.regjeringen.no/en/topics/climate-and-environment/climate/climate-and-forest-initiative/id2000712/</w:t>
            </w:r>
          </w:p>
        </w:tc>
      </w:tr>
      <w:tr w:rsidR="00975BD5" w:rsidRPr="00975BD5" w14:paraId="1E665BA1" w14:textId="77777777" w:rsidTr="00975BD5">
        <w:trPr>
          <w:trHeight w:val="300"/>
        </w:trPr>
        <w:tc>
          <w:tcPr>
            <w:tcW w:w="1985" w:type="dxa"/>
            <w:tcBorders>
              <w:top w:val="nil"/>
              <w:left w:val="nil"/>
              <w:bottom w:val="nil"/>
              <w:right w:val="nil"/>
            </w:tcBorders>
            <w:shd w:val="clear" w:color="auto" w:fill="auto"/>
            <w:noWrap/>
            <w:vAlign w:val="bottom"/>
            <w:hideMark/>
          </w:tcPr>
          <w:p w14:paraId="5F7530C8" w14:textId="77777777" w:rsidR="00975BD5" w:rsidRPr="00975BD5" w:rsidRDefault="00975BD5" w:rsidP="00975BD5">
            <w:pPr>
              <w:spacing w:after="0"/>
              <w:jc w:val="left"/>
              <w:rPr>
                <w:szCs w:val="22"/>
              </w:rPr>
            </w:pPr>
            <w:r w:rsidRPr="00975BD5">
              <w:rPr>
                <w:szCs w:val="22"/>
              </w:rPr>
              <w:t>NORAD</w:t>
            </w:r>
          </w:p>
        </w:tc>
        <w:tc>
          <w:tcPr>
            <w:tcW w:w="7870" w:type="dxa"/>
            <w:tcBorders>
              <w:top w:val="nil"/>
              <w:left w:val="nil"/>
              <w:bottom w:val="nil"/>
              <w:right w:val="nil"/>
            </w:tcBorders>
            <w:shd w:val="clear" w:color="auto" w:fill="auto"/>
            <w:noWrap/>
            <w:vAlign w:val="bottom"/>
            <w:hideMark/>
          </w:tcPr>
          <w:p w14:paraId="2DDD5082" w14:textId="77777777" w:rsidR="00975BD5" w:rsidRPr="00975BD5" w:rsidRDefault="00D36020" w:rsidP="00975BD5">
            <w:pPr>
              <w:spacing w:after="0"/>
              <w:jc w:val="left"/>
              <w:rPr>
                <w:szCs w:val="22"/>
              </w:rPr>
            </w:pPr>
            <w:hyperlink r:id="rId53" w:history="1">
              <w:r w:rsidR="00975BD5" w:rsidRPr="000565E1">
                <w:rPr>
                  <w:szCs w:val="22"/>
                </w:rPr>
                <w:t>www.norad.no</w:t>
              </w:r>
            </w:hyperlink>
          </w:p>
        </w:tc>
      </w:tr>
      <w:tr w:rsidR="00975BD5" w:rsidRPr="00975BD5" w14:paraId="4F8F2372" w14:textId="77777777" w:rsidTr="00975BD5">
        <w:trPr>
          <w:trHeight w:val="300"/>
        </w:trPr>
        <w:tc>
          <w:tcPr>
            <w:tcW w:w="1985" w:type="dxa"/>
            <w:tcBorders>
              <w:top w:val="nil"/>
              <w:left w:val="nil"/>
              <w:bottom w:val="nil"/>
              <w:right w:val="nil"/>
            </w:tcBorders>
            <w:shd w:val="clear" w:color="auto" w:fill="auto"/>
            <w:noWrap/>
            <w:vAlign w:val="bottom"/>
            <w:hideMark/>
          </w:tcPr>
          <w:p w14:paraId="240CA816" w14:textId="77777777" w:rsidR="00975BD5" w:rsidRPr="00975BD5" w:rsidRDefault="00975BD5" w:rsidP="00975BD5">
            <w:pPr>
              <w:spacing w:after="0"/>
              <w:jc w:val="left"/>
              <w:rPr>
                <w:szCs w:val="22"/>
              </w:rPr>
            </w:pPr>
            <w:r w:rsidRPr="00975BD5">
              <w:rPr>
                <w:szCs w:val="22"/>
              </w:rPr>
              <w:t>OCDE</w:t>
            </w:r>
          </w:p>
        </w:tc>
        <w:tc>
          <w:tcPr>
            <w:tcW w:w="7870" w:type="dxa"/>
            <w:tcBorders>
              <w:top w:val="nil"/>
              <w:left w:val="nil"/>
              <w:bottom w:val="nil"/>
              <w:right w:val="nil"/>
            </w:tcBorders>
            <w:shd w:val="clear" w:color="auto" w:fill="auto"/>
            <w:noWrap/>
            <w:vAlign w:val="bottom"/>
            <w:hideMark/>
          </w:tcPr>
          <w:p w14:paraId="14991389" w14:textId="77777777" w:rsidR="00975BD5" w:rsidRPr="00975BD5" w:rsidRDefault="00975BD5" w:rsidP="00975BD5">
            <w:pPr>
              <w:spacing w:after="0"/>
              <w:jc w:val="left"/>
              <w:rPr>
                <w:szCs w:val="22"/>
              </w:rPr>
            </w:pPr>
            <w:r w:rsidRPr="00975BD5">
              <w:rPr>
                <w:szCs w:val="22"/>
              </w:rPr>
              <w:t xml:space="preserve">www.oecd.org </w:t>
            </w:r>
          </w:p>
        </w:tc>
      </w:tr>
      <w:tr w:rsidR="00975BD5" w:rsidRPr="00975BD5" w14:paraId="196C2214" w14:textId="77777777" w:rsidTr="00975BD5">
        <w:trPr>
          <w:trHeight w:val="300"/>
        </w:trPr>
        <w:tc>
          <w:tcPr>
            <w:tcW w:w="1985" w:type="dxa"/>
            <w:tcBorders>
              <w:top w:val="nil"/>
              <w:left w:val="nil"/>
              <w:bottom w:val="nil"/>
              <w:right w:val="nil"/>
            </w:tcBorders>
            <w:shd w:val="clear" w:color="auto" w:fill="auto"/>
            <w:noWrap/>
            <w:vAlign w:val="bottom"/>
            <w:hideMark/>
          </w:tcPr>
          <w:p w14:paraId="414F9A7D" w14:textId="77777777" w:rsidR="00975BD5" w:rsidRPr="00975BD5" w:rsidRDefault="00975BD5" w:rsidP="00975BD5">
            <w:pPr>
              <w:spacing w:after="0"/>
              <w:jc w:val="left"/>
              <w:rPr>
                <w:szCs w:val="22"/>
              </w:rPr>
            </w:pPr>
            <w:r w:rsidRPr="00975BD5">
              <w:rPr>
                <w:szCs w:val="22"/>
              </w:rPr>
              <w:t>OPIC</w:t>
            </w:r>
          </w:p>
        </w:tc>
        <w:tc>
          <w:tcPr>
            <w:tcW w:w="7870" w:type="dxa"/>
            <w:tcBorders>
              <w:top w:val="nil"/>
              <w:left w:val="nil"/>
              <w:bottom w:val="nil"/>
              <w:right w:val="nil"/>
            </w:tcBorders>
            <w:shd w:val="clear" w:color="auto" w:fill="auto"/>
            <w:noWrap/>
            <w:vAlign w:val="bottom"/>
            <w:hideMark/>
          </w:tcPr>
          <w:p w14:paraId="25E69197" w14:textId="77777777" w:rsidR="00975BD5" w:rsidRPr="00975BD5" w:rsidRDefault="00D36020" w:rsidP="00975BD5">
            <w:pPr>
              <w:spacing w:after="0"/>
              <w:jc w:val="left"/>
              <w:rPr>
                <w:szCs w:val="22"/>
              </w:rPr>
            </w:pPr>
            <w:hyperlink r:id="rId54" w:history="1">
              <w:r w:rsidR="00975BD5" w:rsidRPr="000565E1">
                <w:rPr>
                  <w:szCs w:val="22"/>
                </w:rPr>
                <w:t>www.opic.gov</w:t>
              </w:r>
            </w:hyperlink>
          </w:p>
        </w:tc>
      </w:tr>
      <w:tr w:rsidR="00975BD5" w:rsidRPr="00975BD5" w14:paraId="6CA792DE" w14:textId="77777777" w:rsidTr="00975BD5">
        <w:trPr>
          <w:trHeight w:val="300"/>
        </w:trPr>
        <w:tc>
          <w:tcPr>
            <w:tcW w:w="1985" w:type="dxa"/>
            <w:tcBorders>
              <w:top w:val="nil"/>
              <w:left w:val="nil"/>
              <w:bottom w:val="nil"/>
              <w:right w:val="nil"/>
            </w:tcBorders>
            <w:shd w:val="clear" w:color="auto" w:fill="auto"/>
            <w:noWrap/>
            <w:vAlign w:val="bottom"/>
            <w:hideMark/>
          </w:tcPr>
          <w:p w14:paraId="64641309" w14:textId="77777777" w:rsidR="00975BD5" w:rsidRPr="00975BD5" w:rsidRDefault="00975BD5" w:rsidP="00975BD5">
            <w:pPr>
              <w:spacing w:after="0"/>
              <w:jc w:val="left"/>
              <w:rPr>
                <w:szCs w:val="22"/>
              </w:rPr>
            </w:pPr>
            <w:proofErr w:type="spellStart"/>
            <w:r w:rsidRPr="00975BD5">
              <w:rPr>
                <w:szCs w:val="22"/>
              </w:rPr>
              <w:t>Proparco</w:t>
            </w:r>
            <w:proofErr w:type="spellEnd"/>
          </w:p>
        </w:tc>
        <w:tc>
          <w:tcPr>
            <w:tcW w:w="7870" w:type="dxa"/>
            <w:tcBorders>
              <w:top w:val="nil"/>
              <w:left w:val="nil"/>
              <w:bottom w:val="nil"/>
              <w:right w:val="nil"/>
            </w:tcBorders>
            <w:shd w:val="clear" w:color="auto" w:fill="auto"/>
            <w:noWrap/>
            <w:vAlign w:val="bottom"/>
            <w:hideMark/>
          </w:tcPr>
          <w:p w14:paraId="6E3B1BD4" w14:textId="77777777" w:rsidR="00975BD5" w:rsidRPr="00975BD5" w:rsidRDefault="00D36020" w:rsidP="00975BD5">
            <w:pPr>
              <w:spacing w:after="0"/>
              <w:jc w:val="left"/>
              <w:rPr>
                <w:szCs w:val="22"/>
              </w:rPr>
            </w:pPr>
            <w:hyperlink r:id="rId55" w:history="1">
              <w:r w:rsidR="00975BD5" w:rsidRPr="000565E1">
                <w:rPr>
                  <w:szCs w:val="22"/>
                </w:rPr>
                <w:t>www.proparco.fr</w:t>
              </w:r>
            </w:hyperlink>
          </w:p>
        </w:tc>
      </w:tr>
      <w:tr w:rsidR="00975BD5" w:rsidRPr="00975BD5" w14:paraId="5E5286E1" w14:textId="77777777" w:rsidTr="00975BD5">
        <w:trPr>
          <w:trHeight w:val="300"/>
        </w:trPr>
        <w:tc>
          <w:tcPr>
            <w:tcW w:w="1985" w:type="dxa"/>
            <w:tcBorders>
              <w:top w:val="nil"/>
              <w:left w:val="nil"/>
              <w:bottom w:val="nil"/>
              <w:right w:val="nil"/>
            </w:tcBorders>
            <w:shd w:val="clear" w:color="auto" w:fill="auto"/>
            <w:noWrap/>
            <w:vAlign w:val="bottom"/>
            <w:hideMark/>
          </w:tcPr>
          <w:p w14:paraId="73BA3C6A" w14:textId="77777777" w:rsidR="00975BD5" w:rsidRPr="00975BD5" w:rsidRDefault="00975BD5" w:rsidP="00975BD5">
            <w:pPr>
              <w:spacing w:after="0"/>
              <w:jc w:val="left"/>
              <w:rPr>
                <w:szCs w:val="22"/>
              </w:rPr>
            </w:pPr>
            <w:r w:rsidRPr="00975BD5">
              <w:rPr>
                <w:szCs w:val="22"/>
              </w:rPr>
              <w:t>USAID</w:t>
            </w:r>
          </w:p>
        </w:tc>
        <w:tc>
          <w:tcPr>
            <w:tcW w:w="7870" w:type="dxa"/>
            <w:tcBorders>
              <w:top w:val="nil"/>
              <w:left w:val="nil"/>
              <w:bottom w:val="nil"/>
              <w:right w:val="nil"/>
            </w:tcBorders>
            <w:shd w:val="clear" w:color="auto" w:fill="auto"/>
            <w:noWrap/>
            <w:vAlign w:val="bottom"/>
            <w:hideMark/>
          </w:tcPr>
          <w:p w14:paraId="4AACB2C2" w14:textId="77777777" w:rsidR="00975BD5" w:rsidRPr="00975BD5" w:rsidRDefault="00D36020" w:rsidP="00975BD5">
            <w:pPr>
              <w:spacing w:after="0"/>
              <w:jc w:val="left"/>
              <w:rPr>
                <w:szCs w:val="22"/>
              </w:rPr>
            </w:pPr>
            <w:hyperlink r:id="rId56" w:history="1">
              <w:r w:rsidR="00975BD5" w:rsidRPr="000565E1">
                <w:rPr>
                  <w:szCs w:val="22"/>
                </w:rPr>
                <w:t>www.usaid.gov</w:t>
              </w:r>
            </w:hyperlink>
          </w:p>
        </w:tc>
      </w:tr>
    </w:tbl>
    <w:p w14:paraId="1FE786A1" w14:textId="77777777" w:rsidR="007E10C4" w:rsidRDefault="007E10C4" w:rsidP="007E10C4"/>
    <w:p w14:paraId="15DCDF8C" w14:textId="3B22F0EE" w:rsidR="002260A2" w:rsidRDefault="002260A2" w:rsidP="002260A2">
      <w:pPr>
        <w:pStyle w:val="ANNEXE"/>
      </w:pPr>
      <w:r>
        <w:lastRenderedPageBreak/>
        <w:t>Annexe : Termes de Référence</w:t>
      </w:r>
    </w:p>
    <w:p w14:paraId="2AAB23D4" w14:textId="77777777" w:rsidR="002260A2" w:rsidRDefault="002260A2" w:rsidP="002260A2">
      <w:pPr>
        <w:jc w:val="center"/>
        <w:rPr>
          <w:rFonts w:cstheme="minorHAnsi"/>
          <w:b/>
          <w:sz w:val="24"/>
          <w:lang w:val="fr-CH"/>
        </w:rPr>
      </w:pPr>
    </w:p>
    <w:p w14:paraId="46819BF3" w14:textId="77777777" w:rsidR="002260A2" w:rsidRDefault="002260A2" w:rsidP="002260A2">
      <w:pPr>
        <w:jc w:val="center"/>
        <w:rPr>
          <w:rFonts w:cstheme="minorHAnsi"/>
          <w:b/>
          <w:sz w:val="24"/>
          <w:lang w:val="fr-CH"/>
        </w:rPr>
      </w:pPr>
    </w:p>
    <w:p w14:paraId="028A4CCB" w14:textId="77777777" w:rsidR="002260A2" w:rsidRDefault="002260A2" w:rsidP="002260A2">
      <w:pPr>
        <w:jc w:val="center"/>
        <w:rPr>
          <w:rFonts w:cstheme="minorHAnsi"/>
          <w:b/>
          <w:sz w:val="24"/>
          <w:lang w:val="fr-CH"/>
        </w:rPr>
      </w:pPr>
    </w:p>
    <w:p w14:paraId="2DAAD434" w14:textId="77777777" w:rsidR="002260A2" w:rsidRPr="002260A2" w:rsidRDefault="002260A2" w:rsidP="002260A2">
      <w:pPr>
        <w:pBdr>
          <w:top w:val="single" w:sz="4" w:space="1" w:color="auto"/>
          <w:left w:val="single" w:sz="4" w:space="4" w:color="auto"/>
          <w:bottom w:val="single" w:sz="4" w:space="1" w:color="auto"/>
          <w:right w:val="single" w:sz="4" w:space="4" w:color="auto"/>
        </w:pBdr>
        <w:shd w:val="clear" w:color="auto" w:fill="EBDDC3" w:themeFill="background2"/>
        <w:spacing w:after="0"/>
        <w:jc w:val="center"/>
        <w:rPr>
          <w:rFonts w:cstheme="minorHAnsi"/>
          <w:b/>
          <w:sz w:val="24"/>
          <w:lang w:val="fr-CH"/>
        </w:rPr>
      </w:pPr>
      <w:r w:rsidRPr="002260A2">
        <w:rPr>
          <w:rFonts w:cstheme="minorHAnsi"/>
          <w:b/>
          <w:sz w:val="24"/>
          <w:lang w:val="fr-CH"/>
        </w:rPr>
        <w:lastRenderedPageBreak/>
        <w:t xml:space="preserve">Options pour le Financement de la Mise en Œuvre de la Stratégie Nationale </w:t>
      </w:r>
    </w:p>
    <w:p w14:paraId="0D9BAD91" w14:textId="77777777" w:rsidR="002260A2" w:rsidRPr="002260A2" w:rsidRDefault="002260A2" w:rsidP="002260A2">
      <w:pPr>
        <w:pBdr>
          <w:top w:val="single" w:sz="4" w:space="1" w:color="auto"/>
          <w:left w:val="single" w:sz="4" w:space="4" w:color="auto"/>
          <w:bottom w:val="single" w:sz="4" w:space="1" w:color="auto"/>
          <w:right w:val="single" w:sz="4" w:space="4" w:color="auto"/>
        </w:pBdr>
        <w:shd w:val="clear" w:color="auto" w:fill="EBDDC3" w:themeFill="background2"/>
        <w:spacing w:after="0"/>
        <w:jc w:val="center"/>
        <w:rPr>
          <w:rFonts w:cstheme="minorHAnsi"/>
          <w:b/>
          <w:sz w:val="24"/>
          <w:lang w:val="fr-CH"/>
        </w:rPr>
      </w:pPr>
      <w:r w:rsidRPr="002260A2">
        <w:rPr>
          <w:rFonts w:cstheme="minorHAnsi"/>
          <w:b/>
          <w:sz w:val="24"/>
          <w:lang w:val="fr-CH"/>
        </w:rPr>
        <w:t>REDD+ de la République du Congo</w:t>
      </w:r>
    </w:p>
    <w:p w14:paraId="285E4744" w14:textId="77777777" w:rsidR="002260A2" w:rsidRPr="002260A2" w:rsidRDefault="002260A2" w:rsidP="002260A2">
      <w:pPr>
        <w:rPr>
          <w:rFonts w:cstheme="minorHAnsi"/>
          <w:b/>
          <w:color w:val="B29C93" w:themeColor="text2" w:themeTint="99"/>
          <w:lang w:val="fr-CH"/>
        </w:rPr>
      </w:pPr>
    </w:p>
    <w:p w14:paraId="43E0C4A5" w14:textId="77777777" w:rsidR="002260A2" w:rsidRPr="002260A2" w:rsidRDefault="002260A2" w:rsidP="002260A2">
      <w:pPr>
        <w:rPr>
          <w:rFonts w:cstheme="minorHAnsi"/>
          <w:b/>
          <w:color w:val="B29C93" w:themeColor="text2" w:themeTint="99"/>
          <w:lang w:val="fr-CH"/>
        </w:rPr>
      </w:pPr>
      <w:r w:rsidRPr="002260A2">
        <w:rPr>
          <w:rFonts w:cstheme="minorHAnsi"/>
          <w:b/>
          <w:color w:val="B29C93" w:themeColor="text2" w:themeTint="99"/>
          <w:lang w:val="fr-CH"/>
        </w:rPr>
        <w:t>Contexte</w:t>
      </w:r>
    </w:p>
    <w:p w14:paraId="20E4D455" w14:textId="77777777" w:rsidR="002260A2" w:rsidRPr="002260A2" w:rsidRDefault="002260A2" w:rsidP="002260A2">
      <w:pPr>
        <w:rPr>
          <w:rFonts w:cstheme="minorHAnsi"/>
          <w:lang w:val="fr-CH"/>
        </w:rPr>
      </w:pPr>
      <w:r w:rsidRPr="002260A2">
        <w:rPr>
          <w:rFonts w:cstheme="minorHAnsi"/>
          <w:lang w:val="fr-CH"/>
        </w:rPr>
        <w:t>La République du Congo est activement engagée dans le processus de préparation à la REDD+ depuis 2008 dans le but bien précis de : (i) contribuer à la lutte contre les changements climatiques, (ii) lutter contre la pauvreté et (iii) assoir efficacement les bases d’une économie verte, pilier du Développement Durable. Le pays s’active à disposer d’un ensemble préliminaire d’outils stratégique et techniques (stratégie nationale, cadre de mise en œuvre, sauvegarde sociale et environnementale, niveau de référence, système MRV, etc.), pour entamer la phase 2 de la REDD+ axée sur l’investissement des plans et programmes nationaux établis dans le cadre de la Stratégie Nationale REDD+. La démarche pour s’engager rapidement dans la phase d’investissement implique une sélection des différentes options stratégiques et activités pertinentes pour la mise en œuvre de la REDD+ à l’échelle nationale.</w:t>
      </w:r>
    </w:p>
    <w:p w14:paraId="05B28FB5" w14:textId="77777777" w:rsidR="002260A2" w:rsidRPr="002260A2" w:rsidRDefault="002260A2" w:rsidP="002260A2">
      <w:pPr>
        <w:rPr>
          <w:rFonts w:cstheme="minorHAnsi"/>
          <w:lang w:val="fr-CH"/>
        </w:rPr>
      </w:pPr>
      <w:r w:rsidRPr="002260A2">
        <w:rPr>
          <w:rFonts w:cstheme="minorHAnsi"/>
          <w:lang w:val="fr-CH"/>
        </w:rPr>
        <w:t xml:space="preserve">Ce choix des options stratégiques et activités pertinentes pour la REDD+ en République du Congo s’appuiera sur un ensemble de considérations environnementales, sociales, économiques et financières. En effet, outre le souci de performance environnementale et sociale, il est crucial pour la pérennisation du processus REDD+ en République du Congo que la Stratégie nationale repose sur des choix économiques et financiers viables et sur des capacités de financement stables, prévisibles et durables. Ainsi, </w:t>
      </w:r>
      <w:r w:rsidRPr="002260A2">
        <w:t>il a été identifié le besoin de réaliser une étude détaillant la valeur économique, le profil et les performances financiers, ainsi que les besoins en financement des activités retenues pour chaque option stratégique, afin d’appuyer la sélection d’options stratégiques viables et financièrement réalisables</w:t>
      </w:r>
      <w:r w:rsidRPr="002260A2">
        <w:rPr>
          <w:rFonts w:cstheme="minorHAnsi"/>
          <w:lang w:val="fr-CH"/>
        </w:rPr>
        <w:t>.</w:t>
      </w:r>
    </w:p>
    <w:p w14:paraId="2E3FC987" w14:textId="77777777" w:rsidR="002260A2" w:rsidRPr="002260A2" w:rsidRDefault="002260A2" w:rsidP="002260A2">
      <w:pPr>
        <w:rPr>
          <w:rFonts w:cstheme="minorHAnsi"/>
          <w:b/>
          <w:color w:val="B29C93" w:themeColor="text2" w:themeTint="99"/>
          <w:lang w:val="fr-CH"/>
        </w:rPr>
      </w:pPr>
      <w:r w:rsidRPr="002260A2">
        <w:rPr>
          <w:rFonts w:cstheme="minorHAnsi"/>
          <w:b/>
          <w:color w:val="B29C93" w:themeColor="text2" w:themeTint="99"/>
          <w:lang w:val="fr-CH"/>
        </w:rPr>
        <w:t>Objectifs</w:t>
      </w:r>
    </w:p>
    <w:p w14:paraId="6023116A" w14:textId="77777777" w:rsidR="002260A2" w:rsidRPr="002260A2" w:rsidRDefault="002260A2" w:rsidP="002260A2">
      <w:r w:rsidRPr="002260A2">
        <w:t>L’étude intitulée « Options pour le financement de la mise en œuvre de la Stratégie Nationale REDD+ en République du Congo » aura pour objectifs:</w:t>
      </w:r>
    </w:p>
    <w:p w14:paraId="3C5FF363" w14:textId="77777777" w:rsidR="002260A2" w:rsidRPr="002260A2" w:rsidRDefault="002260A2" w:rsidP="008B0EB3">
      <w:pPr>
        <w:pStyle w:val="ListParagraph"/>
        <w:numPr>
          <w:ilvl w:val="0"/>
          <w:numId w:val="48"/>
        </w:numPr>
        <w:spacing w:after="0" w:line="276" w:lineRule="auto"/>
        <w:contextualSpacing w:val="0"/>
      </w:pPr>
      <w:r w:rsidRPr="002260A2">
        <w:rPr>
          <w:rFonts w:cstheme="minorHAnsi"/>
        </w:rPr>
        <w:t>d’</w:t>
      </w:r>
      <w:r w:rsidRPr="002260A2">
        <w:rPr>
          <w:rFonts w:cstheme="minorHAnsi"/>
          <w:lang w:val="fr-CH"/>
        </w:rPr>
        <w:t xml:space="preserve">informer le choix des options stratégiques et activités REDD+ par des considérations financières </w:t>
      </w:r>
      <w:r w:rsidRPr="002260A2">
        <w:t>(rendement, risque, nature et profil des flux financiers) afin d’estimer leur viabilité financière;</w:t>
      </w:r>
    </w:p>
    <w:p w14:paraId="4808FBAD" w14:textId="77777777" w:rsidR="002260A2" w:rsidRPr="002260A2" w:rsidRDefault="002260A2" w:rsidP="008B0EB3">
      <w:pPr>
        <w:pStyle w:val="ListParagraph"/>
        <w:numPr>
          <w:ilvl w:val="0"/>
          <w:numId w:val="48"/>
        </w:numPr>
        <w:spacing w:after="0" w:line="276" w:lineRule="auto"/>
        <w:contextualSpacing w:val="0"/>
        <w:rPr>
          <w:rFonts w:cstheme="minorHAnsi"/>
          <w:lang w:val="fr-CH"/>
        </w:rPr>
      </w:pPr>
      <w:r w:rsidRPr="002260A2">
        <w:t xml:space="preserve">d’estimer les bénéfices qui seront engendrés et </w:t>
      </w:r>
      <w:r w:rsidRPr="002260A2">
        <w:rPr>
          <w:rFonts w:cstheme="minorHAnsi"/>
        </w:rPr>
        <w:t xml:space="preserve">de </w:t>
      </w:r>
      <w:r w:rsidRPr="002260A2">
        <w:rPr>
          <w:rFonts w:cstheme="minorHAnsi"/>
          <w:lang w:val="fr-CH"/>
        </w:rPr>
        <w:t>déterminer les besoins en investissement complémentaire pour chacune des options stratégiques et activités REDD+ (profil et montant des investissements), en vue de la mise en œuvre de la Stratégie;</w:t>
      </w:r>
    </w:p>
    <w:p w14:paraId="1BABE61B" w14:textId="77777777" w:rsidR="002260A2" w:rsidRPr="002260A2" w:rsidRDefault="002260A2" w:rsidP="008B0EB3">
      <w:pPr>
        <w:pStyle w:val="ListParagraph"/>
        <w:numPr>
          <w:ilvl w:val="0"/>
          <w:numId w:val="48"/>
        </w:numPr>
        <w:spacing w:after="0" w:line="276" w:lineRule="auto"/>
        <w:contextualSpacing w:val="0"/>
        <w:rPr>
          <w:rFonts w:cstheme="minorHAnsi"/>
          <w:lang w:val="fr-CH"/>
        </w:rPr>
      </w:pPr>
      <w:r w:rsidRPr="002260A2">
        <w:rPr>
          <w:rFonts w:cstheme="minorHAnsi"/>
          <w:lang w:val="fr-CH"/>
        </w:rPr>
        <w:t>d’identifier les sources de financement disponibles à travers des investissements publics, privés, nationaux et internationaux;</w:t>
      </w:r>
    </w:p>
    <w:p w14:paraId="2CA74D83" w14:textId="77777777" w:rsidR="002260A2" w:rsidRPr="002260A2" w:rsidRDefault="002260A2" w:rsidP="008B0EB3">
      <w:pPr>
        <w:pStyle w:val="ListParagraph"/>
        <w:numPr>
          <w:ilvl w:val="0"/>
          <w:numId w:val="48"/>
        </w:numPr>
        <w:spacing w:after="0" w:line="276" w:lineRule="auto"/>
        <w:contextualSpacing w:val="0"/>
        <w:rPr>
          <w:rFonts w:cstheme="minorHAnsi"/>
          <w:lang w:val="fr-CH"/>
        </w:rPr>
      </w:pPr>
      <w:r w:rsidRPr="002260A2">
        <w:rPr>
          <w:rFonts w:cstheme="minorHAnsi"/>
          <w:lang w:val="fr-CH"/>
        </w:rPr>
        <w:t xml:space="preserve">et de proposer différentes formes de structures financières permettant d’assurer la pérennité des options retenues et leur performance. </w:t>
      </w:r>
    </w:p>
    <w:p w14:paraId="29555ACE" w14:textId="77777777" w:rsidR="002260A2" w:rsidRPr="002260A2" w:rsidRDefault="002260A2" w:rsidP="002260A2">
      <w:pPr>
        <w:pStyle w:val="ListParagraph"/>
        <w:rPr>
          <w:rFonts w:cstheme="minorHAnsi"/>
          <w:lang w:val="fr-CH"/>
        </w:rPr>
      </w:pPr>
    </w:p>
    <w:p w14:paraId="4A895DDD" w14:textId="77777777" w:rsidR="002260A2" w:rsidRPr="002260A2" w:rsidRDefault="002260A2" w:rsidP="002260A2">
      <w:pPr>
        <w:rPr>
          <w:rFonts w:cstheme="minorHAnsi"/>
          <w:lang w:val="fr-CH"/>
        </w:rPr>
      </w:pPr>
      <w:r w:rsidRPr="002260A2">
        <w:rPr>
          <w:rFonts w:cstheme="minorHAnsi"/>
          <w:b/>
          <w:lang w:val="fr-CH"/>
        </w:rPr>
        <w:t xml:space="preserve">Résultat escompté : </w:t>
      </w:r>
      <w:r w:rsidRPr="002260A2">
        <w:rPr>
          <w:rFonts w:cstheme="minorHAnsi"/>
          <w:lang w:val="fr-CH"/>
        </w:rPr>
        <w:t>un ensemble d’orientations économiques et financières visant à informer la finalisation de la Stratégie Nationale REDD+ et la préparation du Cadre National d’Investissement REDD+.</w:t>
      </w:r>
    </w:p>
    <w:p w14:paraId="12E2B6A3" w14:textId="77777777" w:rsidR="002260A2" w:rsidRPr="002260A2" w:rsidRDefault="002260A2" w:rsidP="002260A2">
      <w:pPr>
        <w:rPr>
          <w:rFonts w:cstheme="minorHAnsi"/>
          <w:b/>
          <w:color w:val="B29C93" w:themeColor="text2" w:themeTint="99"/>
          <w:lang w:val="fr-CH"/>
        </w:rPr>
      </w:pPr>
      <w:r w:rsidRPr="002260A2">
        <w:rPr>
          <w:rFonts w:cstheme="minorHAnsi"/>
          <w:b/>
          <w:color w:val="B29C93" w:themeColor="text2" w:themeTint="99"/>
          <w:lang w:val="fr-CH"/>
        </w:rPr>
        <w:t>Phases de préparation de l’étude</w:t>
      </w:r>
    </w:p>
    <w:p w14:paraId="1E854C68" w14:textId="77777777" w:rsidR="002260A2" w:rsidRPr="002260A2" w:rsidRDefault="002260A2" w:rsidP="002260A2">
      <w:pPr>
        <w:rPr>
          <w:rFonts w:cstheme="minorHAnsi"/>
          <w:lang w:val="fr-CH"/>
        </w:rPr>
      </w:pPr>
      <w:r w:rsidRPr="002260A2">
        <w:rPr>
          <w:rFonts w:cstheme="minorHAnsi"/>
          <w:lang w:val="fr-CH"/>
        </w:rPr>
        <w:t>La préparation de l’étude se déroulera en deux phases. (1) Une phase initiale permettra de conduire une analyse cout-bénéfice économique pour chacune des options pré-identifiées dans le cadre de la Stratégie Nationale REDD+. (2) Un état des lieux des sources de financement disponibles et adaptées sera ensuite élaboré dans un second temps, sur la base des options et sous options stratégiques retenues.</w:t>
      </w:r>
    </w:p>
    <w:p w14:paraId="7AD0E64D" w14:textId="77777777" w:rsidR="002260A2" w:rsidRPr="002260A2" w:rsidRDefault="002260A2" w:rsidP="002260A2">
      <w:pPr>
        <w:rPr>
          <w:rFonts w:cstheme="minorHAnsi"/>
          <w:lang w:val="fr-CH"/>
        </w:rPr>
      </w:pPr>
      <w:r w:rsidRPr="002260A2">
        <w:rPr>
          <w:rFonts w:cstheme="minorHAnsi"/>
          <w:b/>
          <w:lang w:val="fr-CH"/>
        </w:rPr>
        <w:t>Phase I : Analyse cout-bénéfice</w:t>
      </w:r>
      <w:r w:rsidRPr="002260A2">
        <w:rPr>
          <w:rFonts w:cstheme="minorHAnsi"/>
          <w:lang w:val="fr-CH"/>
        </w:rPr>
        <w:t> </w:t>
      </w:r>
      <w:r w:rsidRPr="002260A2">
        <w:rPr>
          <w:rFonts w:cstheme="minorHAnsi"/>
          <w:b/>
          <w:lang w:val="fr-CH"/>
        </w:rPr>
        <w:t xml:space="preserve">économique </w:t>
      </w:r>
    </w:p>
    <w:p w14:paraId="3B2024D7" w14:textId="77777777" w:rsidR="002260A2" w:rsidRPr="002260A2" w:rsidRDefault="002260A2" w:rsidP="002260A2">
      <w:pPr>
        <w:rPr>
          <w:rFonts w:cstheme="minorHAnsi"/>
          <w:lang w:val="fr-CH"/>
        </w:rPr>
      </w:pPr>
      <w:r w:rsidRPr="002260A2">
        <w:rPr>
          <w:rFonts w:cstheme="minorHAnsi"/>
          <w:lang w:val="fr-CH"/>
        </w:rPr>
        <w:t xml:space="preserve">Il s’agira d’un travail itératif, destiné à informer les décisions prises sur le choix des options et sous options stratégiques, qui comportera les éléments suivants : </w:t>
      </w:r>
    </w:p>
    <w:p w14:paraId="5B321229" w14:textId="77777777" w:rsidR="002260A2" w:rsidRPr="002260A2" w:rsidRDefault="002260A2" w:rsidP="008B0EB3">
      <w:pPr>
        <w:pStyle w:val="ListParagraph"/>
        <w:numPr>
          <w:ilvl w:val="0"/>
          <w:numId w:val="46"/>
        </w:numPr>
        <w:tabs>
          <w:tab w:val="left" w:pos="1530"/>
        </w:tabs>
        <w:spacing w:after="200" w:line="276" w:lineRule="auto"/>
        <w:ind w:left="900"/>
        <w:jc w:val="left"/>
      </w:pPr>
      <w:r w:rsidRPr="002260A2">
        <w:t xml:space="preserve">Un travail préalable de distinction entre activités </w:t>
      </w:r>
      <w:r w:rsidRPr="002260A2">
        <w:rPr>
          <w:rFonts w:cstheme="minorHAnsi"/>
          <w:lang w:val="fr-CH"/>
        </w:rPr>
        <w:t>à</w:t>
      </w:r>
      <w:r w:rsidRPr="002260A2">
        <w:t xml:space="preserve"> revenus et activités dites de support (qui généreront un cout uniquement) au sein de la Stratégie ;</w:t>
      </w:r>
    </w:p>
    <w:p w14:paraId="2AEFA8BB" w14:textId="77777777" w:rsidR="002260A2" w:rsidRPr="002260A2" w:rsidRDefault="002260A2" w:rsidP="008B0EB3">
      <w:pPr>
        <w:pStyle w:val="ListParagraph"/>
        <w:numPr>
          <w:ilvl w:val="0"/>
          <w:numId w:val="46"/>
        </w:numPr>
        <w:spacing w:after="200" w:line="276" w:lineRule="auto"/>
        <w:ind w:left="900"/>
        <w:jc w:val="left"/>
      </w:pPr>
      <w:r w:rsidRPr="002260A2">
        <w:lastRenderedPageBreak/>
        <w:t xml:space="preserve">Pour les activités dites de support : </w:t>
      </w:r>
    </w:p>
    <w:p w14:paraId="4728CEBF" w14:textId="77777777" w:rsidR="002260A2" w:rsidRPr="002260A2" w:rsidRDefault="002260A2" w:rsidP="008B0EB3">
      <w:pPr>
        <w:pStyle w:val="ListParagraph"/>
        <w:numPr>
          <w:ilvl w:val="1"/>
          <w:numId w:val="46"/>
        </w:numPr>
        <w:spacing w:after="200" w:line="276" w:lineRule="auto"/>
        <w:jc w:val="left"/>
      </w:pPr>
      <w:r w:rsidRPr="002260A2">
        <w:t>une estimation des couts et l’allocation de ces couts aux activités à revenus (note : ce regroupement d’activités sera uniquement amené à appuyer l’analyse du modèle financier);</w:t>
      </w:r>
    </w:p>
    <w:p w14:paraId="039053CD" w14:textId="77777777" w:rsidR="002260A2" w:rsidRPr="002260A2" w:rsidRDefault="002260A2" w:rsidP="008B0EB3">
      <w:pPr>
        <w:pStyle w:val="ListParagraph"/>
        <w:numPr>
          <w:ilvl w:val="0"/>
          <w:numId w:val="49"/>
        </w:numPr>
        <w:spacing w:after="0"/>
        <w:ind w:left="900"/>
        <w:jc w:val="left"/>
      </w:pPr>
      <w:r w:rsidRPr="002260A2">
        <w:t>Pour les activités à revenus :</w:t>
      </w:r>
    </w:p>
    <w:p w14:paraId="52EB8DDA" w14:textId="77777777" w:rsidR="002260A2" w:rsidRPr="002260A2" w:rsidRDefault="002260A2" w:rsidP="008B0EB3">
      <w:pPr>
        <w:pStyle w:val="ListParagraph"/>
        <w:numPr>
          <w:ilvl w:val="1"/>
          <w:numId w:val="46"/>
        </w:numPr>
        <w:spacing w:after="200" w:line="276" w:lineRule="auto"/>
        <w:jc w:val="left"/>
      </w:pPr>
      <w:r w:rsidRPr="002260A2">
        <w:t>un état des lieux des informations et rapports déjà disponibles sur les coûts-bénéfices économiques et la performance financière des différentes options stratégiques (en s’appuyant sur les projets publiques et privés existants : FCPF, marchés carbone volontaires, initiatives nationales, etc.);</w:t>
      </w:r>
    </w:p>
    <w:p w14:paraId="31ADCEBF" w14:textId="77777777" w:rsidR="002260A2" w:rsidRPr="002260A2" w:rsidRDefault="002260A2" w:rsidP="008B0EB3">
      <w:pPr>
        <w:pStyle w:val="ListParagraph"/>
        <w:numPr>
          <w:ilvl w:val="1"/>
          <w:numId w:val="46"/>
        </w:numPr>
        <w:spacing w:after="200" w:line="276" w:lineRule="auto"/>
        <w:jc w:val="left"/>
      </w:pPr>
      <w:r w:rsidRPr="002260A2">
        <w:t>une analyse économique cout-bénéfice pour chaque activité (estimation des volumes de demande et d’offre, projection de la dynamique des prix, etc.) s’accompagnant d’un modèle financier associé (niveau de rendement, performance financière, niveau de risque financier, etc.).</w:t>
      </w:r>
    </w:p>
    <w:p w14:paraId="73E13419" w14:textId="77777777" w:rsidR="002260A2" w:rsidRPr="002260A2" w:rsidRDefault="002260A2" w:rsidP="002260A2">
      <w:pPr>
        <w:contextualSpacing/>
      </w:pPr>
      <w:r w:rsidRPr="002260A2">
        <w:t xml:space="preserve">L’analyse économique et financière permettra ainsi d’identifier les activités (ou groupe d’activités) présentant les meilleures opportunités d’investissements et de financement – un angle de considération qu’il conviendra de croiser avec les objectifs environnementaux et sociaux de la Stratégie pour le choix final des options et sous options stratégiques. </w:t>
      </w:r>
    </w:p>
    <w:p w14:paraId="2198A48F" w14:textId="77777777" w:rsidR="002260A2" w:rsidRPr="002260A2" w:rsidRDefault="002260A2" w:rsidP="002260A2">
      <w:pPr>
        <w:contextualSpacing/>
        <w:jc w:val="left"/>
      </w:pPr>
    </w:p>
    <w:p w14:paraId="77EDD6FD" w14:textId="77777777" w:rsidR="002260A2" w:rsidRPr="002260A2" w:rsidRDefault="002260A2" w:rsidP="002260A2">
      <w:pPr>
        <w:contextualSpacing/>
        <w:jc w:val="left"/>
      </w:pPr>
      <w:r w:rsidRPr="002260A2">
        <w:rPr>
          <w:b/>
        </w:rPr>
        <w:t>Phase II : Etat des lieux des sources de financement</w:t>
      </w:r>
    </w:p>
    <w:p w14:paraId="7A5DAE54" w14:textId="77777777" w:rsidR="002260A2" w:rsidRPr="002260A2" w:rsidRDefault="002260A2" w:rsidP="002260A2">
      <w:pPr>
        <w:contextualSpacing/>
        <w:jc w:val="left"/>
      </w:pPr>
    </w:p>
    <w:p w14:paraId="76F5C79F" w14:textId="77777777" w:rsidR="002260A2" w:rsidRPr="002260A2" w:rsidRDefault="002260A2" w:rsidP="002260A2">
      <w:pPr>
        <w:contextualSpacing/>
      </w:pPr>
      <w:r w:rsidRPr="002260A2">
        <w:t>Sur la base des options stratégiques et activités REDD+ retenues dans le cadre de la Stratégie Nationale REDD+, un état des lieux détaillé et complet des sources de financement sera ensuite élaboré et comprendra les éléments suivants :</w:t>
      </w:r>
    </w:p>
    <w:p w14:paraId="4DF80962" w14:textId="77777777" w:rsidR="002260A2" w:rsidRPr="002260A2" w:rsidRDefault="002260A2" w:rsidP="008B0EB3">
      <w:pPr>
        <w:pStyle w:val="ListParagraph"/>
        <w:numPr>
          <w:ilvl w:val="0"/>
          <w:numId w:val="47"/>
        </w:numPr>
        <w:spacing w:after="200" w:line="276" w:lineRule="auto"/>
        <w:jc w:val="left"/>
      </w:pPr>
      <w:r w:rsidRPr="002260A2">
        <w:t>Un calcul des besoins en investissement initiaux et pendant la durée de vie des activités de la Stratégie;</w:t>
      </w:r>
    </w:p>
    <w:p w14:paraId="3F8CE0B9" w14:textId="77777777" w:rsidR="002260A2" w:rsidRPr="002260A2" w:rsidRDefault="002260A2" w:rsidP="008B0EB3">
      <w:pPr>
        <w:pStyle w:val="ListParagraph"/>
        <w:numPr>
          <w:ilvl w:val="0"/>
          <w:numId w:val="47"/>
        </w:numPr>
        <w:spacing w:after="200" w:line="276" w:lineRule="auto"/>
        <w:jc w:val="left"/>
      </w:pPr>
      <w:r w:rsidRPr="002260A2">
        <w:t>Une identification des sources d’investissement nécessaires et disponibles dans le contexte de la République du Congo, avec une distinction entre investissements publics, privés, nationaux et internationaux;</w:t>
      </w:r>
    </w:p>
    <w:p w14:paraId="1A95F72B" w14:textId="77777777" w:rsidR="002260A2" w:rsidRPr="002260A2" w:rsidRDefault="002260A2" w:rsidP="008B0EB3">
      <w:pPr>
        <w:pStyle w:val="ListParagraph"/>
        <w:numPr>
          <w:ilvl w:val="0"/>
          <w:numId w:val="47"/>
        </w:numPr>
        <w:spacing w:after="200" w:line="276" w:lineRule="auto"/>
        <w:jc w:val="left"/>
      </w:pPr>
      <w:r w:rsidRPr="002260A2">
        <w:t>Une évaluation de la capacité à attirer des investissements durables venant du secteur privé (acteurs privés nationaux et internationaux) sur le court, moyen et long-terme pour chaque option et le cas échéant, une identification des barrières limitant ces investissements;</w:t>
      </w:r>
    </w:p>
    <w:p w14:paraId="0637FDEC" w14:textId="77777777" w:rsidR="002260A2" w:rsidRPr="002260A2" w:rsidRDefault="002260A2" w:rsidP="008B0EB3">
      <w:pPr>
        <w:pStyle w:val="ListParagraph"/>
        <w:numPr>
          <w:ilvl w:val="0"/>
          <w:numId w:val="47"/>
        </w:numPr>
        <w:spacing w:after="200" w:line="276" w:lineRule="auto"/>
        <w:jc w:val="left"/>
      </w:pPr>
      <w:r w:rsidRPr="002260A2">
        <w:t>Des recommandations de moyens pour faciliter l’accès aux investissements publics et privés.</w:t>
      </w:r>
    </w:p>
    <w:p w14:paraId="2D14FD49" w14:textId="77777777" w:rsidR="002260A2" w:rsidRPr="002260A2" w:rsidRDefault="002260A2" w:rsidP="002260A2">
      <w:pPr>
        <w:rPr>
          <w:rFonts w:cstheme="minorHAnsi"/>
          <w:b/>
          <w:color w:val="B29C93" w:themeColor="text2" w:themeTint="99"/>
          <w:lang w:val="fr-CH"/>
        </w:rPr>
      </w:pPr>
      <w:r w:rsidRPr="002260A2">
        <w:rPr>
          <w:rFonts w:cstheme="minorHAnsi"/>
          <w:b/>
          <w:color w:val="B29C93" w:themeColor="text2" w:themeTint="99"/>
          <w:lang w:val="fr-CH"/>
        </w:rPr>
        <w:t>Produits et calendrier</w:t>
      </w:r>
    </w:p>
    <w:p w14:paraId="194595FD" w14:textId="77777777" w:rsidR="002260A2" w:rsidRPr="002260A2" w:rsidRDefault="002260A2" w:rsidP="002260A2">
      <w:r w:rsidRPr="002260A2">
        <w:rPr>
          <w:rFonts w:cstheme="minorHAnsi"/>
          <w:lang w:val="fr-CH"/>
        </w:rPr>
        <w:t xml:space="preserve">Sous la direction de la CN REDD+, et avec le soutien technique de l’équipe PNUE ONU-REDD (y compris l’Initiative Financière du PNUE), </w:t>
      </w:r>
      <w:r w:rsidRPr="002260A2">
        <w:rPr>
          <w:rFonts w:cstheme="minorHAnsi"/>
        </w:rPr>
        <w:t>une équipe faite d’un expert international en investissement REDD+ et de deux experts nationaux sera contracté pour préparer les travaux suivants</w:t>
      </w:r>
      <w:r w:rsidRPr="002260A2">
        <w:t>:</w:t>
      </w:r>
    </w:p>
    <w:p w14:paraId="1D97D4CB" w14:textId="77777777" w:rsidR="002260A2" w:rsidRPr="002260A2" w:rsidRDefault="002260A2" w:rsidP="008B0EB3">
      <w:pPr>
        <w:pStyle w:val="ListParagraph"/>
        <w:numPr>
          <w:ilvl w:val="0"/>
          <w:numId w:val="47"/>
        </w:numPr>
        <w:spacing w:after="0" w:line="276" w:lineRule="auto"/>
        <w:contextualSpacing w:val="0"/>
      </w:pPr>
      <w:r w:rsidRPr="002260A2">
        <w:t xml:space="preserve">Un rapport présentant les résultats de l’analyse cout-bénéfice économique par activité (ou groupe d’activités) et détaillant le modèle financier des options et sous options stratégiques pré-identifiées; </w:t>
      </w:r>
    </w:p>
    <w:p w14:paraId="64CB26F7" w14:textId="77777777" w:rsidR="002260A2" w:rsidRPr="002260A2" w:rsidRDefault="002260A2" w:rsidP="008B0EB3">
      <w:pPr>
        <w:pStyle w:val="ListParagraph"/>
        <w:numPr>
          <w:ilvl w:val="0"/>
          <w:numId w:val="47"/>
        </w:numPr>
        <w:spacing w:after="0" w:line="276" w:lineRule="auto"/>
        <w:contextualSpacing w:val="0"/>
      </w:pPr>
      <w:r w:rsidRPr="002260A2">
        <w:t>Un rapport présentant une analyse de la valeur économique d’un modèle de palmier à huile durable, dans le cadre de l’option stratégique 3 (« Amélioration des Systèmes de Production Agricole »);</w:t>
      </w:r>
    </w:p>
    <w:p w14:paraId="60A2CCE9" w14:textId="77777777" w:rsidR="002260A2" w:rsidRPr="002260A2" w:rsidRDefault="002260A2" w:rsidP="008B0EB3">
      <w:pPr>
        <w:pStyle w:val="ListParagraph"/>
        <w:numPr>
          <w:ilvl w:val="0"/>
          <w:numId w:val="47"/>
        </w:numPr>
        <w:spacing w:after="0" w:line="276" w:lineRule="auto"/>
        <w:contextualSpacing w:val="0"/>
      </w:pPr>
      <w:r w:rsidRPr="002260A2">
        <w:t xml:space="preserve">Un état des lieux complet comprenant les besoins en investissement, les sources de financements déjà disponibles pour financer la mise en œuvre de la Stratégie Nationale REDD+, les sources de financement futures et les conditions de leur obtention, ainsi que l’identification des barrières à l’investissement et les mesures à déployer pour y remédier. </w:t>
      </w:r>
    </w:p>
    <w:p w14:paraId="609BF829" w14:textId="77777777" w:rsidR="002260A2" w:rsidRPr="002260A2" w:rsidRDefault="002260A2" w:rsidP="002260A2">
      <w:pPr>
        <w:pStyle w:val="ListParagraph"/>
        <w:spacing w:line="276" w:lineRule="auto"/>
        <w:ind w:left="1125"/>
      </w:pPr>
    </w:p>
    <w:p w14:paraId="7F9A4219" w14:textId="345236D3" w:rsidR="002260A2" w:rsidRPr="002260A2" w:rsidRDefault="002260A2" w:rsidP="00D36020">
      <w:pPr>
        <w:rPr>
          <w:rFonts w:cstheme="minorHAnsi"/>
          <w:b/>
          <w:lang w:val="fr-CH"/>
        </w:rPr>
      </w:pPr>
      <w:r w:rsidRPr="002260A2">
        <w:rPr>
          <w:rFonts w:cstheme="minorHAnsi"/>
        </w:rPr>
        <w:lastRenderedPageBreak/>
        <w:t xml:space="preserve">Les Options pour le Financement de la Mise en Œuvre de la Stratégie Nationale REDD+ identifiées dans le cadre de cette étude feront l’objet d’un échange avec les potentiels investisseurs et bailleurs impliqués dans la REDD+, y compris dans le cadre du Programme d’Investissement Forestier (PIF) de la Banque Mondiale et de la Central </w:t>
      </w:r>
      <w:proofErr w:type="spellStart"/>
      <w:r w:rsidRPr="002260A2">
        <w:rPr>
          <w:rFonts w:cstheme="minorHAnsi"/>
        </w:rPr>
        <w:t>Africa</w:t>
      </w:r>
      <w:proofErr w:type="spellEnd"/>
      <w:r w:rsidRPr="002260A2">
        <w:rPr>
          <w:rFonts w:cstheme="minorHAnsi"/>
        </w:rPr>
        <w:t xml:space="preserve"> Forest Initiative (CAFI). Ce travail servira, en autres, d’orientation pour la préparation du Cadre National d’Investissement REDD+. </w:t>
      </w:r>
      <w:bookmarkStart w:id="67" w:name="_GoBack"/>
      <w:bookmarkEnd w:id="67"/>
    </w:p>
    <w:sectPr w:rsidR="002260A2" w:rsidRPr="002260A2" w:rsidSect="00F974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6611A" w14:textId="77777777" w:rsidR="006C79A3" w:rsidRDefault="006C79A3" w:rsidP="005834C5">
      <w:r>
        <w:separator/>
      </w:r>
    </w:p>
  </w:endnote>
  <w:endnote w:type="continuationSeparator" w:id="0">
    <w:p w14:paraId="1C4B3649" w14:textId="77777777" w:rsidR="006C79A3" w:rsidRDefault="006C79A3" w:rsidP="00583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w Cen MT">
    <w:panose1 w:val="020B0602020104020603"/>
    <w:charset w:val="00"/>
    <w:family w:val="auto"/>
    <w:pitch w:val="variable"/>
    <w:sig w:usb0="00000003" w:usb1="00000000" w:usb2="00000000" w:usb3="00000000" w:csb0="00000003" w:csb1="00000000"/>
  </w:font>
  <w:font w:name="Courier New">
    <w:panose1 w:val="020703090202050204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HGPｺﾞｼｯｸE">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Toga Serif">
    <w:charset w:val="00"/>
    <w:family w:val="roman"/>
    <w:pitch w:val="variable"/>
    <w:sig w:usb0="800000AF" w:usb1="4000204A" w:usb2="00000000" w:usb3="00000000" w:csb0="00000011" w:csb1="00000000"/>
  </w:font>
  <w:font w:name="Tahoma">
    <w:panose1 w:val="020B060403050404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Optima">
    <w:altName w:val="Bell MT"/>
    <w:panose1 w:val="02000503060000020004"/>
    <w:charset w:val="00"/>
    <w:family w:val="auto"/>
    <w:pitch w:val="variable"/>
    <w:sig w:usb0="80000067"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DejaVu Sans">
    <w:charset w:val="00"/>
    <w:family w:val="swiss"/>
    <w:pitch w:val="variable"/>
    <w:sig w:usb0="E7000EFF" w:usb1="5200F5FF" w:usb2="0A042021" w:usb3="00000000" w:csb0="000001BF" w:csb1="00000000"/>
  </w:font>
  <w:font w:name="Garamond">
    <w:panose1 w:val="02020404030301010803"/>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lementePDae">
    <w:altName w:val="Times New Roman"/>
    <w:charset w:val="00"/>
    <w:family w:val="auto"/>
    <w:pitch w:val="variable"/>
    <w:sig w:usb0="00000001" w:usb1="50002048" w:usb2="00000000" w:usb3="00000000" w:csb0="00000111" w:csb1="00000000"/>
  </w:font>
  <w:font w:name="Caecilia-Italic">
    <w:panose1 w:val="00000000000000000000"/>
    <w:charset w:val="00"/>
    <w:family w:val="roman"/>
    <w:notTrueType/>
    <w:pitch w:val="default"/>
    <w:sig w:usb0="00000003" w:usb1="00000000" w:usb2="00000000" w:usb3="00000000" w:csb0="00000001" w:csb1="00000000"/>
  </w:font>
  <w:font w:name="Caecilia-Roman">
    <w:panose1 w:val="00000000000000000000"/>
    <w:charset w:val="00"/>
    <w:family w:val="roman"/>
    <w:notTrueType/>
    <w:pitch w:val="default"/>
    <w:sig w:usb0="00000003" w:usb1="00000000" w:usb2="00000000" w:usb3="00000000" w:csb0="00000001"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 w:name="HelveticaNeueLTCom-BdCn">
    <w:panose1 w:val="00000000000000000000"/>
    <w:charset w:val="00"/>
    <w:family w:val="swiss"/>
    <w:notTrueType/>
    <w:pitch w:val="default"/>
    <w:sig w:usb0="00000003" w:usb1="00000000" w:usb2="00000000" w:usb3="00000000" w:csb0="00000001" w:csb1="00000000"/>
  </w:font>
  <w:font w:name="HelveticaNeueLTCom-Cn">
    <w:panose1 w:val="00000000000000000000"/>
    <w:charset w:val="00"/>
    <w:family w:val="swiss"/>
    <w:notTrueType/>
    <w:pitch w:val="default"/>
    <w:sig w:usb0="00000003" w:usb1="00000000" w:usb2="00000000" w:usb3="00000000" w:csb0="00000001" w:csb1="00000000"/>
  </w:font>
  <w:font w:name="Bookman-Light">
    <w:panose1 w:val="00000000000000000000"/>
    <w:charset w:val="00"/>
    <w:family w:val="roman"/>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HelveticaNeue-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58759"/>
      <w:docPartObj>
        <w:docPartGallery w:val="Page Numbers (Top of Page)"/>
        <w:docPartUnique/>
      </w:docPartObj>
    </w:sdtPr>
    <w:sdtEndPr>
      <w:rPr>
        <w:sz w:val="16"/>
        <w:szCs w:val="16"/>
      </w:rPr>
    </w:sdtEndPr>
    <w:sdtContent>
      <w:sdt>
        <w:sdtPr>
          <w:id w:val="-1100479798"/>
          <w:docPartObj>
            <w:docPartGallery w:val="Page Numbers (Top of Page)"/>
            <w:docPartUnique/>
          </w:docPartObj>
        </w:sdtPr>
        <w:sdtEndPr/>
        <w:sdtContent>
          <w:p w14:paraId="3F978766" w14:textId="77777777" w:rsidR="00630427" w:rsidRDefault="00630427" w:rsidP="005834C5">
            <w:pPr>
              <w:pStyle w:val="Header"/>
            </w:pPr>
          </w:p>
          <w:p w14:paraId="33322DAC" w14:textId="77777777" w:rsidR="00630427" w:rsidRPr="00FA06DC" w:rsidRDefault="00D36020" w:rsidP="005834C5">
            <w:pPr>
              <w:pStyle w:val="Header"/>
              <w:rPr>
                <w:color w:val="4F6228"/>
                <w:sz w:val="18"/>
                <w:szCs w:val="18"/>
                <w:lang w:val="en-US"/>
              </w:rPr>
            </w:pPr>
          </w:p>
        </w:sdtContent>
      </w:sdt>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0"/>
      </w:rPr>
      <w:id w:val="-1753425708"/>
      <w:docPartObj>
        <w:docPartGallery w:val="Page Numbers (Top of Page)"/>
        <w:docPartUnique/>
      </w:docPartObj>
    </w:sdtPr>
    <w:sdtEndPr>
      <w:rPr>
        <w:rFonts w:ascii="ClementePDae" w:hAnsi="ClementePDae"/>
        <w:color w:val="548AB7" w:themeColor="accent1" w:themeShade="BF"/>
        <w:sz w:val="16"/>
        <w:szCs w:val="16"/>
      </w:rPr>
    </w:sdtEndPr>
    <w:sdtContent>
      <w:p w14:paraId="55E5825D" w14:textId="07901F95" w:rsidR="00630427" w:rsidRPr="001D74AD" w:rsidRDefault="00630427" w:rsidP="00E32129">
        <w:pPr>
          <w:pBdr>
            <w:top w:val="single" w:sz="4" w:space="1" w:color="DD8047" w:themeColor="accent2"/>
          </w:pBdr>
          <w:rPr>
            <w:rFonts w:ascii="ClementePDae" w:hAnsi="ClementePDae"/>
            <w:b/>
            <w:color w:val="548AB7" w:themeColor="accent1" w:themeShade="BF"/>
            <w:sz w:val="16"/>
            <w:szCs w:val="16"/>
          </w:rPr>
        </w:pPr>
        <w:r>
          <w:rPr>
            <w:color w:val="94B6D2" w:themeColor="accent1"/>
            <w:sz w:val="14"/>
          </w:rPr>
          <w:t>PLAN D’INVESTISSEMENT POUR</w:t>
        </w:r>
        <w:r w:rsidRPr="00E32129">
          <w:rPr>
            <w:color w:val="94B6D2" w:themeColor="accent1"/>
            <w:sz w:val="14"/>
          </w:rPr>
          <w:t xml:space="preserve"> LA MISE EN ŒUVRE DE LA STRATEGIE NATIONALE REDD+ DE LA REPUBLIQUE DU CONGO</w:t>
        </w:r>
        <w:r w:rsidRPr="00E32129">
          <w:rPr>
            <w:b/>
            <w:color w:val="94B6D2" w:themeColor="accent1"/>
            <w:sz w:val="12"/>
          </w:rPr>
          <w:t xml:space="preserve"> </w:t>
        </w:r>
        <w:r>
          <w:rPr>
            <w:b/>
            <w:sz w:val="20"/>
          </w:rPr>
          <w:ptab w:relativeTo="margin" w:alignment="right" w:leader="none"/>
        </w:r>
        <w:r w:rsidRPr="006577E5">
          <w:rPr>
            <w:b/>
            <w:color w:val="548AB7" w:themeColor="accent1" w:themeShade="BF"/>
            <w:sz w:val="16"/>
            <w:szCs w:val="16"/>
          </w:rPr>
          <w:fldChar w:fldCharType="begin"/>
        </w:r>
        <w:r w:rsidRPr="006577E5">
          <w:rPr>
            <w:b/>
            <w:color w:val="548AB7" w:themeColor="accent1" w:themeShade="BF"/>
            <w:sz w:val="16"/>
            <w:szCs w:val="16"/>
          </w:rPr>
          <w:instrText xml:space="preserve"> PAGE  \* Arabic \* MERGEFORMAT </w:instrText>
        </w:r>
        <w:r w:rsidRPr="006577E5">
          <w:rPr>
            <w:b/>
            <w:color w:val="548AB7" w:themeColor="accent1" w:themeShade="BF"/>
            <w:sz w:val="16"/>
            <w:szCs w:val="16"/>
          </w:rPr>
          <w:fldChar w:fldCharType="separate"/>
        </w:r>
        <w:r w:rsidR="00D36020">
          <w:rPr>
            <w:b/>
            <w:noProof/>
            <w:color w:val="548AB7" w:themeColor="accent1" w:themeShade="BF"/>
            <w:sz w:val="16"/>
            <w:szCs w:val="16"/>
          </w:rPr>
          <w:t>2</w:t>
        </w:r>
        <w:r w:rsidRPr="006577E5">
          <w:rPr>
            <w:b/>
            <w:color w:val="548AB7" w:themeColor="accent1" w:themeShade="BF"/>
            <w:sz w:val="16"/>
            <w:szCs w:val="16"/>
          </w:rPr>
          <w:fldChar w:fldCharType="end"/>
        </w:r>
        <w:r w:rsidRPr="006577E5">
          <w:rPr>
            <w:color w:val="548AB7" w:themeColor="accent1" w:themeShade="BF"/>
            <w:sz w:val="16"/>
            <w:szCs w:val="16"/>
          </w:rPr>
          <w:t xml:space="preserve"> </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36B278" w14:textId="77777777" w:rsidR="006C79A3" w:rsidRDefault="006C79A3" w:rsidP="005834C5">
      <w:r>
        <w:separator/>
      </w:r>
    </w:p>
  </w:footnote>
  <w:footnote w:type="continuationSeparator" w:id="0">
    <w:p w14:paraId="487020D3" w14:textId="77777777" w:rsidR="006C79A3" w:rsidRDefault="006C79A3" w:rsidP="005834C5">
      <w:r>
        <w:continuationSeparator/>
      </w:r>
    </w:p>
  </w:footnote>
  <w:footnote w:id="1">
    <w:p w14:paraId="7565780A" w14:textId="200BD782" w:rsidR="00630427" w:rsidRDefault="00630427">
      <w:pPr>
        <w:pStyle w:val="FootnoteText"/>
      </w:pPr>
      <w:r>
        <w:rPr>
          <w:rStyle w:val="FootnoteReference"/>
        </w:rPr>
        <w:footnoteRef/>
      </w:r>
      <w:r>
        <w:t xml:space="preserve"> </w:t>
      </w:r>
      <w:hyperlink r:id="rId1" w:history="1">
        <w:r w:rsidRPr="00745515">
          <w:rPr>
            <w:rStyle w:val="Hyperlink"/>
          </w:rPr>
          <w:t>www.oecd.org/fr/cad/stats/aidepubliqueaudeveloppementdefinitionetchampcouvert.htm</w:t>
        </w:r>
      </w:hyperlink>
      <w:r>
        <w:t xml:space="preserve"> </w:t>
      </w:r>
    </w:p>
  </w:footnote>
  <w:footnote w:id="2">
    <w:p w14:paraId="7C2282C1" w14:textId="607D35BD" w:rsidR="00630427" w:rsidRPr="00FD1E40" w:rsidRDefault="00630427" w:rsidP="00A10B64">
      <w:pPr>
        <w:pStyle w:val="FootnoteText"/>
        <w:rPr>
          <w:sz w:val="16"/>
          <w:szCs w:val="16"/>
        </w:rPr>
      </w:pPr>
      <w:r w:rsidRPr="00FD1E40">
        <w:rPr>
          <w:rStyle w:val="FootnoteReference"/>
          <w:sz w:val="16"/>
          <w:szCs w:val="16"/>
        </w:rPr>
        <w:footnoteRef/>
      </w:r>
      <w:r w:rsidRPr="00FD1E40">
        <w:rPr>
          <w:sz w:val="16"/>
          <w:szCs w:val="16"/>
        </w:rPr>
        <w:t xml:space="preserve"> </w:t>
      </w:r>
      <w:hyperlink r:id="rId2" w:history="1">
        <w:r w:rsidRPr="00FD1E40">
          <w:rPr>
            <w:rStyle w:val="Hyperlink"/>
            <w:sz w:val="16"/>
            <w:szCs w:val="16"/>
          </w:rPr>
          <w:t>www.oecd.org</w:t>
        </w:r>
      </w:hyperlink>
      <w:r w:rsidRPr="00FD1E40">
        <w:rPr>
          <w:sz w:val="16"/>
          <w:szCs w:val="16"/>
        </w:rPr>
        <w:t xml:space="preserve">  </w:t>
      </w:r>
    </w:p>
  </w:footnote>
  <w:footnote w:id="3">
    <w:p w14:paraId="47BB9104" w14:textId="3E836C27" w:rsidR="00630427" w:rsidRPr="00FD1E40" w:rsidRDefault="00630427" w:rsidP="00154085">
      <w:pPr>
        <w:pStyle w:val="FootnoteText"/>
        <w:rPr>
          <w:sz w:val="16"/>
          <w:szCs w:val="16"/>
        </w:rPr>
      </w:pPr>
      <w:r w:rsidRPr="00FD1E40">
        <w:rPr>
          <w:rStyle w:val="FootnoteReference"/>
          <w:sz w:val="16"/>
          <w:szCs w:val="16"/>
        </w:rPr>
        <w:footnoteRef/>
      </w:r>
      <w:r w:rsidRPr="00FD1E40">
        <w:rPr>
          <w:sz w:val="16"/>
          <w:szCs w:val="16"/>
        </w:rPr>
        <w:t xml:space="preserve"> </w:t>
      </w:r>
      <w:hyperlink r:id="rId3" w:history="1">
        <w:bookmarkStart w:id="17" w:name="OLE_LINK5"/>
        <w:r w:rsidRPr="00FD1E40">
          <w:rPr>
            <w:rStyle w:val="Hyperlink"/>
            <w:sz w:val="16"/>
            <w:szCs w:val="16"/>
          </w:rPr>
          <w:t>www.worldbank.org/</w:t>
        </w:r>
        <w:bookmarkEnd w:id="17"/>
        <w:r w:rsidRPr="00FD1E40">
          <w:rPr>
            <w:rStyle w:val="Hyperlink"/>
            <w:sz w:val="16"/>
            <w:szCs w:val="16"/>
          </w:rPr>
          <w:t>en/country/congo</w:t>
        </w:r>
      </w:hyperlink>
      <w:r w:rsidRPr="00FD1E40">
        <w:rPr>
          <w:sz w:val="16"/>
          <w:szCs w:val="16"/>
        </w:rPr>
        <w:t xml:space="preserve"> </w:t>
      </w:r>
    </w:p>
  </w:footnote>
  <w:footnote w:id="4">
    <w:p w14:paraId="515BE42D" w14:textId="77777777" w:rsidR="00630427" w:rsidRPr="00793D5E" w:rsidRDefault="00630427" w:rsidP="00AD2FE3">
      <w:pPr>
        <w:pStyle w:val="FootnoteText"/>
        <w:rPr>
          <w:sz w:val="16"/>
        </w:rPr>
      </w:pPr>
      <w:r w:rsidRPr="00FD1E40">
        <w:rPr>
          <w:rStyle w:val="FootnoteReference"/>
          <w:sz w:val="16"/>
          <w:szCs w:val="16"/>
        </w:rPr>
        <w:footnoteRef/>
      </w:r>
      <w:r w:rsidRPr="00FD1E40">
        <w:rPr>
          <w:sz w:val="16"/>
          <w:szCs w:val="16"/>
        </w:rPr>
        <w:t xml:space="preserve"> Document disponible au lien suivant : </w:t>
      </w:r>
      <w:hyperlink r:id="rId4" w:history="1">
        <w:r w:rsidRPr="00FD1E40">
          <w:rPr>
            <w:rStyle w:val="Hyperlink"/>
            <w:sz w:val="16"/>
            <w:szCs w:val="16"/>
          </w:rPr>
          <w:t>http://documents.banquemondiale.org/curated/fr/2012/09/16966277/congo-republic-country-partnership-strategy-period-fy13-fy16</w:t>
        </w:r>
      </w:hyperlink>
      <w:r w:rsidRPr="00793D5E">
        <w:rPr>
          <w:sz w:val="16"/>
        </w:rPr>
        <w:t xml:space="preserve"> </w:t>
      </w:r>
    </w:p>
  </w:footnote>
  <w:footnote w:id="5">
    <w:p w14:paraId="1C55076B" w14:textId="7561BADB" w:rsidR="00630427" w:rsidRPr="00FD1E40" w:rsidRDefault="00630427">
      <w:pPr>
        <w:pStyle w:val="FootnoteText"/>
        <w:rPr>
          <w:sz w:val="16"/>
          <w:szCs w:val="16"/>
        </w:rPr>
      </w:pPr>
      <w:r w:rsidRPr="00FD1E40">
        <w:rPr>
          <w:rStyle w:val="FootnoteReference"/>
          <w:sz w:val="16"/>
          <w:szCs w:val="16"/>
        </w:rPr>
        <w:footnoteRef/>
      </w:r>
      <w:r>
        <w:rPr>
          <w:color w:val="DD8047" w:themeColor="accent2"/>
          <w:sz w:val="16"/>
          <w:szCs w:val="16"/>
        </w:rPr>
        <w:t xml:space="preserve"> </w:t>
      </w:r>
      <w:hyperlink r:id="rId5" w:history="1">
        <w:r w:rsidRPr="00FD1E40">
          <w:rPr>
            <w:rStyle w:val="Hyperlink"/>
            <w:sz w:val="16"/>
            <w:szCs w:val="16"/>
          </w:rPr>
          <w:t>http://www.diplomatie.gouv.fr/fr/politique-etrangere-de-la-france/aide-au-developpement/dispositif-institutionnel-et-canaux-d-acheminement-de-l-aide-francaise/canaux-d-acheminement-de-l-aide/article/les-institutions-financieres</w:t>
        </w:r>
      </w:hyperlink>
      <w:r w:rsidRPr="00FD1E40">
        <w:rPr>
          <w:color w:val="DD8047" w:themeColor="accent2"/>
          <w:sz w:val="16"/>
          <w:szCs w:val="16"/>
        </w:rPr>
        <w:t xml:space="preserve"> </w:t>
      </w:r>
    </w:p>
  </w:footnote>
  <w:footnote w:id="6">
    <w:p w14:paraId="22FBA2D1" w14:textId="414A559A" w:rsidR="00630427" w:rsidRPr="00154085" w:rsidRDefault="00630427">
      <w:pPr>
        <w:pStyle w:val="FootnoteText"/>
        <w:rPr>
          <w:sz w:val="16"/>
          <w:szCs w:val="16"/>
        </w:rPr>
      </w:pPr>
      <w:r w:rsidRPr="00154085">
        <w:rPr>
          <w:rStyle w:val="FootnoteReference"/>
          <w:sz w:val="16"/>
          <w:szCs w:val="16"/>
        </w:rPr>
        <w:footnoteRef/>
      </w:r>
      <w:r w:rsidRPr="00154085">
        <w:rPr>
          <w:sz w:val="16"/>
          <w:szCs w:val="16"/>
        </w:rPr>
        <w:t xml:space="preserve"> </w:t>
      </w:r>
      <w:hyperlink r:id="rId6" w:history="1">
        <w:r w:rsidRPr="005E786B">
          <w:rPr>
            <w:rStyle w:val="Hyperlink"/>
            <w:sz w:val="16"/>
            <w:szCs w:val="16"/>
          </w:rPr>
          <w:t>www.ifc.org</w:t>
        </w:r>
      </w:hyperlink>
      <w:r>
        <w:rPr>
          <w:sz w:val="16"/>
          <w:szCs w:val="16"/>
        </w:rPr>
        <w:t xml:space="preserve"> </w:t>
      </w:r>
      <w:r w:rsidRPr="00154085">
        <w:rPr>
          <w:rFonts w:cs="Arial"/>
          <w:sz w:val="16"/>
          <w:szCs w:val="16"/>
        </w:rPr>
        <w:t xml:space="preserve"> </w:t>
      </w:r>
    </w:p>
  </w:footnote>
  <w:footnote w:id="7">
    <w:p w14:paraId="035DA5F7" w14:textId="2C89393C" w:rsidR="00630427" w:rsidRPr="00154085" w:rsidRDefault="00630427" w:rsidP="00DE2320">
      <w:pPr>
        <w:pStyle w:val="FootnoteText"/>
        <w:rPr>
          <w:sz w:val="16"/>
          <w:szCs w:val="16"/>
        </w:rPr>
      </w:pPr>
      <w:r w:rsidRPr="00154085">
        <w:rPr>
          <w:rStyle w:val="FootnoteReference"/>
          <w:sz w:val="16"/>
          <w:szCs w:val="16"/>
        </w:rPr>
        <w:footnoteRef/>
      </w:r>
      <w:r w:rsidRPr="00154085">
        <w:rPr>
          <w:sz w:val="16"/>
          <w:szCs w:val="16"/>
        </w:rPr>
        <w:t xml:space="preserve"> </w:t>
      </w:r>
      <w:hyperlink r:id="rId7" w:history="1">
        <w:r w:rsidRPr="00154085">
          <w:rPr>
            <w:rStyle w:val="Hyperlink"/>
            <w:sz w:val="16"/>
            <w:szCs w:val="16"/>
          </w:rPr>
          <w:t>http://ifcext.ifc.org/IFCExt/pressroom/IFCPressRoom.nsf/0/2496FA9F4832D2B385257CF2003D78FE?OpenDocument</w:t>
        </w:r>
      </w:hyperlink>
      <w:r w:rsidRPr="00154085">
        <w:rPr>
          <w:sz w:val="16"/>
          <w:szCs w:val="16"/>
        </w:rPr>
        <w:t xml:space="preserve"> </w:t>
      </w:r>
    </w:p>
  </w:footnote>
  <w:footnote w:id="8">
    <w:p w14:paraId="3FA689D8" w14:textId="2CF1F49A" w:rsidR="00630427" w:rsidRPr="00154085" w:rsidRDefault="00630427" w:rsidP="00DE2320">
      <w:pPr>
        <w:pStyle w:val="FootnoteText"/>
        <w:rPr>
          <w:sz w:val="16"/>
          <w:szCs w:val="16"/>
        </w:rPr>
      </w:pPr>
      <w:r w:rsidRPr="00154085">
        <w:rPr>
          <w:rStyle w:val="FootnoteReference"/>
          <w:sz w:val="16"/>
          <w:szCs w:val="16"/>
        </w:rPr>
        <w:footnoteRef/>
      </w:r>
      <w:r w:rsidRPr="00154085">
        <w:rPr>
          <w:sz w:val="16"/>
          <w:szCs w:val="16"/>
        </w:rPr>
        <w:t xml:space="preserve"> </w:t>
      </w:r>
      <w:hyperlink r:id="rId8" w:history="1">
        <w:r w:rsidRPr="00154085">
          <w:rPr>
            <w:rStyle w:val="Hyperlink"/>
            <w:sz w:val="16"/>
            <w:szCs w:val="16"/>
          </w:rPr>
          <w:t>http://ifcext.ifc.org/IFCExt/pressroom/IFCPressRoom.nsf/0/904DDB2AE13A298F85257D6E005EF651?OpenDocument</w:t>
        </w:r>
      </w:hyperlink>
      <w:r w:rsidRPr="00154085">
        <w:rPr>
          <w:sz w:val="16"/>
          <w:szCs w:val="16"/>
        </w:rPr>
        <w:t xml:space="preserve"> </w:t>
      </w:r>
    </w:p>
  </w:footnote>
  <w:footnote w:id="9">
    <w:p w14:paraId="7C0A4B00" w14:textId="7CDF534A" w:rsidR="00630427" w:rsidRDefault="00630427">
      <w:pPr>
        <w:pStyle w:val="FootnoteText"/>
      </w:pPr>
      <w:r w:rsidRPr="00154085">
        <w:rPr>
          <w:rStyle w:val="FootnoteReference"/>
          <w:sz w:val="16"/>
          <w:szCs w:val="16"/>
        </w:rPr>
        <w:footnoteRef/>
      </w:r>
      <w:r w:rsidRPr="00154085">
        <w:rPr>
          <w:sz w:val="16"/>
          <w:szCs w:val="16"/>
        </w:rPr>
        <w:t xml:space="preserve"> </w:t>
      </w:r>
      <w:hyperlink r:id="rId9" w:history="1">
        <w:r w:rsidRPr="00154085">
          <w:rPr>
            <w:rStyle w:val="Hyperlink"/>
            <w:sz w:val="16"/>
            <w:szCs w:val="16"/>
          </w:rPr>
          <w:t>www.forestcarbonpartnership.org</w:t>
        </w:r>
      </w:hyperlink>
      <w:r>
        <w:t xml:space="preserve"> </w:t>
      </w:r>
    </w:p>
  </w:footnote>
  <w:footnote w:id="10">
    <w:p w14:paraId="34B0F2EE" w14:textId="743C1D12" w:rsidR="00630427" w:rsidRPr="00187D3C" w:rsidRDefault="00630427">
      <w:pPr>
        <w:pStyle w:val="FootnoteText"/>
        <w:rPr>
          <w:sz w:val="16"/>
        </w:rPr>
      </w:pPr>
      <w:r w:rsidRPr="00187D3C">
        <w:rPr>
          <w:rStyle w:val="FootnoteReference"/>
          <w:sz w:val="16"/>
          <w:szCs w:val="16"/>
        </w:rPr>
        <w:footnoteRef/>
      </w:r>
      <w:r w:rsidRPr="00187D3C">
        <w:rPr>
          <w:sz w:val="16"/>
          <w:szCs w:val="16"/>
        </w:rPr>
        <w:t xml:space="preserve"> </w:t>
      </w:r>
      <w:hyperlink r:id="rId10" w:history="1">
        <w:r w:rsidRPr="005E786B">
          <w:rPr>
            <w:rStyle w:val="Hyperlink"/>
            <w:sz w:val="16"/>
            <w:szCs w:val="16"/>
          </w:rPr>
          <w:t>https://www-cif.climateinvestmentfunds.org</w:t>
        </w:r>
      </w:hyperlink>
      <w:r>
        <w:rPr>
          <w:sz w:val="16"/>
          <w:szCs w:val="16"/>
        </w:rPr>
        <w:t xml:space="preserve"> </w:t>
      </w:r>
    </w:p>
  </w:footnote>
  <w:footnote w:id="11">
    <w:p w14:paraId="64A0FEAF" w14:textId="63646902" w:rsidR="00630427" w:rsidRPr="00965AE2" w:rsidRDefault="00630427">
      <w:pPr>
        <w:pStyle w:val="FootnoteText"/>
        <w:rPr>
          <w:sz w:val="16"/>
          <w:szCs w:val="16"/>
        </w:rPr>
      </w:pPr>
      <w:r w:rsidRPr="00965AE2">
        <w:rPr>
          <w:rStyle w:val="FootnoteReference"/>
          <w:sz w:val="16"/>
          <w:szCs w:val="16"/>
        </w:rPr>
        <w:footnoteRef/>
      </w:r>
      <w:r w:rsidRPr="00965AE2">
        <w:rPr>
          <w:sz w:val="16"/>
          <w:szCs w:val="16"/>
        </w:rPr>
        <w:t xml:space="preserve"> </w:t>
      </w:r>
      <w:hyperlink r:id="rId11" w:history="1">
        <w:r w:rsidRPr="005E786B">
          <w:rPr>
            <w:rStyle w:val="Hyperlink"/>
            <w:sz w:val="16"/>
            <w:szCs w:val="16"/>
          </w:rPr>
          <w:t>www.cafi.org</w:t>
        </w:r>
      </w:hyperlink>
      <w:r>
        <w:rPr>
          <w:sz w:val="16"/>
          <w:szCs w:val="16"/>
        </w:rPr>
        <w:t xml:space="preserve"> </w:t>
      </w:r>
    </w:p>
  </w:footnote>
  <w:footnote w:id="12">
    <w:p w14:paraId="753FA3D9" w14:textId="309EC655" w:rsidR="00630427" w:rsidRPr="00965AE2" w:rsidRDefault="00630427">
      <w:pPr>
        <w:pStyle w:val="FootnoteText"/>
        <w:rPr>
          <w:sz w:val="16"/>
          <w:szCs w:val="16"/>
        </w:rPr>
      </w:pPr>
      <w:r w:rsidRPr="00965AE2">
        <w:rPr>
          <w:rStyle w:val="FootnoteReference"/>
          <w:sz w:val="16"/>
          <w:szCs w:val="16"/>
        </w:rPr>
        <w:footnoteRef/>
      </w:r>
      <w:r w:rsidRPr="00965AE2">
        <w:rPr>
          <w:sz w:val="16"/>
          <w:szCs w:val="16"/>
        </w:rPr>
        <w:t xml:space="preserve"> </w:t>
      </w:r>
      <w:hyperlink r:id="rId12" w:history="1">
        <w:r w:rsidRPr="00965AE2">
          <w:rPr>
            <w:rStyle w:val="Hyperlink"/>
            <w:sz w:val="16"/>
            <w:szCs w:val="16"/>
          </w:rPr>
          <w:t>http://www.unredd.net/index.php?option=com_content&amp;view=article&amp;id=2406:us-200-million-agreement-signed-between-cafi-and-the-drc-set-to-prevent-tree-loss-and-ensure-sustainable-development&amp;catid=98:general&amp;Itemid=749</w:t>
        </w:r>
      </w:hyperlink>
      <w:r w:rsidRPr="00965AE2">
        <w:rPr>
          <w:sz w:val="16"/>
          <w:szCs w:val="16"/>
        </w:rPr>
        <w:t xml:space="preserve"> </w:t>
      </w:r>
    </w:p>
  </w:footnote>
  <w:footnote w:id="13">
    <w:p w14:paraId="2245D3F0" w14:textId="77777777" w:rsidR="00630427" w:rsidRPr="00FD1E40" w:rsidRDefault="00630427" w:rsidP="00AF4823">
      <w:pPr>
        <w:pStyle w:val="FootnoteText"/>
        <w:rPr>
          <w:sz w:val="16"/>
          <w:szCs w:val="16"/>
        </w:rPr>
      </w:pPr>
      <w:r w:rsidRPr="00FD1E40">
        <w:rPr>
          <w:rStyle w:val="FootnoteReference"/>
          <w:sz w:val="16"/>
          <w:szCs w:val="16"/>
        </w:rPr>
        <w:footnoteRef/>
      </w:r>
      <w:r w:rsidRPr="00FD1E40">
        <w:rPr>
          <w:sz w:val="16"/>
          <w:szCs w:val="16"/>
        </w:rPr>
        <w:t xml:space="preserve"> </w:t>
      </w:r>
      <w:hyperlink r:id="rId13" w:history="1">
        <w:r w:rsidRPr="00FD1E40">
          <w:rPr>
            <w:rStyle w:val="Hyperlink"/>
            <w:sz w:val="16"/>
            <w:szCs w:val="16"/>
          </w:rPr>
          <w:t>www.afdb.org</w:t>
        </w:r>
      </w:hyperlink>
      <w:r>
        <w:rPr>
          <w:sz w:val="16"/>
          <w:szCs w:val="16"/>
        </w:rPr>
        <w:t xml:space="preserve"> </w:t>
      </w:r>
    </w:p>
  </w:footnote>
  <w:footnote w:id="14">
    <w:p w14:paraId="6BE0533C" w14:textId="77777777" w:rsidR="00630427" w:rsidRPr="00FD1E40" w:rsidRDefault="00630427" w:rsidP="00AF4823">
      <w:pPr>
        <w:pStyle w:val="FootnoteText"/>
        <w:rPr>
          <w:sz w:val="16"/>
          <w:szCs w:val="16"/>
        </w:rPr>
      </w:pPr>
      <w:r w:rsidRPr="00FD1E40">
        <w:rPr>
          <w:rStyle w:val="FootnoteReference"/>
          <w:sz w:val="16"/>
          <w:szCs w:val="16"/>
        </w:rPr>
        <w:footnoteRef/>
      </w:r>
      <w:r w:rsidRPr="00FD1E40">
        <w:rPr>
          <w:sz w:val="16"/>
          <w:szCs w:val="16"/>
        </w:rPr>
        <w:t xml:space="preserve"> </w:t>
      </w:r>
      <w:hyperlink r:id="rId14" w:history="1">
        <w:r w:rsidRPr="00FD1E40">
          <w:rPr>
            <w:rStyle w:val="Hyperlink"/>
            <w:sz w:val="16"/>
            <w:szCs w:val="16"/>
          </w:rPr>
          <w:t>http://cbn-group.com/fr/actu.php?idPost=1436273539</w:t>
        </w:r>
      </w:hyperlink>
      <w:r w:rsidRPr="00FD1E40">
        <w:rPr>
          <w:sz w:val="16"/>
          <w:szCs w:val="16"/>
        </w:rPr>
        <w:t xml:space="preserve"> </w:t>
      </w:r>
    </w:p>
  </w:footnote>
  <w:footnote w:id="15">
    <w:p w14:paraId="70DBDD20" w14:textId="77777777" w:rsidR="00630427" w:rsidRPr="00FD1E40" w:rsidRDefault="00630427" w:rsidP="00AF4823">
      <w:pPr>
        <w:pStyle w:val="FootnoteText"/>
        <w:rPr>
          <w:sz w:val="16"/>
        </w:rPr>
      </w:pPr>
      <w:r w:rsidRPr="00FD1E40">
        <w:rPr>
          <w:rStyle w:val="FootnoteReference"/>
          <w:sz w:val="16"/>
        </w:rPr>
        <w:footnoteRef/>
      </w:r>
      <w:r w:rsidRPr="00FD1E40">
        <w:rPr>
          <w:sz w:val="16"/>
        </w:rPr>
        <w:t xml:space="preserve"> </w:t>
      </w:r>
      <w:hyperlink r:id="rId15" w:history="1">
        <w:r w:rsidRPr="00FD1E40">
          <w:rPr>
            <w:rStyle w:val="Hyperlink"/>
            <w:sz w:val="16"/>
          </w:rPr>
          <w:t>https://www.bdeac.org/</w:t>
        </w:r>
      </w:hyperlink>
      <w:r w:rsidRPr="00FD1E40">
        <w:rPr>
          <w:sz w:val="16"/>
        </w:rPr>
        <w:t xml:space="preserve"> </w:t>
      </w:r>
    </w:p>
  </w:footnote>
  <w:footnote w:id="16">
    <w:p w14:paraId="3DBF180D" w14:textId="77777777" w:rsidR="00630427" w:rsidRDefault="00630427" w:rsidP="00AF4823">
      <w:pPr>
        <w:pStyle w:val="FootnoteText"/>
      </w:pPr>
      <w:r w:rsidRPr="00FD1E40">
        <w:rPr>
          <w:rStyle w:val="FootnoteReference"/>
          <w:sz w:val="16"/>
        </w:rPr>
        <w:footnoteRef/>
      </w:r>
      <w:r w:rsidRPr="00FD1E40">
        <w:rPr>
          <w:sz w:val="16"/>
        </w:rPr>
        <w:t xml:space="preserve"> </w:t>
      </w:r>
      <w:hyperlink r:id="rId16" w:history="1">
        <w:r w:rsidRPr="00FD1E40">
          <w:rPr>
            <w:rStyle w:val="Hyperlink"/>
            <w:sz w:val="16"/>
          </w:rPr>
          <w:t>http://gabonreview.com/blog/guichet-concessionnel-beac/</w:t>
        </w:r>
      </w:hyperlink>
      <w:r w:rsidRPr="00FD1E40">
        <w:rPr>
          <w:sz w:val="16"/>
        </w:rPr>
        <w:t xml:space="preserve"> </w:t>
      </w:r>
    </w:p>
  </w:footnote>
  <w:footnote w:id="17">
    <w:p w14:paraId="190CADB2" w14:textId="77777777" w:rsidR="00630427" w:rsidRPr="00FD1E40" w:rsidRDefault="00630427" w:rsidP="00FD1E40">
      <w:pPr>
        <w:pStyle w:val="FootnoteText"/>
        <w:rPr>
          <w:sz w:val="16"/>
          <w:szCs w:val="16"/>
        </w:rPr>
      </w:pPr>
      <w:r w:rsidRPr="00FD1E40">
        <w:rPr>
          <w:rStyle w:val="FootnoteReference"/>
          <w:sz w:val="16"/>
          <w:szCs w:val="16"/>
        </w:rPr>
        <w:footnoteRef/>
      </w:r>
      <w:r w:rsidRPr="00FD1E40">
        <w:rPr>
          <w:sz w:val="16"/>
          <w:szCs w:val="16"/>
        </w:rPr>
        <w:t xml:space="preserve"> </w:t>
      </w:r>
      <w:hyperlink r:id="rId17" w:history="1">
        <w:r w:rsidRPr="00FD1E40">
          <w:rPr>
            <w:rStyle w:val="Hyperlink"/>
            <w:sz w:val="16"/>
            <w:szCs w:val="16"/>
          </w:rPr>
          <w:t>www.ifad.org</w:t>
        </w:r>
      </w:hyperlink>
      <w:r w:rsidRPr="00FD1E40">
        <w:rPr>
          <w:sz w:val="16"/>
          <w:szCs w:val="16"/>
        </w:rPr>
        <w:t xml:space="preserve"> </w:t>
      </w:r>
    </w:p>
  </w:footnote>
  <w:footnote w:id="18">
    <w:p w14:paraId="0E310AD1" w14:textId="5FD9271F" w:rsidR="00630427" w:rsidRPr="00FD1E40" w:rsidRDefault="00630427" w:rsidP="00FD1E40">
      <w:pPr>
        <w:spacing w:after="0"/>
        <w:rPr>
          <w:sz w:val="16"/>
          <w:szCs w:val="16"/>
        </w:rPr>
      </w:pPr>
      <w:r w:rsidRPr="00FD1E40">
        <w:rPr>
          <w:rStyle w:val="FootnoteReference"/>
          <w:sz w:val="16"/>
          <w:szCs w:val="16"/>
        </w:rPr>
        <w:footnoteRef/>
      </w:r>
      <w:r w:rsidRPr="00FD1E40">
        <w:rPr>
          <w:sz w:val="16"/>
          <w:szCs w:val="16"/>
        </w:rPr>
        <w:t xml:space="preserve"> A titre d’exemple, au niveau du PADEF, la contribution du FIDA est un prêt à la République du Congo d'un montant de 9.8 millions USD d’une durée de 40 ans, y compris un différé d'amortissement de 10 ans, et assorti d'une commission de service de trois quart de points (0.75%) l'an (FIDA, 2012). </w:t>
      </w:r>
    </w:p>
  </w:footnote>
  <w:footnote w:id="19">
    <w:p w14:paraId="42C4D27E" w14:textId="0DEC9DE4" w:rsidR="00630427" w:rsidRDefault="00630427" w:rsidP="00FD1E40">
      <w:pPr>
        <w:pStyle w:val="FootnoteText"/>
      </w:pPr>
      <w:r w:rsidRPr="00FD1E40">
        <w:rPr>
          <w:rStyle w:val="FootnoteReference"/>
          <w:sz w:val="16"/>
          <w:szCs w:val="16"/>
        </w:rPr>
        <w:footnoteRef/>
      </w:r>
      <w:r w:rsidRPr="00FD1E40">
        <w:rPr>
          <w:sz w:val="16"/>
          <w:szCs w:val="16"/>
        </w:rPr>
        <w:t xml:space="preserve"> </w:t>
      </w:r>
      <w:hyperlink r:id="rId18" w:history="1">
        <w:r w:rsidRPr="00FD1E40">
          <w:rPr>
            <w:rStyle w:val="Hyperlink"/>
            <w:sz w:val="16"/>
            <w:szCs w:val="16"/>
          </w:rPr>
          <w:t>https://www.ifad.org/en/topic/asap/tags/climate_change/2782790</w:t>
        </w:r>
      </w:hyperlink>
      <w:r w:rsidRPr="00A61AC9">
        <w:rPr>
          <w:sz w:val="16"/>
        </w:rPr>
        <w:t xml:space="preserve"> </w:t>
      </w:r>
    </w:p>
  </w:footnote>
  <w:footnote w:id="20">
    <w:p w14:paraId="2723D2AC" w14:textId="2818E9F4" w:rsidR="00630427" w:rsidRPr="00FD1E40" w:rsidRDefault="00630427">
      <w:pPr>
        <w:pStyle w:val="FootnoteText"/>
        <w:rPr>
          <w:sz w:val="16"/>
          <w:szCs w:val="16"/>
        </w:rPr>
      </w:pPr>
      <w:r w:rsidRPr="00FD1E40">
        <w:rPr>
          <w:rStyle w:val="FootnoteReference"/>
          <w:sz w:val="16"/>
          <w:szCs w:val="16"/>
        </w:rPr>
        <w:footnoteRef/>
      </w:r>
      <w:r w:rsidRPr="00FD1E40">
        <w:rPr>
          <w:sz w:val="16"/>
          <w:szCs w:val="16"/>
        </w:rPr>
        <w:t xml:space="preserve"> </w:t>
      </w:r>
      <w:hyperlink r:id="rId19" w:history="1">
        <w:r w:rsidRPr="005E786B">
          <w:rPr>
            <w:rStyle w:val="Hyperlink"/>
            <w:rFonts w:eastAsiaTheme="majorEastAsia"/>
            <w:sz w:val="16"/>
            <w:szCs w:val="16"/>
          </w:rPr>
          <w:t>www.development-finance.org</w:t>
        </w:r>
      </w:hyperlink>
      <w:r>
        <w:rPr>
          <w:rFonts w:eastAsiaTheme="majorEastAsia"/>
          <w:sz w:val="16"/>
          <w:szCs w:val="16"/>
        </w:rPr>
        <w:t xml:space="preserve"> </w:t>
      </w:r>
      <w:r>
        <w:rPr>
          <w:rStyle w:val="Hyperlink"/>
          <w:rFonts w:eastAsiaTheme="majorEastAsia"/>
          <w:sz w:val="16"/>
          <w:szCs w:val="16"/>
        </w:rPr>
        <w:t xml:space="preserve"> </w:t>
      </w:r>
      <w:r w:rsidRPr="00FD1E40">
        <w:rPr>
          <w:rStyle w:val="HTMLCite"/>
          <w:rFonts w:eastAsiaTheme="majorEastAsia"/>
          <w:sz w:val="16"/>
          <w:szCs w:val="16"/>
        </w:rPr>
        <w:t xml:space="preserve"> </w:t>
      </w:r>
    </w:p>
  </w:footnote>
  <w:footnote w:id="21">
    <w:p w14:paraId="58AF8824" w14:textId="66136806" w:rsidR="00630427" w:rsidRPr="00FD1E40" w:rsidRDefault="00630427">
      <w:pPr>
        <w:pStyle w:val="FootnoteText"/>
        <w:rPr>
          <w:sz w:val="16"/>
          <w:szCs w:val="16"/>
        </w:rPr>
      </w:pPr>
      <w:r w:rsidRPr="00FD1E40">
        <w:rPr>
          <w:rStyle w:val="FootnoteReference"/>
          <w:sz w:val="16"/>
          <w:szCs w:val="16"/>
        </w:rPr>
        <w:footnoteRef/>
      </w:r>
      <w:r w:rsidRPr="00FD1E40">
        <w:rPr>
          <w:sz w:val="16"/>
          <w:szCs w:val="16"/>
        </w:rPr>
        <w:t xml:space="preserve"> </w:t>
      </w:r>
      <w:hyperlink r:id="rId20" w:history="1">
        <w:r w:rsidRPr="005E786B">
          <w:rPr>
            <w:rStyle w:val="Hyperlink"/>
            <w:sz w:val="16"/>
            <w:szCs w:val="16"/>
          </w:rPr>
          <w:t>www.ofid.org</w:t>
        </w:r>
      </w:hyperlink>
      <w:r>
        <w:rPr>
          <w:sz w:val="16"/>
          <w:szCs w:val="16"/>
        </w:rPr>
        <w:t xml:space="preserve"> </w:t>
      </w:r>
    </w:p>
  </w:footnote>
  <w:footnote w:id="22">
    <w:p w14:paraId="27E06698" w14:textId="09C4BC16" w:rsidR="00630427" w:rsidRPr="00FD1E40" w:rsidRDefault="00630427">
      <w:pPr>
        <w:pStyle w:val="FootnoteText"/>
        <w:rPr>
          <w:sz w:val="16"/>
          <w:szCs w:val="16"/>
        </w:rPr>
      </w:pPr>
      <w:r w:rsidRPr="00FD1E40">
        <w:rPr>
          <w:rStyle w:val="FootnoteReference"/>
          <w:sz w:val="16"/>
          <w:szCs w:val="16"/>
        </w:rPr>
        <w:footnoteRef/>
      </w:r>
      <w:r w:rsidRPr="00FD1E40">
        <w:rPr>
          <w:sz w:val="16"/>
          <w:szCs w:val="16"/>
        </w:rPr>
        <w:t xml:space="preserve"> </w:t>
      </w:r>
      <w:hyperlink r:id="rId21" w:history="1">
        <w:r w:rsidRPr="005E786B">
          <w:rPr>
            <w:rStyle w:val="Hyperlink"/>
            <w:sz w:val="16"/>
            <w:szCs w:val="16"/>
          </w:rPr>
          <w:t>www.badea.org</w:t>
        </w:r>
      </w:hyperlink>
      <w:r>
        <w:rPr>
          <w:sz w:val="16"/>
          <w:szCs w:val="16"/>
        </w:rPr>
        <w:t xml:space="preserve"> </w:t>
      </w:r>
    </w:p>
  </w:footnote>
  <w:footnote w:id="23">
    <w:p w14:paraId="7CFDFD9E" w14:textId="77777777" w:rsidR="00630427" w:rsidRDefault="00630427" w:rsidP="00AF4823">
      <w:pPr>
        <w:pStyle w:val="FootnoteText"/>
      </w:pPr>
      <w:r w:rsidRPr="000034C4">
        <w:rPr>
          <w:rStyle w:val="FootnoteReference"/>
          <w:sz w:val="16"/>
        </w:rPr>
        <w:footnoteRef/>
      </w:r>
      <w:r w:rsidRPr="000034C4">
        <w:rPr>
          <w:sz w:val="16"/>
        </w:rPr>
        <w:t xml:space="preserve"> </w:t>
      </w:r>
      <w:hyperlink r:id="rId22" w:history="1">
        <w:r w:rsidRPr="005E786B">
          <w:rPr>
            <w:rStyle w:val="Hyperlink"/>
            <w:sz w:val="16"/>
            <w:szCs w:val="16"/>
          </w:rPr>
          <w:t>http://ec.europa.eu/europeaid/</w:t>
        </w:r>
      </w:hyperlink>
      <w:r>
        <w:rPr>
          <w:sz w:val="16"/>
          <w:szCs w:val="16"/>
        </w:rPr>
        <w:t xml:space="preserve"> </w:t>
      </w:r>
    </w:p>
  </w:footnote>
  <w:footnote w:id="24">
    <w:p w14:paraId="36F79E9E" w14:textId="77777777" w:rsidR="00630427" w:rsidRPr="00965AE2" w:rsidRDefault="00630427" w:rsidP="00AF4823">
      <w:pPr>
        <w:pStyle w:val="FootnoteText"/>
        <w:rPr>
          <w:sz w:val="16"/>
          <w:szCs w:val="16"/>
        </w:rPr>
      </w:pPr>
      <w:r w:rsidRPr="00965AE2">
        <w:rPr>
          <w:rStyle w:val="FootnoteReference"/>
          <w:sz w:val="16"/>
          <w:szCs w:val="16"/>
        </w:rPr>
        <w:footnoteRef/>
      </w:r>
      <w:r w:rsidRPr="00965AE2">
        <w:rPr>
          <w:sz w:val="16"/>
          <w:szCs w:val="16"/>
        </w:rPr>
        <w:t xml:space="preserve"> </w:t>
      </w:r>
      <w:hyperlink r:id="rId23" w:history="1">
        <w:r w:rsidRPr="00965AE2">
          <w:rPr>
            <w:rStyle w:val="Hyperlink"/>
            <w:sz w:val="16"/>
            <w:szCs w:val="16"/>
          </w:rPr>
          <w:t>http://www.touteleurope.eu/les-politiques-europeennes/aide-au-developpement/synthese/fonctionnement-de-l-aide-au-developpement-de-l-union-europeenne.html</w:t>
        </w:r>
      </w:hyperlink>
      <w:r w:rsidRPr="00965AE2">
        <w:rPr>
          <w:sz w:val="16"/>
          <w:szCs w:val="16"/>
        </w:rPr>
        <w:t xml:space="preserve"> </w:t>
      </w:r>
    </w:p>
  </w:footnote>
  <w:footnote w:id="25">
    <w:p w14:paraId="548CF5EE" w14:textId="77777777" w:rsidR="00630427" w:rsidRDefault="00630427" w:rsidP="00AF4823">
      <w:pPr>
        <w:pStyle w:val="FootnoteText"/>
      </w:pPr>
      <w:r w:rsidRPr="00965AE2">
        <w:rPr>
          <w:rStyle w:val="FootnoteReference"/>
          <w:sz w:val="16"/>
          <w:szCs w:val="16"/>
        </w:rPr>
        <w:footnoteRef/>
      </w:r>
      <w:r w:rsidRPr="00965AE2">
        <w:rPr>
          <w:sz w:val="16"/>
          <w:szCs w:val="16"/>
        </w:rPr>
        <w:t xml:space="preserve"> </w:t>
      </w:r>
      <w:hyperlink r:id="rId24" w:history="1">
        <w:r w:rsidRPr="00965AE2">
          <w:rPr>
            <w:rStyle w:val="Hyperlink"/>
            <w:sz w:val="16"/>
            <w:szCs w:val="16"/>
          </w:rPr>
          <w:t>http://eeas.europa.eu/delegations/congo/projects/overview/index_fr.htm</w:t>
        </w:r>
      </w:hyperlink>
      <w:r w:rsidRPr="00965AE2">
        <w:rPr>
          <w:sz w:val="16"/>
          <w:szCs w:val="16"/>
        </w:rPr>
        <w:t xml:space="preserve"> </w:t>
      </w:r>
    </w:p>
  </w:footnote>
  <w:footnote w:id="26">
    <w:p w14:paraId="3EC37FD5" w14:textId="77777777" w:rsidR="00630427" w:rsidRDefault="00630427" w:rsidP="00AF4823">
      <w:pPr>
        <w:pStyle w:val="FootnoteText"/>
      </w:pPr>
      <w:r w:rsidRPr="00EE1F34">
        <w:rPr>
          <w:rStyle w:val="FootnoteReference"/>
          <w:sz w:val="16"/>
          <w:szCs w:val="16"/>
        </w:rPr>
        <w:footnoteRef/>
      </w:r>
      <w:r>
        <w:rPr>
          <w:sz w:val="16"/>
        </w:rPr>
        <w:t xml:space="preserve"> </w:t>
      </w:r>
      <w:hyperlink r:id="rId25" w:history="1">
        <w:r w:rsidRPr="005E786B">
          <w:rPr>
            <w:rStyle w:val="Hyperlink"/>
            <w:sz w:val="16"/>
          </w:rPr>
          <w:t>http://apvflegtcongo.info/index.php/actualite/113-mise-en-oeuvre-de-l-apv-flegt-lancement-des-activites-du-projet-systeme-informatique-de-verification-de-la-legalite-des-bois-et-produits-derives-en-republique-du-congo</w:t>
        </w:r>
      </w:hyperlink>
      <w:r>
        <w:rPr>
          <w:sz w:val="16"/>
        </w:rPr>
        <w:t xml:space="preserve"> </w:t>
      </w:r>
    </w:p>
  </w:footnote>
  <w:footnote w:id="27">
    <w:p w14:paraId="6D0BD615" w14:textId="77777777" w:rsidR="00630427" w:rsidRPr="00FD1E40" w:rsidRDefault="00630427" w:rsidP="00AF4823">
      <w:pPr>
        <w:pStyle w:val="FootnoteText"/>
        <w:rPr>
          <w:sz w:val="16"/>
          <w:szCs w:val="16"/>
        </w:rPr>
      </w:pPr>
      <w:r w:rsidRPr="00FD1E40">
        <w:rPr>
          <w:rStyle w:val="FootnoteReference"/>
          <w:sz w:val="16"/>
          <w:szCs w:val="16"/>
        </w:rPr>
        <w:footnoteRef/>
      </w:r>
      <w:r w:rsidRPr="00FD1E40">
        <w:rPr>
          <w:sz w:val="16"/>
          <w:szCs w:val="16"/>
        </w:rPr>
        <w:t xml:space="preserve"> </w:t>
      </w:r>
      <w:hyperlink r:id="rId26" w:history="1">
        <w:r w:rsidRPr="00FD1E40">
          <w:rPr>
            <w:rStyle w:val="Hyperlink"/>
            <w:sz w:val="16"/>
            <w:szCs w:val="16"/>
          </w:rPr>
          <w:t>http://www.gcca.eu/fr/a-propos-de-lamcc/quest-ce-que-lamccamcc</w:t>
        </w:r>
      </w:hyperlink>
      <w:r w:rsidRPr="00FD1E40">
        <w:rPr>
          <w:sz w:val="16"/>
          <w:szCs w:val="16"/>
        </w:rPr>
        <w:t xml:space="preserve"> </w:t>
      </w:r>
    </w:p>
  </w:footnote>
  <w:footnote w:id="28">
    <w:p w14:paraId="413B6D33" w14:textId="1CCEF891" w:rsidR="00630427" w:rsidRPr="00A27D5D" w:rsidRDefault="00630427">
      <w:pPr>
        <w:pStyle w:val="FootnoteText"/>
        <w:rPr>
          <w:sz w:val="16"/>
        </w:rPr>
      </w:pPr>
      <w:r w:rsidRPr="00A27D5D">
        <w:rPr>
          <w:rStyle w:val="FootnoteReference"/>
          <w:sz w:val="16"/>
        </w:rPr>
        <w:footnoteRef/>
      </w:r>
      <w:r w:rsidRPr="00A27D5D">
        <w:rPr>
          <w:sz w:val="16"/>
        </w:rPr>
        <w:t xml:space="preserve"> </w:t>
      </w:r>
      <w:hyperlink r:id="rId27" w:history="1">
        <w:r w:rsidRPr="00A27D5D">
          <w:rPr>
            <w:rStyle w:val="Hyperlink"/>
            <w:sz w:val="16"/>
          </w:rPr>
          <w:t>http://www.greenclimate.fund/</w:t>
        </w:r>
      </w:hyperlink>
    </w:p>
  </w:footnote>
  <w:footnote w:id="29">
    <w:p w14:paraId="36A8C066" w14:textId="5778C9A4" w:rsidR="00630427" w:rsidRPr="00A27D5D" w:rsidRDefault="00630427">
      <w:pPr>
        <w:pStyle w:val="FootnoteText"/>
        <w:rPr>
          <w:sz w:val="16"/>
        </w:rPr>
      </w:pPr>
      <w:r w:rsidRPr="00A27D5D">
        <w:rPr>
          <w:rStyle w:val="FootnoteReference"/>
          <w:sz w:val="16"/>
        </w:rPr>
        <w:footnoteRef/>
      </w:r>
      <w:r w:rsidRPr="00A27D5D">
        <w:rPr>
          <w:sz w:val="16"/>
        </w:rPr>
        <w:t xml:space="preserve"> </w:t>
      </w:r>
      <w:hyperlink r:id="rId28" w:history="1">
        <w:r w:rsidRPr="00A27D5D">
          <w:rPr>
            <w:rStyle w:val="Hyperlink"/>
            <w:sz w:val="16"/>
          </w:rPr>
          <w:t>http://www.cop21.gouv.fr/les-huit-premiers-projets-finances-par-le-fonds-vert-pour-le-climat/</w:t>
        </w:r>
      </w:hyperlink>
      <w:r w:rsidRPr="00A27D5D">
        <w:rPr>
          <w:sz w:val="16"/>
        </w:rPr>
        <w:t xml:space="preserve"> </w:t>
      </w:r>
    </w:p>
  </w:footnote>
  <w:footnote w:id="30">
    <w:p w14:paraId="15654A83" w14:textId="4B22A1E0" w:rsidR="00630427" w:rsidRDefault="00630427" w:rsidP="006B2340">
      <w:pPr>
        <w:pStyle w:val="FootnoteText"/>
      </w:pPr>
      <w:r w:rsidRPr="00A27D5D">
        <w:rPr>
          <w:rStyle w:val="FootnoteReference"/>
          <w:sz w:val="16"/>
        </w:rPr>
        <w:footnoteRef/>
      </w:r>
      <w:r w:rsidRPr="00A27D5D">
        <w:rPr>
          <w:sz w:val="16"/>
        </w:rPr>
        <w:t xml:space="preserve"> </w:t>
      </w:r>
      <w:hyperlink r:id="rId29" w:history="1">
        <w:r w:rsidRPr="00A27D5D">
          <w:rPr>
            <w:rStyle w:val="Hyperlink"/>
            <w:sz w:val="16"/>
          </w:rPr>
          <w:t>https://www.thegef.org/</w:t>
        </w:r>
      </w:hyperlink>
      <w:r w:rsidRPr="00A27D5D">
        <w:rPr>
          <w:sz w:val="16"/>
        </w:rPr>
        <w:t xml:space="preserve"> </w:t>
      </w:r>
    </w:p>
  </w:footnote>
  <w:footnote w:id="31">
    <w:p w14:paraId="70855180" w14:textId="53307CE6" w:rsidR="00630427" w:rsidRPr="00A27D5D" w:rsidRDefault="00630427">
      <w:pPr>
        <w:pStyle w:val="FootnoteText"/>
        <w:rPr>
          <w:sz w:val="16"/>
        </w:rPr>
      </w:pPr>
      <w:r w:rsidRPr="00A27D5D">
        <w:rPr>
          <w:rStyle w:val="FootnoteReference"/>
          <w:sz w:val="16"/>
        </w:rPr>
        <w:footnoteRef/>
      </w:r>
      <w:r w:rsidRPr="00A27D5D">
        <w:rPr>
          <w:sz w:val="16"/>
        </w:rPr>
        <w:t xml:space="preserve"> </w:t>
      </w:r>
      <w:hyperlink r:id="rId30" w:history="1">
        <w:r w:rsidRPr="00A27D5D">
          <w:rPr>
            <w:rStyle w:val="Hyperlink"/>
            <w:sz w:val="16"/>
          </w:rPr>
          <w:t>https://www.forestcarbonpartnership.org/sites/fcp/files/2015/August/FCPF_August2015_RoC.pdf</w:t>
        </w:r>
      </w:hyperlink>
      <w:r w:rsidRPr="00A27D5D">
        <w:rPr>
          <w:sz w:val="16"/>
        </w:rPr>
        <w:t xml:space="preserve"> </w:t>
      </w:r>
    </w:p>
  </w:footnote>
  <w:footnote w:id="32">
    <w:p w14:paraId="1260CE6D" w14:textId="0CD8B80B" w:rsidR="00630427" w:rsidRDefault="00630427" w:rsidP="00FB1EFA">
      <w:pPr>
        <w:pStyle w:val="FootnoteText"/>
      </w:pPr>
      <w:r w:rsidRPr="00A27D5D">
        <w:rPr>
          <w:rStyle w:val="FootnoteReference"/>
          <w:sz w:val="16"/>
        </w:rPr>
        <w:footnoteRef/>
      </w:r>
      <w:r w:rsidRPr="00A27D5D">
        <w:rPr>
          <w:sz w:val="16"/>
        </w:rPr>
        <w:t xml:space="preserve"> </w:t>
      </w:r>
      <w:hyperlink r:id="rId31" w:history="1">
        <w:r w:rsidRPr="00A27D5D">
          <w:rPr>
            <w:rStyle w:val="Hyperlink"/>
            <w:sz w:val="16"/>
          </w:rPr>
          <w:t>https://www.adaptation-fund.org/</w:t>
        </w:r>
      </w:hyperlink>
    </w:p>
  </w:footnote>
  <w:footnote w:id="33">
    <w:p w14:paraId="483BFE80" w14:textId="71193D62" w:rsidR="00630427" w:rsidRDefault="00630427" w:rsidP="00C5001E">
      <w:pPr>
        <w:pStyle w:val="FootnoteText"/>
      </w:pPr>
      <w:r>
        <w:rPr>
          <w:rStyle w:val="FootnoteReference"/>
        </w:rPr>
        <w:footnoteRef/>
      </w:r>
      <w:r>
        <w:t xml:space="preserve"> </w:t>
      </w:r>
      <w:hyperlink r:id="rId32" w:history="1">
        <w:r w:rsidRPr="00A27D5D">
          <w:rPr>
            <w:rStyle w:val="Hyperlink"/>
            <w:sz w:val="16"/>
          </w:rPr>
          <w:t>https://data.oecd.org/fr/oda/apd-nette.htm</w:t>
        </w:r>
      </w:hyperlink>
    </w:p>
  </w:footnote>
  <w:footnote w:id="34">
    <w:p w14:paraId="33DD6F02" w14:textId="7054CC10" w:rsidR="00630427" w:rsidRDefault="00630427">
      <w:pPr>
        <w:pStyle w:val="FootnoteText"/>
      </w:pPr>
      <w:r w:rsidRPr="00A27D5D">
        <w:rPr>
          <w:rStyle w:val="FootnoteReference"/>
          <w:sz w:val="16"/>
        </w:rPr>
        <w:footnoteRef/>
      </w:r>
      <w:r w:rsidRPr="00A27D5D">
        <w:rPr>
          <w:sz w:val="16"/>
        </w:rPr>
        <w:t xml:space="preserve"> </w:t>
      </w:r>
      <w:hyperlink r:id="rId33" w:history="1">
        <w:r w:rsidRPr="00A27D5D">
          <w:rPr>
            <w:rStyle w:val="Hyperlink"/>
            <w:sz w:val="16"/>
          </w:rPr>
          <w:t>http://www.afd.fr</w:t>
        </w:r>
      </w:hyperlink>
    </w:p>
  </w:footnote>
  <w:footnote w:id="35">
    <w:p w14:paraId="03990BE0" w14:textId="3777235D" w:rsidR="00630427" w:rsidRDefault="00630427">
      <w:pPr>
        <w:pStyle w:val="FootnoteText"/>
      </w:pPr>
      <w:r w:rsidRPr="00A27D5D">
        <w:rPr>
          <w:rStyle w:val="FootnoteReference"/>
          <w:sz w:val="16"/>
        </w:rPr>
        <w:footnoteRef/>
      </w:r>
      <w:r w:rsidRPr="00A27D5D">
        <w:rPr>
          <w:sz w:val="16"/>
        </w:rPr>
        <w:t xml:space="preserve"> </w:t>
      </w:r>
      <w:hyperlink r:id="rId34" w:history="1">
        <w:r w:rsidRPr="00A27D5D">
          <w:rPr>
            <w:rStyle w:val="Hyperlink"/>
            <w:sz w:val="16"/>
          </w:rPr>
          <w:t>http://www.proparco.fr/</w:t>
        </w:r>
      </w:hyperlink>
      <w:r w:rsidRPr="00A27D5D">
        <w:rPr>
          <w:sz w:val="16"/>
        </w:rPr>
        <w:t xml:space="preserve"> </w:t>
      </w:r>
    </w:p>
  </w:footnote>
  <w:footnote w:id="36">
    <w:p w14:paraId="6BD006FA" w14:textId="77777777" w:rsidR="00630427" w:rsidRPr="00A27D5D" w:rsidRDefault="00630427" w:rsidP="00A94C76">
      <w:pPr>
        <w:pStyle w:val="FootnoteText"/>
        <w:rPr>
          <w:sz w:val="16"/>
        </w:rPr>
      </w:pPr>
      <w:r w:rsidRPr="00A27D5D">
        <w:rPr>
          <w:rStyle w:val="FootnoteReference"/>
          <w:sz w:val="16"/>
        </w:rPr>
        <w:footnoteRef/>
      </w:r>
      <w:r w:rsidRPr="00A27D5D">
        <w:rPr>
          <w:sz w:val="16"/>
        </w:rPr>
        <w:t xml:space="preserve"> </w:t>
      </w:r>
      <w:hyperlink r:id="rId35" w:history="1">
        <w:r w:rsidRPr="005E786B">
          <w:rPr>
            <w:rStyle w:val="Hyperlink"/>
            <w:sz w:val="16"/>
          </w:rPr>
          <w:t>http://www.ffem.fr/</w:t>
        </w:r>
      </w:hyperlink>
      <w:r>
        <w:rPr>
          <w:sz w:val="16"/>
        </w:rPr>
        <w:t xml:space="preserve"> </w:t>
      </w:r>
    </w:p>
  </w:footnote>
  <w:footnote w:id="37">
    <w:p w14:paraId="3197AC91" w14:textId="66280F45" w:rsidR="00630427" w:rsidRDefault="00630427">
      <w:pPr>
        <w:pStyle w:val="FootnoteText"/>
      </w:pPr>
      <w:r>
        <w:rPr>
          <w:rStyle w:val="FootnoteReference"/>
        </w:rPr>
        <w:footnoteRef/>
      </w:r>
      <w:hyperlink r:id="rId36" w:history="1">
        <w:r w:rsidRPr="00A27D5D">
          <w:rPr>
            <w:rStyle w:val="Hyperlink"/>
            <w:sz w:val="16"/>
          </w:rPr>
          <w:t>http://www.proparco.fr/webdav/site/proparco/shared/ELEMENTS_COMMUNS/PROPARCO/Nos_activites/Climat/Multipays_ICCF_Proparco-FR.pdf</w:t>
        </w:r>
      </w:hyperlink>
      <w:r w:rsidRPr="00A27D5D">
        <w:rPr>
          <w:sz w:val="16"/>
        </w:rPr>
        <w:t xml:space="preserve"> </w:t>
      </w:r>
    </w:p>
  </w:footnote>
  <w:footnote w:id="38">
    <w:p w14:paraId="7819D411" w14:textId="4DA82EE4" w:rsidR="00A33F43" w:rsidRDefault="00A33F43">
      <w:pPr>
        <w:pStyle w:val="FootnoteText"/>
      </w:pPr>
      <w:r>
        <w:rPr>
          <w:rStyle w:val="FootnoteReference"/>
        </w:rPr>
        <w:footnoteRef/>
      </w:r>
      <w:r>
        <w:t xml:space="preserve"> </w:t>
      </w:r>
      <w:hyperlink r:id="rId37" w:history="1">
        <w:r w:rsidRPr="00C612ED">
          <w:rPr>
            <w:rStyle w:val="Hyperlink"/>
          </w:rPr>
          <w:t>http://www.tresor.economie.gouv.fr/fasep</w:t>
        </w:r>
      </w:hyperlink>
      <w:r>
        <w:t xml:space="preserve"> </w:t>
      </w:r>
    </w:p>
  </w:footnote>
  <w:footnote w:id="39">
    <w:p w14:paraId="02C1765D" w14:textId="3D4D165B" w:rsidR="00630427" w:rsidRPr="00A27D5D" w:rsidRDefault="00630427">
      <w:pPr>
        <w:pStyle w:val="FootnoteText"/>
        <w:rPr>
          <w:sz w:val="16"/>
        </w:rPr>
      </w:pPr>
      <w:r w:rsidRPr="00A27D5D">
        <w:rPr>
          <w:rStyle w:val="FootnoteReference"/>
          <w:sz w:val="16"/>
        </w:rPr>
        <w:footnoteRef/>
      </w:r>
      <w:r w:rsidRPr="00A27D5D">
        <w:rPr>
          <w:sz w:val="16"/>
        </w:rPr>
        <w:t xml:space="preserve"> </w:t>
      </w:r>
      <w:hyperlink r:id="rId38" w:history="1">
        <w:r w:rsidRPr="00A27D5D">
          <w:rPr>
            <w:rStyle w:val="Hyperlink"/>
            <w:sz w:val="16"/>
          </w:rPr>
          <w:t>http://www.bmz.de/</w:t>
        </w:r>
      </w:hyperlink>
      <w:r w:rsidRPr="00A27D5D">
        <w:rPr>
          <w:sz w:val="16"/>
        </w:rPr>
        <w:t xml:space="preserve"> </w:t>
      </w:r>
    </w:p>
  </w:footnote>
  <w:footnote w:id="40">
    <w:p w14:paraId="4ADD7BD0" w14:textId="0C620870" w:rsidR="00630427" w:rsidRPr="00A27D5D" w:rsidRDefault="00630427">
      <w:pPr>
        <w:pStyle w:val="FootnoteText"/>
        <w:rPr>
          <w:sz w:val="16"/>
        </w:rPr>
      </w:pPr>
      <w:r w:rsidRPr="00A27D5D">
        <w:rPr>
          <w:rStyle w:val="FootnoteReference"/>
          <w:sz w:val="16"/>
        </w:rPr>
        <w:footnoteRef/>
      </w:r>
      <w:r w:rsidRPr="00A27D5D">
        <w:rPr>
          <w:sz w:val="16"/>
        </w:rPr>
        <w:t xml:space="preserve"> </w:t>
      </w:r>
      <w:hyperlink r:id="rId39" w:history="1">
        <w:r w:rsidRPr="00A27D5D">
          <w:rPr>
            <w:rStyle w:val="Hyperlink"/>
            <w:sz w:val="16"/>
          </w:rPr>
          <w:t>http://www.comifac.org</w:t>
        </w:r>
      </w:hyperlink>
      <w:r>
        <w:rPr>
          <w:sz w:val="16"/>
        </w:rPr>
        <w:t xml:space="preserve"> </w:t>
      </w:r>
    </w:p>
  </w:footnote>
  <w:footnote w:id="41">
    <w:p w14:paraId="5515BBE7" w14:textId="6730E3FF" w:rsidR="00630427" w:rsidRPr="00A27D5D" w:rsidRDefault="00630427">
      <w:pPr>
        <w:pStyle w:val="FootnoteText"/>
        <w:rPr>
          <w:sz w:val="16"/>
        </w:rPr>
      </w:pPr>
      <w:r w:rsidRPr="00A27D5D">
        <w:rPr>
          <w:rStyle w:val="FootnoteReference"/>
          <w:sz w:val="16"/>
        </w:rPr>
        <w:footnoteRef/>
      </w:r>
      <w:r w:rsidRPr="00A27D5D">
        <w:rPr>
          <w:sz w:val="16"/>
        </w:rPr>
        <w:t xml:space="preserve"> </w:t>
      </w:r>
      <w:hyperlink r:id="rId40" w:history="1">
        <w:r w:rsidRPr="00A27D5D">
          <w:rPr>
            <w:rStyle w:val="Hyperlink"/>
            <w:sz w:val="16"/>
          </w:rPr>
          <w:t>https://www.deginvest.de/International-financing/DEG/Die-DEG</w:t>
        </w:r>
      </w:hyperlink>
      <w:r>
        <w:rPr>
          <w:sz w:val="16"/>
        </w:rPr>
        <w:t xml:space="preserve"> </w:t>
      </w:r>
    </w:p>
  </w:footnote>
  <w:footnote w:id="42">
    <w:p w14:paraId="51C12C24" w14:textId="0C6F54B3" w:rsidR="00630427" w:rsidRDefault="00630427">
      <w:pPr>
        <w:pStyle w:val="FootnoteText"/>
      </w:pPr>
      <w:r w:rsidRPr="00A27D5D">
        <w:rPr>
          <w:rStyle w:val="FootnoteReference"/>
          <w:sz w:val="16"/>
        </w:rPr>
        <w:footnoteRef/>
      </w:r>
      <w:r w:rsidRPr="00A27D5D">
        <w:rPr>
          <w:sz w:val="16"/>
        </w:rPr>
        <w:t xml:space="preserve"> </w:t>
      </w:r>
      <w:hyperlink r:id="rId41" w:history="1">
        <w:r w:rsidRPr="00A27D5D">
          <w:rPr>
            <w:rStyle w:val="Hyperlink"/>
            <w:sz w:val="16"/>
          </w:rPr>
          <w:t>https://www.international-climate-initiative.com/</w:t>
        </w:r>
      </w:hyperlink>
      <w:r>
        <w:rPr>
          <w:sz w:val="16"/>
        </w:rPr>
        <w:t xml:space="preserve"> </w:t>
      </w:r>
    </w:p>
  </w:footnote>
  <w:footnote w:id="43">
    <w:p w14:paraId="261A696D" w14:textId="026E3943" w:rsidR="00630427" w:rsidRPr="00A27D5D" w:rsidRDefault="00630427">
      <w:pPr>
        <w:pStyle w:val="FootnoteText"/>
        <w:rPr>
          <w:sz w:val="16"/>
        </w:rPr>
      </w:pPr>
      <w:r w:rsidRPr="00A27D5D">
        <w:rPr>
          <w:rStyle w:val="FootnoteReference"/>
          <w:sz w:val="16"/>
        </w:rPr>
        <w:footnoteRef/>
      </w:r>
      <w:r w:rsidRPr="00A27D5D">
        <w:rPr>
          <w:sz w:val="16"/>
        </w:rPr>
        <w:t xml:space="preserve"> </w:t>
      </w:r>
      <w:hyperlink r:id="rId42" w:history="1">
        <w:r w:rsidRPr="00A27D5D">
          <w:rPr>
            <w:rStyle w:val="Hyperlink"/>
            <w:sz w:val="16"/>
          </w:rPr>
          <w:t>http://www.ecosystemmarketplace.com/articles/redd-early-movers-program-expands-ecuador-colombia/</w:t>
        </w:r>
      </w:hyperlink>
      <w:r w:rsidRPr="00A27D5D">
        <w:rPr>
          <w:sz w:val="16"/>
        </w:rPr>
        <w:t xml:space="preserve"> </w:t>
      </w:r>
    </w:p>
  </w:footnote>
  <w:footnote w:id="44">
    <w:p w14:paraId="282FC314" w14:textId="57FDC4E6" w:rsidR="00630427" w:rsidRPr="00A27D5D" w:rsidRDefault="00630427">
      <w:pPr>
        <w:pStyle w:val="FootnoteText"/>
        <w:rPr>
          <w:sz w:val="16"/>
        </w:rPr>
      </w:pPr>
      <w:r w:rsidRPr="00A27D5D">
        <w:rPr>
          <w:rStyle w:val="FootnoteReference"/>
          <w:sz w:val="16"/>
        </w:rPr>
        <w:footnoteRef/>
      </w:r>
      <w:r w:rsidRPr="00A27D5D">
        <w:rPr>
          <w:sz w:val="16"/>
        </w:rPr>
        <w:t xml:space="preserve"> </w:t>
      </w:r>
      <w:hyperlink w:history="1">
        <w:r w:rsidRPr="00B715D2">
          <w:rPr>
            <w:rStyle w:val="Hyperlink"/>
            <w:sz w:val="16"/>
          </w:rPr>
          <w:t>http://www.nama-facili ty.org</w:t>
        </w:r>
      </w:hyperlink>
      <w:r>
        <w:rPr>
          <w:sz w:val="16"/>
        </w:rPr>
        <w:t xml:space="preserve"> </w:t>
      </w:r>
    </w:p>
  </w:footnote>
  <w:footnote w:id="45">
    <w:p w14:paraId="21C414A4" w14:textId="1905FFCC" w:rsidR="00630427" w:rsidRPr="00A27D5D" w:rsidRDefault="00630427">
      <w:pPr>
        <w:pStyle w:val="FootnoteText"/>
        <w:rPr>
          <w:sz w:val="16"/>
        </w:rPr>
      </w:pPr>
      <w:r w:rsidRPr="00A27D5D">
        <w:rPr>
          <w:rStyle w:val="FootnoteReference"/>
          <w:sz w:val="16"/>
        </w:rPr>
        <w:footnoteRef/>
      </w:r>
      <w:r w:rsidRPr="00A27D5D">
        <w:rPr>
          <w:sz w:val="16"/>
        </w:rPr>
        <w:t xml:space="preserve"> </w:t>
      </w:r>
      <w:hyperlink r:id="rId43" w:history="1">
        <w:r w:rsidRPr="00A27D5D">
          <w:rPr>
            <w:rStyle w:val="Hyperlink"/>
            <w:sz w:val="16"/>
          </w:rPr>
          <w:t>http://gcpf.lu/</w:t>
        </w:r>
      </w:hyperlink>
      <w:r w:rsidRPr="00A27D5D">
        <w:rPr>
          <w:sz w:val="16"/>
        </w:rPr>
        <w:t xml:space="preserve"> </w:t>
      </w:r>
    </w:p>
  </w:footnote>
  <w:footnote w:id="46">
    <w:p w14:paraId="1D571573" w14:textId="77777777" w:rsidR="00630427" w:rsidRPr="00A27D5D" w:rsidRDefault="00630427" w:rsidP="00D0493D">
      <w:pPr>
        <w:pStyle w:val="FootnoteText"/>
        <w:rPr>
          <w:sz w:val="16"/>
        </w:rPr>
      </w:pPr>
      <w:r w:rsidRPr="00A27D5D">
        <w:rPr>
          <w:rStyle w:val="FootnoteReference"/>
          <w:sz w:val="16"/>
        </w:rPr>
        <w:footnoteRef/>
      </w:r>
      <w:r w:rsidRPr="00A27D5D">
        <w:rPr>
          <w:sz w:val="16"/>
        </w:rPr>
        <w:t xml:space="preserve"> </w:t>
      </w:r>
      <w:hyperlink r:id="rId44" w:history="1">
        <w:r w:rsidRPr="00A27D5D">
          <w:rPr>
            <w:rStyle w:val="Hyperlink"/>
            <w:sz w:val="16"/>
          </w:rPr>
          <w:t>https://www.usaid.gov/</w:t>
        </w:r>
      </w:hyperlink>
      <w:r w:rsidRPr="00A27D5D">
        <w:rPr>
          <w:sz w:val="16"/>
        </w:rPr>
        <w:t xml:space="preserve"> </w:t>
      </w:r>
    </w:p>
  </w:footnote>
  <w:footnote w:id="47">
    <w:p w14:paraId="65F231D5" w14:textId="26D65C58" w:rsidR="00630427" w:rsidRDefault="00630427">
      <w:pPr>
        <w:pStyle w:val="FootnoteText"/>
      </w:pPr>
      <w:r w:rsidRPr="00A27D5D">
        <w:rPr>
          <w:rStyle w:val="FootnoteReference"/>
          <w:sz w:val="16"/>
        </w:rPr>
        <w:footnoteRef/>
      </w:r>
      <w:r w:rsidRPr="00A27D5D">
        <w:rPr>
          <w:sz w:val="16"/>
        </w:rPr>
        <w:t xml:space="preserve"> </w:t>
      </w:r>
      <w:hyperlink r:id="rId45" w:history="1">
        <w:r w:rsidRPr="005E786B">
          <w:rPr>
            <w:rStyle w:val="Hyperlink"/>
            <w:sz w:val="16"/>
          </w:rPr>
          <w:t>www.opic.gov</w:t>
        </w:r>
      </w:hyperlink>
      <w:r>
        <w:rPr>
          <w:sz w:val="16"/>
        </w:rPr>
        <w:t xml:space="preserve"> </w:t>
      </w:r>
    </w:p>
  </w:footnote>
  <w:footnote w:id="48">
    <w:p w14:paraId="4D0E73F3" w14:textId="54F4362C" w:rsidR="00630427" w:rsidRPr="00A27D5D" w:rsidRDefault="00630427">
      <w:pPr>
        <w:pStyle w:val="FootnoteText"/>
        <w:rPr>
          <w:sz w:val="16"/>
        </w:rPr>
      </w:pPr>
      <w:r w:rsidRPr="00A27D5D">
        <w:rPr>
          <w:rStyle w:val="FootnoteReference"/>
          <w:sz w:val="16"/>
        </w:rPr>
        <w:footnoteRef/>
      </w:r>
      <w:r w:rsidRPr="00A27D5D">
        <w:rPr>
          <w:sz w:val="16"/>
        </w:rPr>
        <w:t xml:space="preserve"> </w:t>
      </w:r>
      <w:hyperlink r:id="rId46" w:history="1">
        <w:r w:rsidRPr="005E786B">
          <w:rPr>
            <w:rStyle w:val="Hyperlink"/>
            <w:sz w:val="16"/>
          </w:rPr>
          <w:t>https://www.usaid.gov/climate/program-profiles</w:t>
        </w:r>
      </w:hyperlink>
      <w:r>
        <w:rPr>
          <w:sz w:val="16"/>
        </w:rPr>
        <w:t xml:space="preserve"> </w:t>
      </w:r>
    </w:p>
  </w:footnote>
  <w:footnote w:id="49">
    <w:p w14:paraId="57F88C86" w14:textId="77777777" w:rsidR="00630427" w:rsidRPr="00A27D5D" w:rsidRDefault="00630427" w:rsidP="00F94303">
      <w:pPr>
        <w:pStyle w:val="FootnoteText"/>
        <w:rPr>
          <w:sz w:val="16"/>
        </w:rPr>
      </w:pPr>
      <w:r w:rsidRPr="00A27D5D">
        <w:rPr>
          <w:rStyle w:val="FootnoteReference"/>
          <w:sz w:val="16"/>
        </w:rPr>
        <w:footnoteRef/>
      </w:r>
      <w:r w:rsidRPr="00A27D5D">
        <w:rPr>
          <w:sz w:val="16"/>
        </w:rPr>
        <w:t xml:space="preserve"> </w:t>
      </w:r>
      <w:hyperlink r:id="rId47" w:history="1">
        <w:r w:rsidRPr="00A27D5D">
          <w:rPr>
            <w:rStyle w:val="Hyperlink"/>
            <w:sz w:val="16"/>
          </w:rPr>
          <w:t>http://carpe.umd.edu/</w:t>
        </w:r>
      </w:hyperlink>
      <w:r w:rsidRPr="00A27D5D">
        <w:rPr>
          <w:sz w:val="16"/>
        </w:rPr>
        <w:t xml:space="preserve"> </w:t>
      </w:r>
    </w:p>
  </w:footnote>
  <w:footnote w:id="50">
    <w:p w14:paraId="77A9A168" w14:textId="5BD65591" w:rsidR="00630427" w:rsidRDefault="00630427">
      <w:pPr>
        <w:pStyle w:val="FootnoteText"/>
      </w:pPr>
      <w:r w:rsidRPr="00A27D5D">
        <w:rPr>
          <w:rStyle w:val="FootnoteReference"/>
          <w:sz w:val="16"/>
        </w:rPr>
        <w:footnoteRef/>
      </w:r>
      <w:r w:rsidRPr="00A27D5D">
        <w:rPr>
          <w:sz w:val="16"/>
        </w:rPr>
        <w:t xml:space="preserve"> </w:t>
      </w:r>
      <w:hyperlink r:id="rId48" w:history="1">
        <w:r w:rsidRPr="00A27D5D">
          <w:rPr>
            <w:rStyle w:val="Hyperlink"/>
            <w:sz w:val="16"/>
          </w:rPr>
          <w:t>www.gov.uk/government/organisations/department-for-international-development</w:t>
        </w:r>
      </w:hyperlink>
      <w:r w:rsidRPr="00A27D5D">
        <w:rPr>
          <w:sz w:val="16"/>
        </w:rPr>
        <w:t xml:space="preserve"> </w:t>
      </w:r>
    </w:p>
  </w:footnote>
  <w:footnote w:id="51">
    <w:p w14:paraId="340E0AAC" w14:textId="71C07C12" w:rsidR="00630427" w:rsidRPr="00A27D5D" w:rsidRDefault="00630427">
      <w:pPr>
        <w:pStyle w:val="FootnoteText"/>
        <w:rPr>
          <w:sz w:val="14"/>
        </w:rPr>
      </w:pPr>
      <w:r w:rsidRPr="00112145">
        <w:rPr>
          <w:rStyle w:val="FootnoteReference"/>
          <w:sz w:val="18"/>
        </w:rPr>
        <w:footnoteRef/>
      </w:r>
      <w:r w:rsidRPr="00112145">
        <w:rPr>
          <w:sz w:val="18"/>
        </w:rPr>
        <w:t xml:space="preserve"> </w:t>
      </w:r>
      <w:hyperlink r:id="rId49" w:history="1">
        <w:r w:rsidRPr="00A27D5D">
          <w:rPr>
            <w:rStyle w:val="Hyperlink"/>
            <w:sz w:val="14"/>
          </w:rPr>
          <w:t>http://www.apvflegtcongo.info/index.php/actualite/117-projet-appui-a-la-mise-en-oeuvre-de-l-apv-flegt-en-republique-du-congo-signature-du-contrat-entre-le-mefdd-et-le-consortium-frmi-atibt-pour-la-fourniture-de-l-assistance-technique-principale</w:t>
        </w:r>
      </w:hyperlink>
      <w:r w:rsidRPr="00A27D5D">
        <w:rPr>
          <w:sz w:val="14"/>
        </w:rPr>
        <w:t xml:space="preserve"> </w:t>
      </w:r>
    </w:p>
  </w:footnote>
  <w:footnote w:id="52">
    <w:p w14:paraId="383AB7D4" w14:textId="5D934C21" w:rsidR="00630427" w:rsidRPr="00A27D5D" w:rsidRDefault="00630427" w:rsidP="008474AF">
      <w:pPr>
        <w:pStyle w:val="FootnoteText"/>
        <w:rPr>
          <w:sz w:val="14"/>
        </w:rPr>
      </w:pPr>
      <w:r w:rsidRPr="00A27D5D">
        <w:rPr>
          <w:rStyle w:val="FootnoteReference"/>
          <w:sz w:val="14"/>
        </w:rPr>
        <w:footnoteRef/>
      </w:r>
      <w:r w:rsidRPr="00A27D5D">
        <w:rPr>
          <w:sz w:val="14"/>
        </w:rPr>
        <w:t xml:space="preserve"> </w:t>
      </w:r>
      <w:bookmarkStart w:id="40" w:name="OLE_LINK19"/>
      <w:bookmarkStart w:id="41" w:name="OLE_LINK20"/>
      <w:r w:rsidRPr="00A27D5D">
        <w:rPr>
          <w:sz w:val="16"/>
        </w:rPr>
        <w:fldChar w:fldCharType="begin"/>
      </w:r>
      <w:r w:rsidRPr="00A27D5D">
        <w:rPr>
          <w:sz w:val="16"/>
        </w:rPr>
        <w:instrText xml:space="preserve"> HYPERLINK "http://www.cdcgroup.com/" </w:instrText>
      </w:r>
      <w:r w:rsidRPr="00A27D5D">
        <w:rPr>
          <w:sz w:val="16"/>
        </w:rPr>
        <w:fldChar w:fldCharType="separate"/>
      </w:r>
      <w:r w:rsidRPr="00A27D5D">
        <w:rPr>
          <w:rStyle w:val="Hyperlink"/>
          <w:sz w:val="14"/>
        </w:rPr>
        <w:t>http://www.cdcgroup.com/</w:t>
      </w:r>
      <w:r w:rsidRPr="00A27D5D">
        <w:rPr>
          <w:rStyle w:val="Hyperlink"/>
          <w:sz w:val="14"/>
        </w:rPr>
        <w:fldChar w:fldCharType="end"/>
      </w:r>
      <w:r w:rsidRPr="00A27D5D">
        <w:rPr>
          <w:sz w:val="14"/>
        </w:rPr>
        <w:t xml:space="preserve"> </w:t>
      </w:r>
      <w:bookmarkEnd w:id="40"/>
      <w:bookmarkEnd w:id="41"/>
    </w:p>
  </w:footnote>
  <w:footnote w:id="53">
    <w:p w14:paraId="375F8ED3" w14:textId="76DC70D1" w:rsidR="00630427" w:rsidRPr="00A27D5D" w:rsidRDefault="00630427">
      <w:pPr>
        <w:pStyle w:val="FootnoteText"/>
        <w:rPr>
          <w:sz w:val="14"/>
        </w:rPr>
      </w:pPr>
      <w:r w:rsidRPr="00A27D5D">
        <w:rPr>
          <w:rStyle w:val="FootnoteReference"/>
          <w:sz w:val="14"/>
        </w:rPr>
        <w:footnoteRef/>
      </w:r>
      <w:r w:rsidRPr="00A27D5D">
        <w:rPr>
          <w:sz w:val="14"/>
        </w:rPr>
        <w:t xml:space="preserve"> </w:t>
      </w:r>
      <w:hyperlink r:id="rId50" w:history="1">
        <w:r w:rsidRPr="00A27D5D">
          <w:rPr>
            <w:rStyle w:val="Hyperlink"/>
            <w:sz w:val="14"/>
          </w:rPr>
          <w:t>https://www.gov.uk/government/publications/international-climate-fund/international-climate-fund</w:t>
        </w:r>
      </w:hyperlink>
      <w:r w:rsidRPr="00A27D5D">
        <w:rPr>
          <w:sz w:val="14"/>
        </w:rPr>
        <w:t xml:space="preserve"> </w:t>
      </w:r>
    </w:p>
  </w:footnote>
  <w:footnote w:id="54">
    <w:p w14:paraId="26A9D01F" w14:textId="69203AD0" w:rsidR="00630427" w:rsidRPr="00A27D5D" w:rsidRDefault="00630427">
      <w:pPr>
        <w:pStyle w:val="FootnoteText"/>
        <w:rPr>
          <w:sz w:val="14"/>
        </w:rPr>
      </w:pPr>
      <w:r w:rsidRPr="00A27D5D">
        <w:rPr>
          <w:rStyle w:val="FootnoteReference"/>
          <w:sz w:val="14"/>
        </w:rPr>
        <w:footnoteRef/>
      </w:r>
      <w:r w:rsidRPr="00A27D5D">
        <w:rPr>
          <w:sz w:val="14"/>
        </w:rPr>
        <w:t xml:space="preserve"> </w:t>
      </w:r>
      <w:hyperlink r:id="rId51" w:history="1">
        <w:r w:rsidRPr="00A27D5D">
          <w:rPr>
            <w:rStyle w:val="Hyperlink"/>
            <w:sz w:val="14"/>
          </w:rPr>
          <w:t>http://www.climatefundsupdate.org/listing/international-climate-fund</w:t>
        </w:r>
      </w:hyperlink>
      <w:r w:rsidRPr="00A27D5D">
        <w:rPr>
          <w:sz w:val="14"/>
        </w:rPr>
        <w:t xml:space="preserve"> </w:t>
      </w:r>
    </w:p>
  </w:footnote>
  <w:footnote w:id="55">
    <w:p w14:paraId="4BEFB37B" w14:textId="2DB7395C" w:rsidR="00630427" w:rsidRPr="00A27D5D" w:rsidRDefault="00630427" w:rsidP="008474AF">
      <w:pPr>
        <w:pStyle w:val="FootnoteText"/>
        <w:rPr>
          <w:sz w:val="16"/>
        </w:rPr>
      </w:pPr>
      <w:r w:rsidRPr="00A27D5D">
        <w:rPr>
          <w:rStyle w:val="FootnoteReference"/>
          <w:sz w:val="16"/>
        </w:rPr>
        <w:footnoteRef/>
      </w:r>
      <w:r w:rsidRPr="00A27D5D">
        <w:rPr>
          <w:sz w:val="16"/>
        </w:rPr>
        <w:t xml:space="preserve"> </w:t>
      </w:r>
      <w:hyperlink r:id="rId52" w:history="1">
        <w:r w:rsidRPr="00A27D5D">
          <w:rPr>
            <w:rStyle w:val="Hyperlink"/>
            <w:sz w:val="16"/>
          </w:rPr>
          <w:t>https://www.norad.no/</w:t>
        </w:r>
      </w:hyperlink>
      <w:r w:rsidRPr="00A27D5D">
        <w:rPr>
          <w:sz w:val="16"/>
        </w:rPr>
        <w:t xml:space="preserve"> </w:t>
      </w:r>
    </w:p>
  </w:footnote>
  <w:footnote w:id="56">
    <w:p w14:paraId="39EDB500" w14:textId="01E0F22C" w:rsidR="00630427" w:rsidRDefault="00630427">
      <w:pPr>
        <w:pStyle w:val="FootnoteText"/>
      </w:pPr>
      <w:r w:rsidRPr="00A27D5D">
        <w:rPr>
          <w:rStyle w:val="FootnoteReference"/>
          <w:sz w:val="16"/>
        </w:rPr>
        <w:footnoteRef/>
      </w:r>
      <w:r w:rsidRPr="00A27D5D">
        <w:rPr>
          <w:sz w:val="16"/>
        </w:rPr>
        <w:t xml:space="preserve"> </w:t>
      </w:r>
      <w:hyperlink r:id="rId53" w:history="1">
        <w:r w:rsidRPr="00A27D5D">
          <w:rPr>
            <w:rStyle w:val="Hyperlink"/>
            <w:sz w:val="16"/>
          </w:rPr>
          <w:t>https://www.regjeringen.no/en/topics/climate-and-environment/climate/climate-and-forest-initiative/id2000712/</w:t>
        </w:r>
      </w:hyperlink>
      <w:r w:rsidRPr="00A27D5D">
        <w:rPr>
          <w:sz w:val="16"/>
        </w:rPr>
        <w:t xml:space="preserve"> </w:t>
      </w:r>
    </w:p>
  </w:footnote>
  <w:footnote w:id="57">
    <w:p w14:paraId="309FF1AB" w14:textId="1CB1706C" w:rsidR="00630427" w:rsidRPr="00A27D5D" w:rsidRDefault="00630427">
      <w:pPr>
        <w:pStyle w:val="FootnoteText"/>
        <w:rPr>
          <w:sz w:val="16"/>
          <w:szCs w:val="16"/>
        </w:rPr>
      </w:pPr>
      <w:r w:rsidRPr="00A27D5D">
        <w:rPr>
          <w:rStyle w:val="FootnoteReference"/>
          <w:sz w:val="16"/>
          <w:szCs w:val="16"/>
        </w:rPr>
        <w:footnoteRef/>
      </w:r>
      <w:r w:rsidRPr="00A27D5D">
        <w:rPr>
          <w:sz w:val="16"/>
          <w:szCs w:val="16"/>
        </w:rPr>
        <w:t xml:space="preserve"> </w:t>
      </w:r>
      <w:hyperlink r:id="rId54" w:history="1">
        <w:r w:rsidRPr="005E786B">
          <w:rPr>
            <w:rStyle w:val="Hyperlink"/>
            <w:sz w:val="16"/>
            <w:szCs w:val="16"/>
          </w:rPr>
          <w:t>http://www.ipsinternational.org/fr/_note.asp?idnews=7510</w:t>
        </w:r>
      </w:hyperlink>
      <w:r>
        <w:rPr>
          <w:sz w:val="16"/>
          <w:szCs w:val="16"/>
        </w:rPr>
        <w:t xml:space="preserve"> </w:t>
      </w:r>
    </w:p>
  </w:footnote>
  <w:footnote w:id="58">
    <w:p w14:paraId="58157B9B" w14:textId="4A295726" w:rsidR="00630427" w:rsidRPr="00A27D5D" w:rsidRDefault="00630427" w:rsidP="00CA298C">
      <w:pPr>
        <w:pStyle w:val="FootnoteText"/>
        <w:rPr>
          <w:sz w:val="16"/>
          <w:szCs w:val="16"/>
        </w:rPr>
      </w:pPr>
      <w:r w:rsidRPr="00A27D5D">
        <w:rPr>
          <w:rStyle w:val="FootnoteReference"/>
          <w:sz w:val="16"/>
          <w:szCs w:val="16"/>
        </w:rPr>
        <w:footnoteRef/>
      </w:r>
      <w:r w:rsidRPr="00A27D5D">
        <w:rPr>
          <w:sz w:val="16"/>
          <w:szCs w:val="16"/>
        </w:rPr>
        <w:t xml:space="preserve"> </w:t>
      </w:r>
      <w:hyperlink r:id="rId55" w:history="1">
        <w:r w:rsidRPr="005E786B">
          <w:rPr>
            <w:rStyle w:val="Hyperlink"/>
            <w:sz w:val="16"/>
            <w:szCs w:val="16"/>
          </w:rPr>
          <w:t>http://www.cadfund.com/fr/index.aspx</w:t>
        </w:r>
      </w:hyperlink>
      <w:r>
        <w:rPr>
          <w:sz w:val="16"/>
          <w:szCs w:val="16"/>
        </w:rPr>
        <w:t xml:space="preserve"> </w:t>
      </w:r>
    </w:p>
  </w:footnote>
  <w:footnote w:id="59">
    <w:p w14:paraId="1983BC11" w14:textId="170E3A72" w:rsidR="00630427" w:rsidRPr="00A27D5D" w:rsidRDefault="00630427" w:rsidP="00E3276F">
      <w:pPr>
        <w:pStyle w:val="FootnoteText"/>
        <w:rPr>
          <w:sz w:val="16"/>
          <w:szCs w:val="16"/>
        </w:rPr>
      </w:pPr>
      <w:r w:rsidRPr="00A27D5D">
        <w:rPr>
          <w:rStyle w:val="FootnoteReference"/>
          <w:sz w:val="16"/>
          <w:szCs w:val="16"/>
        </w:rPr>
        <w:footnoteRef/>
      </w:r>
      <w:r w:rsidRPr="00A27D5D">
        <w:rPr>
          <w:sz w:val="16"/>
          <w:szCs w:val="16"/>
        </w:rPr>
        <w:t xml:space="preserve"> </w:t>
      </w:r>
      <w:hyperlink r:id="rId56" w:history="1">
        <w:r w:rsidRPr="005E786B">
          <w:rPr>
            <w:rStyle w:val="Hyperlink"/>
            <w:sz w:val="16"/>
            <w:szCs w:val="16"/>
          </w:rPr>
          <w:t>http://www.focac.org/fra/zxxx/t1105041.htm</w:t>
        </w:r>
      </w:hyperlink>
      <w:r>
        <w:rPr>
          <w:sz w:val="16"/>
          <w:szCs w:val="16"/>
        </w:rPr>
        <w:t xml:space="preserve"> </w:t>
      </w:r>
    </w:p>
  </w:footnote>
  <w:footnote w:id="60">
    <w:p w14:paraId="567F87A2" w14:textId="72811940" w:rsidR="00630427" w:rsidRPr="00FF7842" w:rsidRDefault="00630427">
      <w:pPr>
        <w:pStyle w:val="FootnoteText"/>
        <w:rPr>
          <w:sz w:val="16"/>
          <w:szCs w:val="16"/>
        </w:rPr>
      </w:pPr>
      <w:r w:rsidRPr="00FF7842">
        <w:rPr>
          <w:rStyle w:val="FootnoteReference"/>
          <w:sz w:val="16"/>
          <w:szCs w:val="16"/>
        </w:rPr>
        <w:footnoteRef/>
      </w:r>
      <w:r w:rsidRPr="00FF7842">
        <w:rPr>
          <w:sz w:val="16"/>
          <w:szCs w:val="16"/>
        </w:rPr>
        <w:t xml:space="preserve"> </w:t>
      </w:r>
      <w:hyperlink r:id="rId57" w:history="1">
        <w:r w:rsidRPr="00FF7842">
          <w:rPr>
            <w:rStyle w:val="Hyperlink"/>
            <w:sz w:val="16"/>
            <w:szCs w:val="16"/>
          </w:rPr>
          <w:t>http://french.peopledaily.com.cn/Chine/n3/2016/0108/c31354-9000658.html</w:t>
        </w:r>
      </w:hyperlink>
      <w:r w:rsidRPr="00FF7842">
        <w:rPr>
          <w:sz w:val="16"/>
          <w:szCs w:val="16"/>
        </w:rPr>
        <w:t xml:space="preserve"> </w:t>
      </w:r>
    </w:p>
  </w:footnote>
  <w:footnote w:id="61">
    <w:p w14:paraId="691C988E" w14:textId="77777777" w:rsidR="00630427" w:rsidRPr="00FF7842" w:rsidRDefault="00630427" w:rsidP="00D12BCA">
      <w:pPr>
        <w:pStyle w:val="FootnoteText"/>
        <w:rPr>
          <w:sz w:val="16"/>
          <w:szCs w:val="16"/>
        </w:rPr>
      </w:pPr>
      <w:r w:rsidRPr="00FF7842">
        <w:rPr>
          <w:rStyle w:val="FootnoteReference"/>
          <w:sz w:val="16"/>
          <w:szCs w:val="16"/>
        </w:rPr>
        <w:footnoteRef/>
      </w:r>
      <w:r w:rsidRPr="00FF7842">
        <w:rPr>
          <w:sz w:val="16"/>
          <w:szCs w:val="16"/>
        </w:rPr>
        <w:t xml:space="preserve"> </w:t>
      </w:r>
      <w:hyperlink r:id="rId58" w:history="1">
        <w:r w:rsidRPr="00FF7842">
          <w:rPr>
            <w:rStyle w:val="Hyperlink"/>
            <w:sz w:val="16"/>
            <w:szCs w:val="16"/>
          </w:rPr>
          <w:t>http://www.jica.go.jp/</w:t>
        </w:r>
      </w:hyperlink>
      <w:r w:rsidRPr="00FF7842">
        <w:rPr>
          <w:sz w:val="16"/>
          <w:szCs w:val="16"/>
        </w:rPr>
        <w:t xml:space="preserve"> </w:t>
      </w:r>
    </w:p>
  </w:footnote>
  <w:footnote w:id="62">
    <w:p w14:paraId="34ED3991" w14:textId="77777777" w:rsidR="00630427" w:rsidRPr="00FF7842" w:rsidRDefault="00630427" w:rsidP="00D12BCA">
      <w:pPr>
        <w:pStyle w:val="FootnoteText"/>
        <w:rPr>
          <w:sz w:val="16"/>
          <w:szCs w:val="16"/>
        </w:rPr>
      </w:pPr>
      <w:r w:rsidRPr="00FF7842">
        <w:rPr>
          <w:rStyle w:val="FootnoteReference"/>
          <w:sz w:val="16"/>
          <w:szCs w:val="16"/>
        </w:rPr>
        <w:footnoteRef/>
      </w:r>
      <w:r w:rsidRPr="00FF7842">
        <w:rPr>
          <w:sz w:val="16"/>
          <w:szCs w:val="16"/>
        </w:rPr>
        <w:t xml:space="preserve"> </w:t>
      </w:r>
      <w:hyperlink r:id="rId59" w:history="1">
        <w:r w:rsidRPr="00FF7842">
          <w:rPr>
            <w:rStyle w:val="Hyperlink"/>
            <w:sz w:val="16"/>
            <w:szCs w:val="16"/>
          </w:rPr>
          <w:t>http://fr.allafrica.com/stories/201602260866.html</w:t>
        </w:r>
      </w:hyperlink>
    </w:p>
  </w:footnote>
  <w:footnote w:id="63">
    <w:p w14:paraId="0BC64480" w14:textId="77777777" w:rsidR="00630427" w:rsidRPr="00FF7842" w:rsidRDefault="00630427" w:rsidP="00D12BCA">
      <w:pPr>
        <w:pStyle w:val="FootnoteText"/>
        <w:rPr>
          <w:sz w:val="16"/>
          <w:szCs w:val="16"/>
        </w:rPr>
      </w:pPr>
      <w:r w:rsidRPr="00FF7842">
        <w:rPr>
          <w:rStyle w:val="FootnoteReference"/>
          <w:sz w:val="16"/>
          <w:szCs w:val="16"/>
        </w:rPr>
        <w:footnoteRef/>
      </w:r>
      <w:r w:rsidRPr="00FF7842">
        <w:rPr>
          <w:sz w:val="16"/>
          <w:szCs w:val="16"/>
        </w:rPr>
        <w:t xml:space="preserve"> </w:t>
      </w:r>
      <w:hyperlink r:id="rId60" w:history="1">
        <w:r w:rsidRPr="00FF7842">
          <w:rPr>
            <w:rStyle w:val="Hyperlink"/>
            <w:sz w:val="16"/>
            <w:szCs w:val="16"/>
          </w:rPr>
          <w:t>http://fr.allafrica.com/stories/201502210520.html</w:t>
        </w:r>
      </w:hyperlink>
      <w:r w:rsidRPr="00FF7842">
        <w:rPr>
          <w:sz w:val="16"/>
          <w:szCs w:val="16"/>
        </w:rPr>
        <w:t xml:space="preserve"> </w:t>
      </w:r>
    </w:p>
  </w:footnote>
  <w:footnote w:id="64">
    <w:p w14:paraId="669D4458" w14:textId="5071ACE3" w:rsidR="00630427" w:rsidRPr="00FF7842" w:rsidRDefault="00630427" w:rsidP="00335985">
      <w:pPr>
        <w:pStyle w:val="NormalWeb"/>
        <w:spacing w:before="0" w:beforeAutospacing="0" w:after="0" w:afterAutospacing="0"/>
        <w:rPr>
          <w:rFonts w:asciiTheme="minorHAnsi" w:hAnsiTheme="minorHAnsi"/>
          <w:sz w:val="16"/>
          <w:szCs w:val="16"/>
        </w:rPr>
      </w:pPr>
      <w:r w:rsidRPr="00FF7842">
        <w:rPr>
          <w:rStyle w:val="FootnoteReference"/>
          <w:rFonts w:asciiTheme="minorHAnsi" w:hAnsiTheme="minorHAnsi"/>
          <w:sz w:val="16"/>
          <w:szCs w:val="16"/>
        </w:rPr>
        <w:footnoteRef/>
      </w:r>
      <w:hyperlink r:id="rId61" w:history="1">
        <w:r w:rsidRPr="00FF7842">
          <w:rPr>
            <w:rStyle w:val="Hyperlink"/>
            <w:rFonts w:asciiTheme="minorHAnsi" w:hAnsiTheme="minorHAnsi"/>
            <w:sz w:val="16"/>
            <w:szCs w:val="16"/>
          </w:rPr>
          <w:t>http://www.canadainternational.gc.ca/congo/bilateral_relations_bilaterales/canada_rc.aspx?lang=fra</w:t>
        </w:r>
      </w:hyperlink>
    </w:p>
  </w:footnote>
  <w:footnote w:id="65">
    <w:p w14:paraId="55DF1971" w14:textId="1DE4B5BD" w:rsidR="00630427" w:rsidRPr="00A27D5D" w:rsidRDefault="00630427">
      <w:pPr>
        <w:pStyle w:val="FootnoteText"/>
        <w:rPr>
          <w:sz w:val="16"/>
          <w:szCs w:val="16"/>
        </w:rPr>
      </w:pPr>
      <w:r w:rsidRPr="00FF7842">
        <w:rPr>
          <w:rStyle w:val="FootnoteReference"/>
          <w:sz w:val="16"/>
          <w:szCs w:val="16"/>
        </w:rPr>
        <w:footnoteRef/>
      </w:r>
      <w:r w:rsidRPr="00FF7842">
        <w:rPr>
          <w:sz w:val="16"/>
          <w:szCs w:val="16"/>
        </w:rPr>
        <w:t xml:space="preserve"> </w:t>
      </w:r>
      <w:hyperlink r:id="rId62" w:history="1">
        <w:r w:rsidRPr="00FF7842">
          <w:rPr>
            <w:rStyle w:val="Hyperlink"/>
            <w:sz w:val="16"/>
            <w:szCs w:val="16"/>
          </w:rPr>
          <w:t>http://www.sida.se/contentassets/897af6e1851747c896128f001e0b2b57/miljofolder_orig.pdf</w:t>
        </w:r>
      </w:hyperlink>
      <w:r w:rsidRPr="00A27D5D">
        <w:rPr>
          <w:sz w:val="16"/>
          <w:szCs w:val="16"/>
        </w:rPr>
        <w:t xml:space="preserve"> </w:t>
      </w:r>
    </w:p>
  </w:footnote>
  <w:footnote w:id="66">
    <w:p w14:paraId="632E58F6" w14:textId="77777777" w:rsidR="00630427" w:rsidRPr="00A27D5D" w:rsidRDefault="00630427" w:rsidP="00001A4A">
      <w:pPr>
        <w:pStyle w:val="FootnoteText"/>
        <w:rPr>
          <w:sz w:val="16"/>
          <w:szCs w:val="16"/>
        </w:rPr>
      </w:pPr>
      <w:r w:rsidRPr="00A27D5D">
        <w:rPr>
          <w:rStyle w:val="FootnoteReference"/>
          <w:sz w:val="16"/>
          <w:szCs w:val="16"/>
        </w:rPr>
        <w:footnoteRef/>
      </w:r>
      <w:r w:rsidRPr="00A27D5D">
        <w:rPr>
          <w:sz w:val="16"/>
          <w:szCs w:val="16"/>
        </w:rPr>
        <w:t xml:space="preserve"> </w:t>
      </w:r>
      <w:hyperlink r:id="rId63" w:history="1">
        <w:r w:rsidRPr="00A27D5D">
          <w:rPr>
            <w:rStyle w:val="Hyperlink"/>
            <w:sz w:val="16"/>
            <w:szCs w:val="16"/>
          </w:rPr>
          <w:t>http://www.fondationtns.org</w:t>
        </w:r>
      </w:hyperlink>
      <w:r w:rsidRPr="00A27D5D">
        <w:rPr>
          <w:sz w:val="16"/>
          <w:szCs w:val="16"/>
        </w:rPr>
        <w:t xml:space="preserve"> </w:t>
      </w:r>
    </w:p>
  </w:footnote>
  <w:footnote w:id="67">
    <w:p w14:paraId="2B46F0E4" w14:textId="3389FDBD" w:rsidR="00630427" w:rsidRDefault="00630427">
      <w:pPr>
        <w:pStyle w:val="FootnoteText"/>
      </w:pPr>
      <w:r w:rsidRPr="00A27D5D">
        <w:rPr>
          <w:rStyle w:val="FootnoteReference"/>
          <w:sz w:val="16"/>
          <w:szCs w:val="16"/>
        </w:rPr>
        <w:footnoteRef/>
      </w:r>
      <w:r w:rsidRPr="00A27D5D">
        <w:rPr>
          <w:sz w:val="16"/>
          <w:szCs w:val="16"/>
        </w:rPr>
        <w:t xml:space="preserve"> </w:t>
      </w:r>
      <w:hyperlink r:id="rId64" w:history="1">
        <w:r w:rsidRPr="005E786B">
          <w:rPr>
            <w:rStyle w:val="Hyperlink"/>
            <w:sz w:val="16"/>
            <w:szCs w:val="16"/>
          </w:rPr>
          <w:t>www.worldbank.org</w:t>
        </w:r>
      </w:hyperlink>
      <w:r>
        <w:rPr>
          <w:sz w:val="16"/>
          <w:szCs w:val="16"/>
        </w:rPr>
        <w:t xml:space="preserve"> </w:t>
      </w:r>
    </w:p>
  </w:footnote>
  <w:footnote w:id="68">
    <w:p w14:paraId="62F8F77B" w14:textId="1B1E56F7" w:rsidR="00630427" w:rsidRPr="00DF187B" w:rsidRDefault="00630427">
      <w:pPr>
        <w:pStyle w:val="FootnoteText"/>
        <w:rPr>
          <w:sz w:val="16"/>
        </w:rPr>
      </w:pPr>
      <w:r w:rsidRPr="00DF187B">
        <w:rPr>
          <w:rStyle w:val="FootnoteReference"/>
          <w:sz w:val="16"/>
        </w:rPr>
        <w:footnoteRef/>
      </w:r>
      <w:r w:rsidRPr="00DF187B">
        <w:rPr>
          <w:sz w:val="16"/>
        </w:rPr>
        <w:t xml:space="preserve"> </w:t>
      </w:r>
      <w:hyperlink r:id="rId65" w:history="1">
        <w:r w:rsidRPr="005E786B">
          <w:rPr>
            <w:rStyle w:val="Hyperlink"/>
            <w:sz w:val="16"/>
          </w:rPr>
          <w:t>http://www.investmentmap.org/prioritySector.aspx?selCtry=COG&amp;selInds=&amp;selOpt=inward&amp;selYear</w:t>
        </w:r>
      </w:hyperlink>
      <w:r w:rsidRPr="00DF187B">
        <w:rPr>
          <w:sz w:val="16"/>
        </w:rPr>
        <w:t>=</w:t>
      </w:r>
      <w:r>
        <w:rPr>
          <w:sz w:val="16"/>
        </w:rPr>
        <w:t xml:space="preserve"> </w:t>
      </w:r>
    </w:p>
  </w:footnote>
  <w:footnote w:id="69">
    <w:p w14:paraId="4A32ACEA" w14:textId="2387175D" w:rsidR="00630427" w:rsidRDefault="00630427">
      <w:pPr>
        <w:pStyle w:val="FootnoteText"/>
      </w:pPr>
      <w:r w:rsidRPr="00DF187B">
        <w:rPr>
          <w:rStyle w:val="FootnoteReference"/>
          <w:sz w:val="16"/>
        </w:rPr>
        <w:footnoteRef/>
      </w:r>
      <w:r w:rsidRPr="00DF187B">
        <w:rPr>
          <w:sz w:val="16"/>
        </w:rPr>
        <w:t xml:space="preserve"> </w:t>
      </w:r>
      <w:hyperlink r:id="rId66" w:history="1">
        <w:r w:rsidRPr="005E786B">
          <w:rPr>
            <w:rStyle w:val="Hyperlink"/>
            <w:sz w:val="16"/>
          </w:rPr>
          <w:t>http://donnees.banquemondiale.org/indicateur/BX.KLT.DINV.CD.WD</w:t>
        </w:r>
      </w:hyperlink>
      <w:r>
        <w:rPr>
          <w:sz w:val="16"/>
        </w:rPr>
        <w:t xml:space="preserve"> </w:t>
      </w:r>
    </w:p>
  </w:footnote>
  <w:footnote w:id="70">
    <w:p w14:paraId="52AEC8DB" w14:textId="36E738FE" w:rsidR="00630427" w:rsidRDefault="00630427">
      <w:pPr>
        <w:pStyle w:val="FootnoteText"/>
      </w:pPr>
      <w:r>
        <w:rPr>
          <w:rStyle w:val="FootnoteReference"/>
        </w:rPr>
        <w:footnoteRef/>
      </w:r>
      <w:r>
        <w:t xml:space="preserve"> </w:t>
      </w:r>
      <w:hyperlink r:id="rId67" w:history="1">
        <w:r w:rsidR="0080491D" w:rsidRPr="00C612ED">
          <w:rPr>
            <w:rStyle w:val="Hyperlink"/>
          </w:rPr>
          <w:t>www.gatesfoundation.org</w:t>
        </w:r>
      </w:hyperlink>
      <w:r w:rsidR="0080491D">
        <w:t xml:space="preserve"> </w:t>
      </w:r>
    </w:p>
  </w:footnote>
  <w:footnote w:id="71">
    <w:p w14:paraId="4E5747AC" w14:textId="33561F61" w:rsidR="00630427" w:rsidRDefault="00630427">
      <w:pPr>
        <w:pStyle w:val="FootnoteText"/>
      </w:pPr>
      <w:r>
        <w:rPr>
          <w:rStyle w:val="FootnoteReference"/>
        </w:rPr>
        <w:footnoteRef/>
      </w:r>
      <w:r>
        <w:t xml:space="preserve"> </w:t>
      </w:r>
      <w:hyperlink r:id="rId68" w:history="1">
        <w:r w:rsidR="0080491D" w:rsidRPr="00C612ED">
          <w:rPr>
            <w:rStyle w:val="Hyperlink"/>
          </w:rPr>
          <w:t>www.macfound.org</w:t>
        </w:r>
      </w:hyperlink>
      <w:r w:rsidR="0080491D">
        <w:t xml:space="preserve"> </w:t>
      </w:r>
    </w:p>
  </w:footnote>
  <w:footnote w:id="72">
    <w:p w14:paraId="3D1F7595" w14:textId="6E4237AA" w:rsidR="00630427" w:rsidRDefault="00630427">
      <w:pPr>
        <w:pStyle w:val="FootnoteText"/>
      </w:pPr>
      <w:r>
        <w:rPr>
          <w:rStyle w:val="FootnoteReference"/>
        </w:rPr>
        <w:footnoteRef/>
      </w:r>
      <w:r>
        <w:t xml:space="preserve"> </w:t>
      </w:r>
      <w:hyperlink r:id="rId69" w:history="1">
        <w:r w:rsidR="0080491D" w:rsidRPr="00C612ED">
          <w:rPr>
            <w:rStyle w:val="Hyperlink"/>
          </w:rPr>
          <w:t>www.moore.org</w:t>
        </w:r>
      </w:hyperlink>
      <w:r w:rsidR="0080491D">
        <w:t xml:space="preserve"> </w:t>
      </w:r>
    </w:p>
  </w:footnote>
  <w:footnote w:id="73">
    <w:p w14:paraId="24BBDAD9" w14:textId="69FF9462" w:rsidR="00872A36" w:rsidRDefault="00872A36">
      <w:pPr>
        <w:pStyle w:val="FootnoteText"/>
      </w:pPr>
      <w:r>
        <w:rPr>
          <w:rStyle w:val="FootnoteReference"/>
        </w:rPr>
        <w:footnoteRef/>
      </w:r>
      <w:r>
        <w:t xml:space="preserve"> </w:t>
      </w:r>
      <w:hyperlink r:id="rId70" w:history="1">
        <w:r w:rsidRPr="00C612ED">
          <w:rPr>
            <w:rStyle w:val="Hyperlink"/>
          </w:rPr>
          <w:t>http://janegoodall.fr/</w:t>
        </w:r>
      </w:hyperlink>
      <w:r>
        <w:t xml:space="preserve"> </w:t>
      </w:r>
    </w:p>
  </w:footnote>
  <w:footnote w:id="74">
    <w:p w14:paraId="23661DBC" w14:textId="42C091A1" w:rsidR="00A673CD" w:rsidRDefault="00A673CD">
      <w:pPr>
        <w:pStyle w:val="FootnoteText"/>
      </w:pPr>
      <w:r>
        <w:rPr>
          <w:rStyle w:val="FootnoteReference"/>
        </w:rPr>
        <w:footnoteRef/>
      </w:r>
      <w:r>
        <w:t xml:space="preserve"> </w:t>
      </w:r>
      <w:hyperlink r:id="rId71" w:history="1">
        <w:r w:rsidR="0080491D" w:rsidRPr="00C612ED">
          <w:rPr>
            <w:rStyle w:val="Hyperlink"/>
          </w:rPr>
          <w:t>www.aspinallfoundation.org</w:t>
        </w:r>
      </w:hyperlink>
      <w:r w:rsidR="0080491D">
        <w:t xml:space="preserve"> </w:t>
      </w:r>
    </w:p>
  </w:footnote>
  <w:footnote w:id="75">
    <w:p w14:paraId="72260859" w14:textId="452ED48C" w:rsidR="00630427" w:rsidRDefault="00630427">
      <w:pPr>
        <w:pStyle w:val="FootnoteText"/>
      </w:pPr>
      <w:r>
        <w:rPr>
          <w:rStyle w:val="FootnoteReference"/>
        </w:rPr>
        <w:footnoteRef/>
      </w:r>
      <w:r>
        <w:t xml:space="preserve"> </w:t>
      </w:r>
      <w:hyperlink r:id="rId72" w:history="1">
        <w:r w:rsidRPr="008C7BBD">
          <w:rPr>
            <w:rStyle w:val="Hyperlink"/>
          </w:rPr>
          <w:t>http://adiac-congo.com/content/fonds-routier-50-milliards-fcfa-un-budget-en-regression-pour-lexercice-2015-37737</w:t>
        </w:r>
      </w:hyperlink>
      <w:r>
        <w:t xml:space="preserve"> </w:t>
      </w:r>
    </w:p>
  </w:footnote>
  <w:footnote w:id="76">
    <w:p w14:paraId="0C44E6AD" w14:textId="77777777" w:rsidR="00630427" w:rsidRPr="00187D3C" w:rsidRDefault="00630427" w:rsidP="00A5015C">
      <w:pPr>
        <w:pStyle w:val="FootnoteText"/>
        <w:rPr>
          <w:sz w:val="16"/>
          <w:szCs w:val="16"/>
        </w:rPr>
      </w:pPr>
      <w:r w:rsidRPr="00187D3C">
        <w:rPr>
          <w:rStyle w:val="FootnoteReference"/>
          <w:sz w:val="16"/>
          <w:szCs w:val="16"/>
        </w:rPr>
        <w:footnoteRef/>
      </w:r>
      <w:r w:rsidRPr="00187D3C">
        <w:rPr>
          <w:sz w:val="16"/>
          <w:szCs w:val="16"/>
        </w:rPr>
        <w:t xml:space="preserve"> </w:t>
      </w:r>
      <w:hyperlink r:id="rId73" w:anchor="starting-a-business" w:history="1">
        <w:r w:rsidRPr="00187D3C">
          <w:rPr>
            <w:rStyle w:val="Hyperlink"/>
            <w:sz w:val="16"/>
            <w:szCs w:val="16"/>
          </w:rPr>
          <w:t>http://francais.doingbusiness.org/data/exploreeconomies/congo-rep#starting-a-business</w:t>
        </w:r>
      </w:hyperlink>
      <w:r w:rsidRPr="00187D3C">
        <w:rPr>
          <w:sz w:val="16"/>
          <w:szCs w:val="16"/>
        </w:rPr>
        <w:t xml:space="preserve"> </w:t>
      </w:r>
    </w:p>
  </w:footnote>
  <w:footnote w:id="77">
    <w:p w14:paraId="4A5240AE" w14:textId="77777777" w:rsidR="00630427" w:rsidRPr="00187D3C" w:rsidRDefault="00630427" w:rsidP="00A5015C">
      <w:pPr>
        <w:pStyle w:val="FootnoteText"/>
        <w:rPr>
          <w:sz w:val="16"/>
          <w:szCs w:val="16"/>
        </w:rPr>
      </w:pPr>
      <w:r w:rsidRPr="00187D3C">
        <w:rPr>
          <w:rStyle w:val="FootnoteReference"/>
          <w:sz w:val="16"/>
          <w:szCs w:val="16"/>
        </w:rPr>
        <w:footnoteRef/>
      </w:r>
      <w:r w:rsidRPr="00187D3C">
        <w:rPr>
          <w:sz w:val="16"/>
          <w:szCs w:val="16"/>
        </w:rPr>
        <w:t xml:space="preserve"> </w:t>
      </w:r>
      <w:hyperlink r:id="rId74" w:history="1">
        <w:r w:rsidRPr="00187D3C">
          <w:rPr>
            <w:rStyle w:val="Hyperlink"/>
            <w:sz w:val="16"/>
            <w:szCs w:val="16"/>
          </w:rPr>
          <w:t>https://www.mfw4a.org/fr/republique-du-congo/le-secteur-financier.html</w:t>
        </w:r>
      </w:hyperlink>
      <w:r w:rsidRPr="00187D3C">
        <w:rPr>
          <w:sz w:val="16"/>
          <w:szCs w:val="16"/>
        </w:rPr>
        <w:t xml:space="preserve"> </w:t>
      </w:r>
    </w:p>
  </w:footnote>
  <w:footnote w:id="78">
    <w:p w14:paraId="50883823" w14:textId="77777777" w:rsidR="00630427" w:rsidRDefault="00630427" w:rsidP="00A5015C">
      <w:pPr>
        <w:pStyle w:val="FootnoteText"/>
      </w:pPr>
      <w:r w:rsidRPr="00187D3C">
        <w:rPr>
          <w:rStyle w:val="FootnoteReference"/>
          <w:sz w:val="16"/>
          <w:szCs w:val="16"/>
        </w:rPr>
        <w:footnoteRef/>
      </w:r>
      <w:r w:rsidRPr="00187D3C">
        <w:rPr>
          <w:sz w:val="16"/>
          <w:szCs w:val="16"/>
        </w:rPr>
        <w:t xml:space="preserve"> </w:t>
      </w:r>
      <w:hyperlink r:id="rId75" w:history="1">
        <w:r w:rsidRPr="00187D3C">
          <w:rPr>
            <w:rStyle w:val="Hyperlink"/>
            <w:sz w:val="16"/>
            <w:szCs w:val="16"/>
          </w:rPr>
          <w:t>http://www.afd.fr/home/pays/afrique/geo-afr/congo/Projets-congo/appui-au-secteur-prive</w:t>
        </w:r>
      </w:hyperlink>
      <w:r w:rsidRPr="00187D3C">
        <w:rPr>
          <w:sz w:val="16"/>
          <w:szCs w:val="16"/>
        </w:rPr>
        <w:t xml:space="preserve"> </w:t>
      </w:r>
    </w:p>
  </w:footnote>
  <w:footnote w:id="79">
    <w:p w14:paraId="14DE8A42" w14:textId="77777777" w:rsidR="00630427" w:rsidRPr="00187D3C" w:rsidRDefault="00630427" w:rsidP="00A5015C">
      <w:pPr>
        <w:pStyle w:val="FootnoteText"/>
        <w:rPr>
          <w:sz w:val="16"/>
          <w:szCs w:val="16"/>
        </w:rPr>
      </w:pPr>
      <w:r w:rsidRPr="00187D3C">
        <w:rPr>
          <w:rStyle w:val="FootnoteReference"/>
          <w:sz w:val="16"/>
          <w:szCs w:val="16"/>
        </w:rPr>
        <w:footnoteRef/>
      </w:r>
      <w:r w:rsidRPr="00187D3C">
        <w:rPr>
          <w:sz w:val="16"/>
          <w:szCs w:val="16"/>
        </w:rPr>
        <w:t xml:space="preserve"> </w:t>
      </w:r>
      <w:hyperlink r:id="rId76" w:history="1">
        <w:r w:rsidRPr="00187D3C">
          <w:rPr>
            <w:rStyle w:val="Hyperlink"/>
            <w:sz w:val="16"/>
            <w:szCs w:val="16"/>
          </w:rPr>
          <w:t>https://www.beac.int/download/Liste_Banques_%20Congo_28oct2014.pdf</w:t>
        </w:r>
      </w:hyperlink>
      <w:r w:rsidRPr="00187D3C">
        <w:rPr>
          <w:sz w:val="16"/>
          <w:szCs w:val="16"/>
        </w:rPr>
        <w:t xml:space="preserve"> </w:t>
      </w:r>
    </w:p>
  </w:footnote>
  <w:footnote w:id="80">
    <w:p w14:paraId="3508AB1E" w14:textId="0602DF0E" w:rsidR="00630427" w:rsidRPr="00187D3C" w:rsidRDefault="00630427" w:rsidP="007265CA">
      <w:pPr>
        <w:pStyle w:val="FootnoteText"/>
        <w:rPr>
          <w:sz w:val="16"/>
          <w:szCs w:val="16"/>
        </w:rPr>
      </w:pPr>
      <w:r w:rsidRPr="00187D3C">
        <w:rPr>
          <w:rStyle w:val="FootnoteReference"/>
          <w:sz w:val="16"/>
          <w:szCs w:val="16"/>
        </w:rPr>
        <w:footnoteRef/>
      </w:r>
      <w:hyperlink r:id="rId77" w:history="1">
        <w:r w:rsidRPr="00541A75">
          <w:rPr>
            <w:rStyle w:val="Hyperlink"/>
            <w:sz w:val="16"/>
            <w:szCs w:val="16"/>
          </w:rPr>
          <w:t>http://fr.infosgabon.com/conference-de-brazzaville-sur-lacces-aux-services-financiers-en-zone-cemac/</w:t>
        </w:r>
      </w:hyperlink>
    </w:p>
  </w:footnote>
  <w:footnote w:id="81">
    <w:p w14:paraId="71DDA2DC" w14:textId="77777777" w:rsidR="00630427" w:rsidRDefault="00630427" w:rsidP="00A5015C">
      <w:pPr>
        <w:pStyle w:val="FootnoteText"/>
      </w:pPr>
      <w:r w:rsidRPr="00187D3C">
        <w:rPr>
          <w:rStyle w:val="FootnoteReference"/>
          <w:sz w:val="16"/>
          <w:szCs w:val="16"/>
        </w:rPr>
        <w:footnoteRef/>
      </w:r>
      <w:r w:rsidRPr="00187D3C">
        <w:rPr>
          <w:sz w:val="16"/>
          <w:szCs w:val="16"/>
        </w:rPr>
        <w:t xml:space="preserve"> </w:t>
      </w:r>
      <w:hyperlink r:id="rId78" w:history="1">
        <w:r w:rsidRPr="00187D3C">
          <w:rPr>
            <w:rStyle w:val="Hyperlink"/>
            <w:sz w:val="16"/>
            <w:szCs w:val="16"/>
          </w:rPr>
          <w:t>http://www.jeuneafrique.com/271504/economie/agricultural-bank-of-china-sinstalle-a-brazzaville/</w:t>
        </w:r>
      </w:hyperlink>
      <w:r>
        <w:t xml:space="preserve"> </w:t>
      </w:r>
    </w:p>
  </w:footnote>
  <w:footnote w:id="82">
    <w:p w14:paraId="5EBDD3EC" w14:textId="77777777" w:rsidR="00630427" w:rsidRPr="00FD1E40" w:rsidRDefault="00630427" w:rsidP="00A5015C">
      <w:pPr>
        <w:pStyle w:val="FootnoteText"/>
        <w:rPr>
          <w:sz w:val="16"/>
        </w:rPr>
      </w:pPr>
      <w:r w:rsidRPr="00FD1E40">
        <w:rPr>
          <w:rStyle w:val="FootnoteReference"/>
          <w:sz w:val="16"/>
        </w:rPr>
        <w:footnoteRef/>
      </w:r>
      <w:r w:rsidRPr="00FD1E40">
        <w:rPr>
          <w:sz w:val="16"/>
        </w:rPr>
        <w:t xml:space="preserve"> </w:t>
      </w:r>
      <w:hyperlink r:id="rId79" w:history="1">
        <w:r w:rsidRPr="00FD1E40">
          <w:rPr>
            <w:rStyle w:val="Hyperlink"/>
            <w:sz w:val="16"/>
          </w:rPr>
          <w:t>http://www.microfinancegateway.org/fr/pays/r%C3%A9publique-du-congo</w:t>
        </w:r>
      </w:hyperlink>
      <w:r w:rsidRPr="00FD1E40">
        <w:rPr>
          <w:sz w:val="16"/>
        </w:rPr>
        <w:t xml:space="preserve"> </w:t>
      </w:r>
    </w:p>
  </w:footnote>
  <w:footnote w:id="83">
    <w:p w14:paraId="3377E445" w14:textId="77777777" w:rsidR="00630427" w:rsidRDefault="00630427" w:rsidP="00A5015C">
      <w:pPr>
        <w:pStyle w:val="FootnoteText"/>
      </w:pPr>
      <w:r w:rsidRPr="00FD1E40">
        <w:rPr>
          <w:rStyle w:val="FootnoteReference"/>
          <w:sz w:val="16"/>
        </w:rPr>
        <w:footnoteRef/>
      </w:r>
      <w:r w:rsidRPr="00FD1E40">
        <w:rPr>
          <w:sz w:val="16"/>
        </w:rPr>
        <w:t xml:space="preserve"> </w:t>
      </w:r>
      <w:hyperlink r:id="rId80" w:history="1">
        <w:r w:rsidRPr="00FD1E40">
          <w:rPr>
            <w:rStyle w:val="Hyperlink"/>
            <w:sz w:val="16"/>
          </w:rPr>
          <w:t>http://mucodec.com/</w:t>
        </w:r>
      </w:hyperlink>
      <w:r w:rsidRPr="00FD1E40">
        <w:rPr>
          <w:sz w:val="16"/>
        </w:rPr>
        <w:t xml:space="preserve"> </w:t>
      </w:r>
    </w:p>
  </w:footnote>
  <w:footnote w:id="84">
    <w:p w14:paraId="32382854" w14:textId="59D358A5" w:rsidR="00630427" w:rsidRPr="00DF187B" w:rsidRDefault="00630427" w:rsidP="00E746D3">
      <w:pPr>
        <w:spacing w:after="0"/>
        <w:jc w:val="left"/>
        <w:rPr>
          <w:sz w:val="16"/>
          <w:szCs w:val="16"/>
        </w:rPr>
      </w:pPr>
      <w:r w:rsidRPr="00DF187B">
        <w:rPr>
          <w:rStyle w:val="FootnoteReference"/>
          <w:sz w:val="16"/>
          <w:szCs w:val="16"/>
        </w:rPr>
        <w:footnoteRef/>
      </w:r>
      <w:r>
        <w:rPr>
          <w:sz w:val="16"/>
          <w:szCs w:val="16"/>
        </w:rPr>
        <w:t xml:space="preserve"> </w:t>
      </w:r>
      <w:hyperlink r:id="rId81" w:history="1">
        <w:r w:rsidRPr="00DF187B">
          <w:rPr>
            <w:rStyle w:val="Hyperlink"/>
            <w:sz w:val="16"/>
            <w:szCs w:val="16"/>
          </w:rPr>
          <w:t>http://www.portail242.info/Le-Congo-Brazzaville-va-ouvrir-le-Capital-de-46-entreprises-publiques-a-des-investisseurs-etrangers_a771.html</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46902" w14:textId="77777777" w:rsidR="00630427" w:rsidRDefault="00630427" w:rsidP="005834C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0638D" w14:textId="3C6CF3D5" w:rsidR="00630427" w:rsidRDefault="00630427" w:rsidP="005834C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3D567" w14:textId="77777777" w:rsidR="00630427" w:rsidRDefault="00630427" w:rsidP="005834C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00000002"/>
    <w:multiLevelType w:val="singleLevel"/>
    <w:tmpl w:val="00000002"/>
    <w:name w:val="WW8Num3"/>
    <w:lvl w:ilvl="0">
      <w:numFmt w:val="bullet"/>
      <w:lvlText w:val=""/>
      <w:lvlJc w:val="left"/>
      <w:pPr>
        <w:tabs>
          <w:tab w:val="num" w:pos="0"/>
        </w:tabs>
        <w:ind w:left="1080" w:hanging="360"/>
      </w:pPr>
      <w:rPr>
        <w:rFonts w:ascii="Symbol" w:hAnsi="Symbol" w:cs="Times New Roman"/>
        <w:color w:val="auto"/>
      </w:rPr>
    </w:lvl>
  </w:abstractNum>
  <w:abstractNum w:abstractNumId="5">
    <w:nsid w:val="042955D6"/>
    <w:multiLevelType w:val="hybridMultilevel"/>
    <w:tmpl w:val="9294D48E"/>
    <w:lvl w:ilvl="0" w:tplc="F216F736">
      <w:start w:val="1"/>
      <w:numFmt w:val="bullet"/>
      <w:lvlText w:val="-"/>
      <w:lvlJc w:val="left"/>
      <w:pPr>
        <w:ind w:left="1440" w:hanging="36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nsid w:val="043D3E7D"/>
    <w:multiLevelType w:val="hybridMultilevel"/>
    <w:tmpl w:val="A0C8C800"/>
    <w:lvl w:ilvl="0" w:tplc="44E0D7E0">
      <w:start w:val="1"/>
      <w:numFmt w:val="bullet"/>
      <w:lvlText w:val="-"/>
      <w:lvlJc w:val="left"/>
      <w:pPr>
        <w:ind w:left="1440" w:hanging="360"/>
      </w:pPr>
      <w:rPr>
        <w:rFonts w:ascii="Century Gothic" w:hAnsi="Century Gothic" w:hint="default"/>
        <w:color w:val="auto"/>
        <w:u w:color="548AB7" w:themeColor="accent1" w:themeShade="BF"/>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06DD02A5"/>
    <w:multiLevelType w:val="hybridMultilevel"/>
    <w:tmpl w:val="297E26BC"/>
    <w:lvl w:ilvl="0" w:tplc="0D9A2688">
      <w:numFmt w:val="bullet"/>
      <w:lvlText w:val="-"/>
      <w:lvlJc w:val="left"/>
      <w:pPr>
        <w:ind w:left="720" w:hanging="360"/>
      </w:pPr>
      <w:rPr>
        <w:rFonts w:ascii="Tw Cen MT" w:eastAsia="Times New Roman" w:hAnsi="Tw Cen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A267D7A"/>
    <w:multiLevelType w:val="multilevel"/>
    <w:tmpl w:val="988E0F3E"/>
    <w:lvl w:ilvl="0">
      <w:start w:val="1"/>
      <w:numFmt w:val="bullet"/>
      <w:pStyle w:val="Paragrapheliste1TEREA"/>
      <w:suff w:val="nothing"/>
      <w:lvlText w:val=""/>
      <w:lvlJc w:val="left"/>
      <w:pPr>
        <w:ind w:left="1134" w:hanging="283"/>
      </w:pPr>
      <w:rPr>
        <w:rFonts w:ascii="Symbol" w:hAnsi="Symbol" w:hint="default"/>
        <w:color w:val="548AB7" w:themeColor="accent1" w:themeShade="BF"/>
        <w:spacing w:val="0"/>
        <w:position w:val="0"/>
        <w:u w:color="FFFFFF" w:themeColor="background1"/>
      </w:rPr>
    </w:lvl>
    <w:lvl w:ilvl="1">
      <w:start w:val="1"/>
      <w:numFmt w:val="bullet"/>
      <w:suff w:val="nothing"/>
      <w:lvlText w:val="o"/>
      <w:lvlJc w:val="left"/>
      <w:pPr>
        <w:ind w:left="1701" w:hanging="283"/>
      </w:pPr>
      <w:rPr>
        <w:rFonts w:ascii="Courier New" w:hAnsi="Courier New" w:hint="default"/>
        <w:color w:val="548AB7" w:themeColor="accent1" w:themeShade="BF"/>
        <w:u w:color="FFFFFF" w:themeColor="background1"/>
      </w:rPr>
    </w:lvl>
    <w:lvl w:ilvl="2">
      <w:start w:val="1"/>
      <w:numFmt w:val="bullet"/>
      <w:suff w:val="nothing"/>
      <w:lvlText w:val=""/>
      <w:lvlJc w:val="left"/>
      <w:pPr>
        <w:ind w:left="2268" w:hanging="283"/>
      </w:pPr>
      <w:rPr>
        <w:rFonts w:ascii="Wingdings" w:hAnsi="Wingdings" w:hint="default"/>
        <w:color w:val="548AB7" w:themeColor="accent1" w:themeShade="BF"/>
      </w:rPr>
    </w:lvl>
    <w:lvl w:ilvl="3">
      <w:start w:val="1"/>
      <w:numFmt w:val="bullet"/>
      <w:lvlText w:val=""/>
      <w:lvlJc w:val="left"/>
      <w:pPr>
        <w:ind w:left="3687" w:hanging="283"/>
      </w:pPr>
      <w:rPr>
        <w:rFonts w:ascii="Symbol" w:hAnsi="Symbol" w:hint="default"/>
      </w:rPr>
    </w:lvl>
    <w:lvl w:ilvl="4">
      <w:start w:val="1"/>
      <w:numFmt w:val="bullet"/>
      <w:lvlText w:val="o"/>
      <w:lvlJc w:val="left"/>
      <w:pPr>
        <w:ind w:left="4538" w:hanging="283"/>
      </w:pPr>
      <w:rPr>
        <w:rFonts w:ascii="Courier New" w:hAnsi="Courier New" w:cs="Courier New" w:hint="default"/>
      </w:rPr>
    </w:lvl>
    <w:lvl w:ilvl="5">
      <w:start w:val="1"/>
      <w:numFmt w:val="bullet"/>
      <w:lvlText w:val=""/>
      <w:lvlJc w:val="left"/>
      <w:pPr>
        <w:ind w:left="5389" w:hanging="283"/>
      </w:pPr>
      <w:rPr>
        <w:rFonts w:ascii="Wingdings" w:hAnsi="Wingdings" w:hint="default"/>
      </w:rPr>
    </w:lvl>
    <w:lvl w:ilvl="6">
      <w:start w:val="1"/>
      <w:numFmt w:val="bullet"/>
      <w:lvlText w:val=""/>
      <w:lvlJc w:val="left"/>
      <w:pPr>
        <w:ind w:left="6240" w:hanging="283"/>
      </w:pPr>
      <w:rPr>
        <w:rFonts w:ascii="Symbol" w:hAnsi="Symbol" w:hint="default"/>
      </w:rPr>
    </w:lvl>
    <w:lvl w:ilvl="7">
      <w:start w:val="1"/>
      <w:numFmt w:val="bullet"/>
      <w:lvlText w:val="o"/>
      <w:lvlJc w:val="left"/>
      <w:pPr>
        <w:ind w:left="7091" w:hanging="283"/>
      </w:pPr>
      <w:rPr>
        <w:rFonts w:ascii="Courier New" w:hAnsi="Courier New" w:cs="Courier New" w:hint="default"/>
      </w:rPr>
    </w:lvl>
    <w:lvl w:ilvl="8">
      <w:start w:val="1"/>
      <w:numFmt w:val="bullet"/>
      <w:lvlText w:val=""/>
      <w:lvlJc w:val="left"/>
      <w:pPr>
        <w:ind w:left="7942" w:hanging="283"/>
      </w:pPr>
      <w:rPr>
        <w:rFonts w:ascii="Wingdings" w:hAnsi="Wingdings" w:hint="default"/>
      </w:rPr>
    </w:lvl>
  </w:abstractNum>
  <w:abstractNum w:abstractNumId="9">
    <w:nsid w:val="0E9E67E3"/>
    <w:multiLevelType w:val="hybridMultilevel"/>
    <w:tmpl w:val="74D47B6A"/>
    <w:lvl w:ilvl="0" w:tplc="0D9A2688">
      <w:numFmt w:val="bullet"/>
      <w:lvlText w:val="-"/>
      <w:lvlJc w:val="left"/>
      <w:pPr>
        <w:ind w:left="720" w:hanging="360"/>
      </w:pPr>
      <w:rPr>
        <w:rFonts w:ascii="Tw Cen MT" w:eastAsia="Times New Roman" w:hAnsi="Tw Cen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1744D6B"/>
    <w:multiLevelType w:val="hybridMultilevel"/>
    <w:tmpl w:val="8AD4915C"/>
    <w:lvl w:ilvl="0" w:tplc="076069AC">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A77315"/>
    <w:multiLevelType w:val="hybridMultilevel"/>
    <w:tmpl w:val="996E9CEC"/>
    <w:lvl w:ilvl="0" w:tplc="A2EEEFE2">
      <w:start w:val="1"/>
      <w:numFmt w:val="decimal"/>
      <w:lvlText w:val="%1."/>
      <w:lvlJc w:val="left"/>
      <w:pPr>
        <w:tabs>
          <w:tab w:val="num" w:pos="720"/>
        </w:tabs>
        <w:ind w:left="720" w:hanging="360"/>
      </w:pPr>
    </w:lvl>
    <w:lvl w:ilvl="1" w:tplc="5B541B7C">
      <w:start w:val="1"/>
      <w:numFmt w:val="decimal"/>
      <w:lvlText w:val="%2."/>
      <w:lvlJc w:val="left"/>
      <w:pPr>
        <w:tabs>
          <w:tab w:val="num" w:pos="1440"/>
        </w:tabs>
        <w:ind w:left="1440" w:hanging="360"/>
      </w:pPr>
    </w:lvl>
    <w:lvl w:ilvl="2" w:tplc="B582E44A" w:tentative="1">
      <w:start w:val="1"/>
      <w:numFmt w:val="decimal"/>
      <w:lvlText w:val="%3."/>
      <w:lvlJc w:val="left"/>
      <w:pPr>
        <w:tabs>
          <w:tab w:val="num" w:pos="2160"/>
        </w:tabs>
        <w:ind w:left="2160" w:hanging="360"/>
      </w:pPr>
    </w:lvl>
    <w:lvl w:ilvl="3" w:tplc="A65C8880" w:tentative="1">
      <w:start w:val="1"/>
      <w:numFmt w:val="decimal"/>
      <w:lvlText w:val="%4."/>
      <w:lvlJc w:val="left"/>
      <w:pPr>
        <w:tabs>
          <w:tab w:val="num" w:pos="2880"/>
        </w:tabs>
        <w:ind w:left="2880" w:hanging="360"/>
      </w:pPr>
    </w:lvl>
    <w:lvl w:ilvl="4" w:tplc="16F296D6" w:tentative="1">
      <w:start w:val="1"/>
      <w:numFmt w:val="decimal"/>
      <w:lvlText w:val="%5."/>
      <w:lvlJc w:val="left"/>
      <w:pPr>
        <w:tabs>
          <w:tab w:val="num" w:pos="3600"/>
        </w:tabs>
        <w:ind w:left="3600" w:hanging="360"/>
      </w:pPr>
    </w:lvl>
    <w:lvl w:ilvl="5" w:tplc="107E185C" w:tentative="1">
      <w:start w:val="1"/>
      <w:numFmt w:val="decimal"/>
      <w:lvlText w:val="%6."/>
      <w:lvlJc w:val="left"/>
      <w:pPr>
        <w:tabs>
          <w:tab w:val="num" w:pos="4320"/>
        </w:tabs>
        <w:ind w:left="4320" w:hanging="360"/>
      </w:pPr>
    </w:lvl>
    <w:lvl w:ilvl="6" w:tplc="0526F950" w:tentative="1">
      <w:start w:val="1"/>
      <w:numFmt w:val="decimal"/>
      <w:lvlText w:val="%7."/>
      <w:lvlJc w:val="left"/>
      <w:pPr>
        <w:tabs>
          <w:tab w:val="num" w:pos="5040"/>
        </w:tabs>
        <w:ind w:left="5040" w:hanging="360"/>
      </w:pPr>
    </w:lvl>
    <w:lvl w:ilvl="7" w:tplc="3236A9BC" w:tentative="1">
      <w:start w:val="1"/>
      <w:numFmt w:val="decimal"/>
      <w:lvlText w:val="%8."/>
      <w:lvlJc w:val="left"/>
      <w:pPr>
        <w:tabs>
          <w:tab w:val="num" w:pos="5760"/>
        </w:tabs>
        <w:ind w:left="5760" w:hanging="360"/>
      </w:pPr>
    </w:lvl>
    <w:lvl w:ilvl="8" w:tplc="1CFC41B0" w:tentative="1">
      <w:start w:val="1"/>
      <w:numFmt w:val="decimal"/>
      <w:lvlText w:val="%9."/>
      <w:lvlJc w:val="left"/>
      <w:pPr>
        <w:tabs>
          <w:tab w:val="num" w:pos="6480"/>
        </w:tabs>
        <w:ind w:left="6480" w:hanging="360"/>
      </w:pPr>
    </w:lvl>
  </w:abstractNum>
  <w:abstractNum w:abstractNumId="12">
    <w:nsid w:val="199F1ED2"/>
    <w:multiLevelType w:val="hybridMultilevel"/>
    <w:tmpl w:val="1E1EE408"/>
    <w:lvl w:ilvl="0" w:tplc="040C0005">
      <w:start w:val="1"/>
      <w:numFmt w:val="bullet"/>
      <w:lvlText w:val=""/>
      <w:lvlJc w:val="left"/>
      <w:pPr>
        <w:ind w:left="720" w:hanging="360"/>
      </w:pPr>
      <w:rPr>
        <w:rFonts w:ascii="Wingdings" w:hAnsi="Wingdings" w:hint="default"/>
        <w:color w:val="548AB7" w:themeColor="accent1" w:themeShade="BF"/>
        <w:u w:color="DD8047"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291F36"/>
    <w:multiLevelType w:val="hybridMultilevel"/>
    <w:tmpl w:val="2A86E2C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7F7F8A"/>
    <w:multiLevelType w:val="hybridMultilevel"/>
    <w:tmpl w:val="FAA2B768"/>
    <w:lvl w:ilvl="0" w:tplc="040C0005">
      <w:start w:val="1"/>
      <w:numFmt w:val="bullet"/>
      <w:lvlText w:val=""/>
      <w:lvlJc w:val="left"/>
      <w:pPr>
        <w:ind w:left="720" w:hanging="360"/>
      </w:pPr>
      <w:rPr>
        <w:rFonts w:ascii="Wingdings" w:hAnsi="Wingdings" w:hint="default"/>
        <w:color w:val="548AB7" w:themeColor="accent1" w:themeShade="BF"/>
        <w:u w:color="DD8047"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43E104C"/>
    <w:multiLevelType w:val="hybridMultilevel"/>
    <w:tmpl w:val="BB3C932E"/>
    <w:lvl w:ilvl="0" w:tplc="0D9A2688">
      <w:numFmt w:val="bullet"/>
      <w:lvlText w:val="-"/>
      <w:lvlJc w:val="left"/>
      <w:pPr>
        <w:ind w:left="720" w:hanging="360"/>
      </w:pPr>
      <w:rPr>
        <w:rFonts w:ascii="Tw Cen MT" w:eastAsia="Times New Roman" w:hAnsi="Tw Cen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7436AB6"/>
    <w:multiLevelType w:val="hybridMultilevel"/>
    <w:tmpl w:val="5CFE00F2"/>
    <w:lvl w:ilvl="0" w:tplc="03EE10A8">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7">
    <w:nsid w:val="27506DC7"/>
    <w:multiLevelType w:val="hybridMultilevel"/>
    <w:tmpl w:val="B08EE5A2"/>
    <w:lvl w:ilvl="0" w:tplc="AA983366">
      <w:start w:val="1"/>
      <w:numFmt w:val="lowerLetter"/>
      <w:pStyle w:val="Heading5"/>
      <w:lvlText w:val="%1."/>
      <w:lvlJc w:val="left"/>
      <w:pPr>
        <w:ind w:left="2356" w:hanging="360"/>
      </w:pPr>
      <w:rPr>
        <w:rFonts w:hint="default"/>
        <w:color w:val="auto"/>
        <w:sz w:val="22"/>
        <w:szCs w:val="22"/>
      </w:rPr>
    </w:lvl>
    <w:lvl w:ilvl="1" w:tplc="040C0019" w:tentative="1">
      <w:start w:val="1"/>
      <w:numFmt w:val="lowerLetter"/>
      <w:lvlText w:val="%2."/>
      <w:lvlJc w:val="left"/>
      <w:pPr>
        <w:ind w:left="3076" w:hanging="360"/>
      </w:pPr>
    </w:lvl>
    <w:lvl w:ilvl="2" w:tplc="040C001B" w:tentative="1">
      <w:start w:val="1"/>
      <w:numFmt w:val="lowerRoman"/>
      <w:lvlText w:val="%3."/>
      <w:lvlJc w:val="right"/>
      <w:pPr>
        <w:ind w:left="3796" w:hanging="180"/>
      </w:pPr>
    </w:lvl>
    <w:lvl w:ilvl="3" w:tplc="040C000F" w:tentative="1">
      <w:start w:val="1"/>
      <w:numFmt w:val="decimal"/>
      <w:lvlText w:val="%4."/>
      <w:lvlJc w:val="left"/>
      <w:pPr>
        <w:ind w:left="4516" w:hanging="360"/>
      </w:pPr>
    </w:lvl>
    <w:lvl w:ilvl="4" w:tplc="040C0019" w:tentative="1">
      <w:start w:val="1"/>
      <w:numFmt w:val="lowerLetter"/>
      <w:lvlText w:val="%5."/>
      <w:lvlJc w:val="left"/>
      <w:pPr>
        <w:ind w:left="5236" w:hanging="360"/>
      </w:pPr>
    </w:lvl>
    <w:lvl w:ilvl="5" w:tplc="040C001B" w:tentative="1">
      <w:start w:val="1"/>
      <w:numFmt w:val="lowerRoman"/>
      <w:lvlText w:val="%6."/>
      <w:lvlJc w:val="right"/>
      <w:pPr>
        <w:ind w:left="5956" w:hanging="180"/>
      </w:pPr>
    </w:lvl>
    <w:lvl w:ilvl="6" w:tplc="040C000F" w:tentative="1">
      <w:start w:val="1"/>
      <w:numFmt w:val="decimal"/>
      <w:lvlText w:val="%7."/>
      <w:lvlJc w:val="left"/>
      <w:pPr>
        <w:ind w:left="6676" w:hanging="360"/>
      </w:pPr>
    </w:lvl>
    <w:lvl w:ilvl="7" w:tplc="040C0019" w:tentative="1">
      <w:start w:val="1"/>
      <w:numFmt w:val="lowerLetter"/>
      <w:lvlText w:val="%8."/>
      <w:lvlJc w:val="left"/>
      <w:pPr>
        <w:ind w:left="7396" w:hanging="360"/>
      </w:pPr>
    </w:lvl>
    <w:lvl w:ilvl="8" w:tplc="040C001B" w:tentative="1">
      <w:start w:val="1"/>
      <w:numFmt w:val="lowerRoman"/>
      <w:lvlText w:val="%9."/>
      <w:lvlJc w:val="right"/>
      <w:pPr>
        <w:ind w:left="8116" w:hanging="180"/>
      </w:pPr>
    </w:lvl>
  </w:abstractNum>
  <w:abstractNum w:abstractNumId="18">
    <w:nsid w:val="27F17ECB"/>
    <w:multiLevelType w:val="hybridMultilevel"/>
    <w:tmpl w:val="280EFBA6"/>
    <w:lvl w:ilvl="0" w:tplc="79542B36">
      <w:start w:val="1"/>
      <w:numFmt w:val="bullet"/>
      <w:lvlText w:val=""/>
      <w:lvlJc w:val="left"/>
      <w:pPr>
        <w:ind w:left="720" w:hanging="360"/>
      </w:pPr>
      <w:rPr>
        <w:rFonts w:ascii="Wingdings" w:hAnsi="Wingdings" w:hint="default"/>
        <w:color w:val="DD8047" w:themeColor="accent2"/>
        <w:u w:color="DD8047"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8074C53"/>
    <w:multiLevelType w:val="hybridMultilevel"/>
    <w:tmpl w:val="F9689ED2"/>
    <w:lvl w:ilvl="0" w:tplc="040C0005">
      <w:start w:val="1"/>
      <w:numFmt w:val="bullet"/>
      <w:lvlText w:val=""/>
      <w:lvlJc w:val="left"/>
      <w:pPr>
        <w:ind w:left="720" w:hanging="360"/>
      </w:pPr>
      <w:rPr>
        <w:rFonts w:ascii="Wingdings" w:hAnsi="Wingdings" w:hint="default"/>
        <w:color w:val="548AB7" w:themeColor="accent1" w:themeShade="BF"/>
        <w:u w:color="DD8047"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A960673"/>
    <w:multiLevelType w:val="multilevel"/>
    <w:tmpl w:val="31A6FBCA"/>
    <w:lvl w:ilvl="0">
      <w:start w:val="1"/>
      <w:numFmt w:val="decimal"/>
      <w:pStyle w:val="Heading2"/>
      <w:lvlText w:val="%1."/>
      <w:lvlJc w:val="left"/>
      <w:pPr>
        <w:ind w:left="720" w:hanging="360"/>
      </w:pPr>
      <w:rPr>
        <w:rFonts w:hint="default"/>
      </w:rPr>
    </w:lvl>
    <w:lvl w:ilvl="1">
      <w:start w:val="1"/>
      <w:numFmt w:val="decimal"/>
      <w:isLgl/>
      <w:lvlText w:val="%1.%2"/>
      <w:lvlJc w:val="left"/>
      <w:pPr>
        <w:ind w:left="1361" w:hanging="720"/>
      </w:pPr>
      <w:rPr>
        <w:rFonts w:hint="default"/>
      </w:rPr>
    </w:lvl>
    <w:lvl w:ilvl="2">
      <w:start w:val="1"/>
      <w:numFmt w:val="decimal"/>
      <w:pStyle w:val="Heading4"/>
      <w:isLgl/>
      <w:lvlText w:val="%1.%2.%3"/>
      <w:lvlJc w:val="left"/>
      <w:pPr>
        <w:ind w:left="1642" w:hanging="720"/>
      </w:pPr>
      <w:rPr>
        <w:rFonts w:hint="default"/>
      </w:rPr>
    </w:lvl>
    <w:lvl w:ilvl="3">
      <w:start w:val="1"/>
      <w:numFmt w:val="decimal"/>
      <w:isLgl/>
      <w:lvlText w:val="%1.%2.%3.%4"/>
      <w:lvlJc w:val="left"/>
      <w:pPr>
        <w:ind w:left="2283" w:hanging="1080"/>
      </w:pPr>
      <w:rPr>
        <w:rFonts w:hint="default"/>
      </w:rPr>
    </w:lvl>
    <w:lvl w:ilvl="4">
      <w:start w:val="1"/>
      <w:numFmt w:val="decimal"/>
      <w:isLgl/>
      <w:lvlText w:val="%1.%2.%3.%4.%5"/>
      <w:lvlJc w:val="left"/>
      <w:pPr>
        <w:ind w:left="2924" w:hanging="1440"/>
      </w:pPr>
      <w:rPr>
        <w:rFonts w:hint="default"/>
      </w:rPr>
    </w:lvl>
    <w:lvl w:ilvl="5">
      <w:start w:val="1"/>
      <w:numFmt w:val="decimal"/>
      <w:isLgl/>
      <w:lvlText w:val="%1.%2.%3.%4.%5.%6"/>
      <w:lvlJc w:val="left"/>
      <w:pPr>
        <w:ind w:left="3565" w:hanging="1800"/>
      </w:pPr>
      <w:rPr>
        <w:rFonts w:hint="default"/>
      </w:rPr>
    </w:lvl>
    <w:lvl w:ilvl="6">
      <w:start w:val="1"/>
      <w:numFmt w:val="decimal"/>
      <w:isLgl/>
      <w:lvlText w:val="%1.%2.%3.%4.%5.%6.%7"/>
      <w:lvlJc w:val="left"/>
      <w:pPr>
        <w:ind w:left="3846" w:hanging="1800"/>
      </w:pPr>
      <w:rPr>
        <w:rFonts w:hint="default"/>
      </w:rPr>
    </w:lvl>
    <w:lvl w:ilvl="7">
      <w:start w:val="1"/>
      <w:numFmt w:val="decimal"/>
      <w:isLgl/>
      <w:lvlText w:val="%1.%2.%3.%4.%5.%6.%7.%8"/>
      <w:lvlJc w:val="left"/>
      <w:pPr>
        <w:ind w:left="4487" w:hanging="2160"/>
      </w:pPr>
      <w:rPr>
        <w:rFonts w:hint="default"/>
      </w:rPr>
    </w:lvl>
    <w:lvl w:ilvl="8">
      <w:start w:val="1"/>
      <w:numFmt w:val="decimal"/>
      <w:isLgl/>
      <w:lvlText w:val="%1.%2.%3.%4.%5.%6.%7.%8.%9"/>
      <w:lvlJc w:val="left"/>
      <w:pPr>
        <w:ind w:left="5128" w:hanging="2520"/>
      </w:pPr>
      <w:rPr>
        <w:rFonts w:hint="default"/>
      </w:rPr>
    </w:lvl>
  </w:abstractNum>
  <w:abstractNum w:abstractNumId="21">
    <w:nsid w:val="2AB17A9B"/>
    <w:multiLevelType w:val="multilevel"/>
    <w:tmpl w:val="0409001D"/>
    <w:styleLink w:val="Styledelistecentral"/>
    <w:lvl w:ilvl="0">
      <w:start w:val="1"/>
      <w:numFmt w:val="bullet"/>
      <w:lvlText w:val=""/>
      <w:lvlJc w:val="left"/>
      <w:pPr>
        <w:ind w:left="360" w:hanging="360"/>
      </w:pPr>
      <w:rPr>
        <w:rFonts w:asciiTheme="minorHAnsi" w:eastAsiaTheme="minorEastAsia" w:hAnsi="Wingdings 2" w:cstheme="minorBidi" w:hint="default"/>
        <w:color w:val="DD8047"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2E756C2F"/>
    <w:multiLevelType w:val="hybridMultilevel"/>
    <w:tmpl w:val="48486B14"/>
    <w:lvl w:ilvl="0" w:tplc="076069AC">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EC274B9"/>
    <w:multiLevelType w:val="multilevel"/>
    <w:tmpl w:val="9AE268CE"/>
    <w:lvl w:ilvl="0">
      <w:start w:val="1"/>
      <w:numFmt w:val="decimal"/>
      <w:lvlText w:val="%1"/>
      <w:lvlJc w:val="left"/>
      <w:pPr>
        <w:ind w:left="375" w:hanging="375"/>
      </w:pPr>
      <w:rPr>
        <w:rFonts w:hint="default"/>
      </w:rPr>
    </w:lvl>
    <w:lvl w:ilvl="1">
      <w:start w:val="1"/>
      <w:numFmt w:val="decimal"/>
      <w:pStyle w:val="Heading3"/>
      <w:lvlText w:val="%1.%2"/>
      <w:lvlJc w:val="left"/>
      <w:pPr>
        <w:ind w:left="1361" w:hanging="72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3003" w:hanging="1080"/>
      </w:pPr>
      <w:rPr>
        <w:rFonts w:hint="default"/>
      </w:rPr>
    </w:lvl>
    <w:lvl w:ilvl="4">
      <w:start w:val="1"/>
      <w:numFmt w:val="decimal"/>
      <w:lvlText w:val="%1.%2.%3.%4.%5"/>
      <w:lvlJc w:val="left"/>
      <w:pPr>
        <w:ind w:left="4004" w:hanging="1440"/>
      </w:pPr>
      <w:rPr>
        <w:rFonts w:hint="default"/>
      </w:rPr>
    </w:lvl>
    <w:lvl w:ilvl="5">
      <w:start w:val="1"/>
      <w:numFmt w:val="decimal"/>
      <w:lvlText w:val="%1.%2.%3.%4.%5.%6"/>
      <w:lvlJc w:val="left"/>
      <w:pPr>
        <w:ind w:left="5005" w:hanging="1800"/>
      </w:pPr>
      <w:rPr>
        <w:rFonts w:hint="default"/>
      </w:rPr>
    </w:lvl>
    <w:lvl w:ilvl="6">
      <w:start w:val="1"/>
      <w:numFmt w:val="decimal"/>
      <w:lvlText w:val="%1.%2.%3.%4.%5.%6.%7"/>
      <w:lvlJc w:val="left"/>
      <w:pPr>
        <w:ind w:left="5646" w:hanging="1800"/>
      </w:pPr>
      <w:rPr>
        <w:rFonts w:hint="default"/>
      </w:rPr>
    </w:lvl>
    <w:lvl w:ilvl="7">
      <w:start w:val="1"/>
      <w:numFmt w:val="decimal"/>
      <w:lvlText w:val="%1.%2.%3.%4.%5.%6.%7.%8"/>
      <w:lvlJc w:val="left"/>
      <w:pPr>
        <w:ind w:left="6647" w:hanging="2160"/>
      </w:pPr>
      <w:rPr>
        <w:rFonts w:hint="default"/>
      </w:rPr>
    </w:lvl>
    <w:lvl w:ilvl="8">
      <w:start w:val="1"/>
      <w:numFmt w:val="decimal"/>
      <w:lvlText w:val="%1.%2.%3.%4.%5.%6.%7.%8.%9"/>
      <w:lvlJc w:val="left"/>
      <w:pPr>
        <w:ind w:left="7648" w:hanging="2520"/>
      </w:pPr>
      <w:rPr>
        <w:rFonts w:hint="default"/>
      </w:rPr>
    </w:lvl>
  </w:abstractNum>
  <w:abstractNum w:abstractNumId="25">
    <w:nsid w:val="2F3240E4"/>
    <w:multiLevelType w:val="hybridMultilevel"/>
    <w:tmpl w:val="31DC1892"/>
    <w:lvl w:ilvl="0" w:tplc="807450A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367A1D18"/>
    <w:multiLevelType w:val="hybridMultilevel"/>
    <w:tmpl w:val="A962BF84"/>
    <w:lvl w:ilvl="0" w:tplc="F216F73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231BDA"/>
    <w:multiLevelType w:val="hybridMultilevel"/>
    <w:tmpl w:val="675A53F6"/>
    <w:lvl w:ilvl="0" w:tplc="0D9A2688">
      <w:numFmt w:val="bullet"/>
      <w:lvlText w:val="-"/>
      <w:lvlJc w:val="left"/>
      <w:pPr>
        <w:ind w:left="720" w:hanging="360"/>
      </w:pPr>
      <w:rPr>
        <w:rFonts w:ascii="Tw Cen MT" w:eastAsia="Times New Roman" w:hAnsi="Tw Cen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EA15B71"/>
    <w:multiLevelType w:val="hybridMultilevel"/>
    <w:tmpl w:val="C4241D84"/>
    <w:lvl w:ilvl="0" w:tplc="040C001B">
      <w:start w:val="1"/>
      <w:numFmt w:val="lowerRoman"/>
      <w:lvlText w:val="%1."/>
      <w:lvlJc w:val="righ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134281E"/>
    <w:multiLevelType w:val="hybridMultilevel"/>
    <w:tmpl w:val="25F8EFCC"/>
    <w:lvl w:ilvl="0" w:tplc="355EAE1E">
      <w:numFmt w:val="bullet"/>
      <w:lvlText w:val="-"/>
      <w:lvlJc w:val="left"/>
      <w:pPr>
        <w:ind w:left="1080" w:hanging="360"/>
      </w:pPr>
      <w:rPr>
        <w:rFonts w:ascii="Tw Cen MT" w:eastAsia="Times New Roman" w:hAnsi="Tw Cen MT"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42B26211"/>
    <w:multiLevelType w:val="multilevel"/>
    <w:tmpl w:val="D1A40E00"/>
    <w:lvl w:ilvl="0">
      <w:start w:val="1"/>
      <w:numFmt w:val="bullet"/>
      <w:lvlText w:val="-"/>
      <w:lvlJc w:val="left"/>
      <w:pPr>
        <w:tabs>
          <w:tab w:val="num" w:pos="720"/>
        </w:tabs>
        <w:ind w:left="720" w:hanging="360"/>
      </w:pPr>
      <w:rPr>
        <w:rFonts w:ascii="Century Gothic" w:hAnsi="Century Gothic"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D252AA"/>
    <w:multiLevelType w:val="hybridMultilevel"/>
    <w:tmpl w:val="0B4A749A"/>
    <w:lvl w:ilvl="0" w:tplc="076069AC">
      <w:start w:val="1"/>
      <w:numFmt w:val="bullet"/>
      <w:lvlText w:val="-"/>
      <w:lvlJc w:val="left"/>
      <w:pPr>
        <w:ind w:left="1440" w:hanging="360"/>
      </w:pPr>
      <w:rPr>
        <w:rFonts w:ascii="Century Gothic" w:hAnsi="Century Gothic"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4E891F43"/>
    <w:multiLevelType w:val="hybridMultilevel"/>
    <w:tmpl w:val="2A229EB8"/>
    <w:lvl w:ilvl="0" w:tplc="6F826D46">
      <w:start w:val="1"/>
      <w:numFmt w:val="bullet"/>
      <w:lvlText w:val=""/>
      <w:lvlJc w:val="left"/>
      <w:pPr>
        <w:ind w:left="720" w:hanging="360"/>
      </w:pPr>
      <w:rPr>
        <w:rFonts w:ascii="Wingdings" w:hAnsi="Wingdings" w:hint="default"/>
        <w:color w:val="548AB7" w:themeColor="accent1" w:themeShade="BF"/>
        <w:u w:color="548AB7"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06E5437"/>
    <w:multiLevelType w:val="hybridMultilevel"/>
    <w:tmpl w:val="1616A0EE"/>
    <w:lvl w:ilvl="0" w:tplc="5B16E878">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07E32A9"/>
    <w:multiLevelType w:val="multilevel"/>
    <w:tmpl w:val="53B0EA40"/>
    <w:lvl w:ilvl="0">
      <w:numFmt w:val="bullet"/>
      <w:lvlText w:val="-"/>
      <w:lvlJc w:val="left"/>
      <w:pPr>
        <w:tabs>
          <w:tab w:val="num" w:pos="720"/>
        </w:tabs>
        <w:ind w:left="720" w:hanging="360"/>
      </w:pPr>
      <w:rPr>
        <w:rFonts w:ascii="Calibri" w:eastAsiaTheme="minorHAnsi" w:hAnsi="Calibri"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1B850A6"/>
    <w:multiLevelType w:val="multilevel"/>
    <w:tmpl w:val="6F1AAE0E"/>
    <w:lvl w:ilvl="0">
      <w:start w:val="1"/>
      <w:numFmt w:val="bullet"/>
      <w:lvlText w:val="-"/>
      <w:lvlJc w:val="left"/>
      <w:pPr>
        <w:tabs>
          <w:tab w:val="num" w:pos="720"/>
        </w:tabs>
        <w:ind w:left="720" w:hanging="360"/>
      </w:pPr>
      <w:rPr>
        <w:rFonts w:ascii="Century Gothic" w:hAnsi="Century Gothic"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AE3C4B"/>
    <w:multiLevelType w:val="hybridMultilevel"/>
    <w:tmpl w:val="58983E5E"/>
    <w:lvl w:ilvl="0" w:tplc="B1300182">
      <w:start w:val="1"/>
      <w:numFmt w:val="bullet"/>
      <w:lvlText w:val="-"/>
      <w:lvlJc w:val="left"/>
      <w:pPr>
        <w:ind w:left="1125" w:hanging="360"/>
      </w:pPr>
      <w:rPr>
        <w:rFonts w:ascii="Calibri" w:eastAsiaTheme="minorHAnsi" w:hAnsi="Calibri" w:cstheme="minorBidi" w:hint="default"/>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start w:val="1"/>
      <w:numFmt w:val="bullet"/>
      <w:lvlText w:val=""/>
      <w:lvlJc w:val="left"/>
      <w:pPr>
        <w:ind w:left="3285" w:hanging="360"/>
      </w:pPr>
      <w:rPr>
        <w:rFonts w:ascii="Symbol" w:hAnsi="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hint="default"/>
      </w:rPr>
    </w:lvl>
    <w:lvl w:ilvl="6" w:tplc="04090001">
      <w:start w:val="1"/>
      <w:numFmt w:val="bullet"/>
      <w:lvlText w:val=""/>
      <w:lvlJc w:val="left"/>
      <w:pPr>
        <w:ind w:left="5445" w:hanging="360"/>
      </w:pPr>
      <w:rPr>
        <w:rFonts w:ascii="Symbol" w:hAnsi="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hint="default"/>
      </w:rPr>
    </w:lvl>
  </w:abstractNum>
  <w:abstractNum w:abstractNumId="37">
    <w:nsid w:val="57300D8A"/>
    <w:multiLevelType w:val="hybridMultilevel"/>
    <w:tmpl w:val="1578F3E2"/>
    <w:lvl w:ilvl="0" w:tplc="EDEAB90C">
      <w:start w:val="1"/>
      <w:numFmt w:val="bullet"/>
      <w:lvlText w:val="•"/>
      <w:lvlJc w:val="left"/>
      <w:pPr>
        <w:tabs>
          <w:tab w:val="num" w:pos="720"/>
        </w:tabs>
        <w:ind w:left="720" w:hanging="360"/>
      </w:pPr>
      <w:rPr>
        <w:rFonts w:ascii="Arial" w:hAnsi="Arial" w:hint="default"/>
      </w:rPr>
    </w:lvl>
    <w:lvl w:ilvl="1" w:tplc="8F66DDE0">
      <w:start w:val="1"/>
      <w:numFmt w:val="bullet"/>
      <w:lvlText w:val="•"/>
      <w:lvlJc w:val="left"/>
      <w:pPr>
        <w:tabs>
          <w:tab w:val="num" w:pos="1440"/>
        </w:tabs>
        <w:ind w:left="1440" w:hanging="360"/>
      </w:pPr>
      <w:rPr>
        <w:rFonts w:ascii="Arial" w:hAnsi="Arial" w:hint="default"/>
      </w:rPr>
    </w:lvl>
    <w:lvl w:ilvl="2" w:tplc="7AD48C2C" w:tentative="1">
      <w:start w:val="1"/>
      <w:numFmt w:val="bullet"/>
      <w:lvlText w:val="•"/>
      <w:lvlJc w:val="left"/>
      <w:pPr>
        <w:tabs>
          <w:tab w:val="num" w:pos="2160"/>
        </w:tabs>
        <w:ind w:left="2160" w:hanging="360"/>
      </w:pPr>
      <w:rPr>
        <w:rFonts w:ascii="Arial" w:hAnsi="Arial" w:hint="default"/>
      </w:rPr>
    </w:lvl>
    <w:lvl w:ilvl="3" w:tplc="F4866FAA" w:tentative="1">
      <w:start w:val="1"/>
      <w:numFmt w:val="bullet"/>
      <w:lvlText w:val="•"/>
      <w:lvlJc w:val="left"/>
      <w:pPr>
        <w:tabs>
          <w:tab w:val="num" w:pos="2880"/>
        </w:tabs>
        <w:ind w:left="2880" w:hanging="360"/>
      </w:pPr>
      <w:rPr>
        <w:rFonts w:ascii="Arial" w:hAnsi="Arial" w:hint="default"/>
      </w:rPr>
    </w:lvl>
    <w:lvl w:ilvl="4" w:tplc="66FC36E8" w:tentative="1">
      <w:start w:val="1"/>
      <w:numFmt w:val="bullet"/>
      <w:lvlText w:val="•"/>
      <w:lvlJc w:val="left"/>
      <w:pPr>
        <w:tabs>
          <w:tab w:val="num" w:pos="3600"/>
        </w:tabs>
        <w:ind w:left="3600" w:hanging="360"/>
      </w:pPr>
      <w:rPr>
        <w:rFonts w:ascii="Arial" w:hAnsi="Arial" w:hint="default"/>
      </w:rPr>
    </w:lvl>
    <w:lvl w:ilvl="5" w:tplc="CD9A0F60" w:tentative="1">
      <w:start w:val="1"/>
      <w:numFmt w:val="bullet"/>
      <w:lvlText w:val="•"/>
      <w:lvlJc w:val="left"/>
      <w:pPr>
        <w:tabs>
          <w:tab w:val="num" w:pos="4320"/>
        </w:tabs>
        <w:ind w:left="4320" w:hanging="360"/>
      </w:pPr>
      <w:rPr>
        <w:rFonts w:ascii="Arial" w:hAnsi="Arial" w:hint="default"/>
      </w:rPr>
    </w:lvl>
    <w:lvl w:ilvl="6" w:tplc="3F0C0172" w:tentative="1">
      <w:start w:val="1"/>
      <w:numFmt w:val="bullet"/>
      <w:lvlText w:val="•"/>
      <w:lvlJc w:val="left"/>
      <w:pPr>
        <w:tabs>
          <w:tab w:val="num" w:pos="5040"/>
        </w:tabs>
        <w:ind w:left="5040" w:hanging="360"/>
      </w:pPr>
      <w:rPr>
        <w:rFonts w:ascii="Arial" w:hAnsi="Arial" w:hint="default"/>
      </w:rPr>
    </w:lvl>
    <w:lvl w:ilvl="7" w:tplc="B42A5568" w:tentative="1">
      <w:start w:val="1"/>
      <w:numFmt w:val="bullet"/>
      <w:lvlText w:val="•"/>
      <w:lvlJc w:val="left"/>
      <w:pPr>
        <w:tabs>
          <w:tab w:val="num" w:pos="5760"/>
        </w:tabs>
        <w:ind w:left="5760" w:hanging="360"/>
      </w:pPr>
      <w:rPr>
        <w:rFonts w:ascii="Arial" w:hAnsi="Arial" w:hint="default"/>
      </w:rPr>
    </w:lvl>
    <w:lvl w:ilvl="8" w:tplc="CA48BA34" w:tentative="1">
      <w:start w:val="1"/>
      <w:numFmt w:val="bullet"/>
      <w:lvlText w:val="•"/>
      <w:lvlJc w:val="left"/>
      <w:pPr>
        <w:tabs>
          <w:tab w:val="num" w:pos="6480"/>
        </w:tabs>
        <w:ind w:left="6480" w:hanging="360"/>
      </w:pPr>
      <w:rPr>
        <w:rFonts w:ascii="Arial" w:hAnsi="Arial" w:hint="default"/>
      </w:rPr>
    </w:lvl>
  </w:abstractNum>
  <w:abstractNum w:abstractNumId="38">
    <w:nsid w:val="59572CA6"/>
    <w:multiLevelType w:val="hybridMultilevel"/>
    <w:tmpl w:val="2A86E2C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DAC63EF"/>
    <w:multiLevelType w:val="hybridMultilevel"/>
    <w:tmpl w:val="2A86E2C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EA52683"/>
    <w:multiLevelType w:val="multilevel"/>
    <w:tmpl w:val="58063E4A"/>
    <w:lvl w:ilvl="0">
      <w:numFmt w:val="bullet"/>
      <w:lvlText w:val="-"/>
      <w:lvlJc w:val="left"/>
      <w:pPr>
        <w:tabs>
          <w:tab w:val="num" w:pos="720"/>
        </w:tabs>
        <w:ind w:left="720" w:hanging="360"/>
      </w:pPr>
      <w:rPr>
        <w:rFonts w:ascii="Calibri" w:eastAsiaTheme="minorHAnsi" w:hAnsi="Calibri"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1CE7462"/>
    <w:multiLevelType w:val="hybridMultilevel"/>
    <w:tmpl w:val="D6A4DA4C"/>
    <w:lvl w:ilvl="0" w:tplc="0A34BB5E">
      <w:start w:val="1"/>
      <w:numFmt w:val="bullet"/>
      <w:lvlText w:val=""/>
      <w:lvlJc w:val="left"/>
      <w:pPr>
        <w:ind w:left="1440" w:hanging="360"/>
      </w:pPr>
      <w:rPr>
        <w:rFonts w:ascii="Wingdings" w:hAnsi="Wingdings" w:hint="default"/>
        <w:color w:val="548AB7" w:themeColor="accent1" w:themeShade="BF"/>
        <w:u w:color="548AB7" w:themeColor="accent1" w:themeShade="BF"/>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nsid w:val="6286087D"/>
    <w:multiLevelType w:val="hybridMultilevel"/>
    <w:tmpl w:val="8C8E9600"/>
    <w:lvl w:ilvl="0" w:tplc="076069AC">
      <w:start w:val="1"/>
      <w:numFmt w:val="bullet"/>
      <w:lvlText w:val="-"/>
      <w:lvlJc w:val="left"/>
      <w:pPr>
        <w:ind w:left="720" w:hanging="360"/>
      </w:pPr>
      <w:rPr>
        <w:rFonts w:ascii="Century Gothic" w:hAnsi="Century Gothic" w:hint="default"/>
      </w:rPr>
    </w:lvl>
    <w:lvl w:ilvl="1" w:tplc="040C0005">
      <w:start w:val="1"/>
      <w:numFmt w:val="bullet"/>
      <w:lvlText w:val=""/>
      <w:lvlJc w:val="left"/>
      <w:pPr>
        <w:ind w:left="1440" w:hanging="360"/>
      </w:pPr>
      <w:rPr>
        <w:rFonts w:ascii="Wingdings" w:hAnsi="Wingdings" w:hint="default"/>
        <w:color w:val="548AB7" w:themeColor="accent1" w:themeShade="BF"/>
        <w:u w:color="DD8047" w:themeColor="accent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4AB427A"/>
    <w:multiLevelType w:val="hybridMultilevel"/>
    <w:tmpl w:val="7BCA9B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56818FB"/>
    <w:multiLevelType w:val="hybridMultilevel"/>
    <w:tmpl w:val="3926E218"/>
    <w:lvl w:ilvl="0" w:tplc="74A2CB62">
      <w:start w:val="1"/>
      <w:numFmt w:val="lowerLetter"/>
      <w:pStyle w:val="Heading6"/>
      <w:lvlText w:val="%1."/>
      <w:lvlJc w:val="left"/>
      <w:pPr>
        <w:ind w:left="1996" w:hanging="360"/>
      </w:pPr>
      <w:rPr>
        <w:rFonts w:hint="default"/>
        <w:color w:val="auto"/>
      </w:rPr>
    </w:lvl>
    <w:lvl w:ilvl="1" w:tplc="040C0019" w:tentative="1">
      <w:start w:val="1"/>
      <w:numFmt w:val="lowerLetter"/>
      <w:lvlText w:val="%2."/>
      <w:lvlJc w:val="left"/>
      <w:pPr>
        <w:ind w:left="2716" w:hanging="360"/>
      </w:pPr>
    </w:lvl>
    <w:lvl w:ilvl="2" w:tplc="040C001B" w:tentative="1">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45">
    <w:nsid w:val="672F3498"/>
    <w:multiLevelType w:val="hybridMultilevel"/>
    <w:tmpl w:val="13AABF26"/>
    <w:lvl w:ilvl="0" w:tplc="040C001B">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9BC2EB7"/>
    <w:multiLevelType w:val="hybridMultilevel"/>
    <w:tmpl w:val="99F6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D076BF7"/>
    <w:multiLevelType w:val="hybridMultilevel"/>
    <w:tmpl w:val="567C49BA"/>
    <w:lvl w:ilvl="0" w:tplc="C316D5DC">
      <w:start w:val="1"/>
      <w:numFmt w:val="bullet"/>
      <w:lvlText w:val="•"/>
      <w:lvlJc w:val="left"/>
      <w:pPr>
        <w:tabs>
          <w:tab w:val="num" w:pos="720"/>
        </w:tabs>
        <w:ind w:left="720" w:hanging="360"/>
      </w:pPr>
      <w:rPr>
        <w:rFonts w:ascii="Arial" w:hAnsi="Arial" w:hint="default"/>
      </w:rPr>
    </w:lvl>
    <w:lvl w:ilvl="1" w:tplc="D0CA90D2">
      <w:start w:val="1"/>
      <w:numFmt w:val="bullet"/>
      <w:lvlText w:val="•"/>
      <w:lvlJc w:val="left"/>
      <w:pPr>
        <w:tabs>
          <w:tab w:val="num" w:pos="1440"/>
        </w:tabs>
        <w:ind w:left="1440" w:hanging="360"/>
      </w:pPr>
      <w:rPr>
        <w:rFonts w:ascii="Arial" w:hAnsi="Arial" w:hint="default"/>
      </w:rPr>
    </w:lvl>
    <w:lvl w:ilvl="2" w:tplc="760C225C">
      <w:start w:val="2876"/>
      <w:numFmt w:val="bullet"/>
      <w:lvlText w:val="–"/>
      <w:lvlJc w:val="left"/>
      <w:pPr>
        <w:tabs>
          <w:tab w:val="num" w:pos="2160"/>
        </w:tabs>
        <w:ind w:left="2160" w:hanging="360"/>
      </w:pPr>
      <w:rPr>
        <w:rFonts w:ascii="Arial" w:hAnsi="Arial" w:hint="default"/>
      </w:rPr>
    </w:lvl>
    <w:lvl w:ilvl="3" w:tplc="9F6A5038" w:tentative="1">
      <w:start w:val="1"/>
      <w:numFmt w:val="bullet"/>
      <w:lvlText w:val="•"/>
      <w:lvlJc w:val="left"/>
      <w:pPr>
        <w:tabs>
          <w:tab w:val="num" w:pos="2880"/>
        </w:tabs>
        <w:ind w:left="2880" w:hanging="360"/>
      </w:pPr>
      <w:rPr>
        <w:rFonts w:ascii="Arial" w:hAnsi="Arial" w:hint="default"/>
      </w:rPr>
    </w:lvl>
    <w:lvl w:ilvl="4" w:tplc="FFA29248" w:tentative="1">
      <w:start w:val="1"/>
      <w:numFmt w:val="bullet"/>
      <w:lvlText w:val="•"/>
      <w:lvlJc w:val="left"/>
      <w:pPr>
        <w:tabs>
          <w:tab w:val="num" w:pos="3600"/>
        </w:tabs>
        <w:ind w:left="3600" w:hanging="360"/>
      </w:pPr>
      <w:rPr>
        <w:rFonts w:ascii="Arial" w:hAnsi="Arial" w:hint="default"/>
      </w:rPr>
    </w:lvl>
    <w:lvl w:ilvl="5" w:tplc="76A87788" w:tentative="1">
      <w:start w:val="1"/>
      <w:numFmt w:val="bullet"/>
      <w:lvlText w:val="•"/>
      <w:lvlJc w:val="left"/>
      <w:pPr>
        <w:tabs>
          <w:tab w:val="num" w:pos="4320"/>
        </w:tabs>
        <w:ind w:left="4320" w:hanging="360"/>
      </w:pPr>
      <w:rPr>
        <w:rFonts w:ascii="Arial" w:hAnsi="Arial" w:hint="default"/>
      </w:rPr>
    </w:lvl>
    <w:lvl w:ilvl="6" w:tplc="420E8C2A" w:tentative="1">
      <w:start w:val="1"/>
      <w:numFmt w:val="bullet"/>
      <w:lvlText w:val="•"/>
      <w:lvlJc w:val="left"/>
      <w:pPr>
        <w:tabs>
          <w:tab w:val="num" w:pos="5040"/>
        </w:tabs>
        <w:ind w:left="5040" w:hanging="360"/>
      </w:pPr>
      <w:rPr>
        <w:rFonts w:ascii="Arial" w:hAnsi="Arial" w:hint="default"/>
      </w:rPr>
    </w:lvl>
    <w:lvl w:ilvl="7" w:tplc="C48A61CC" w:tentative="1">
      <w:start w:val="1"/>
      <w:numFmt w:val="bullet"/>
      <w:lvlText w:val="•"/>
      <w:lvlJc w:val="left"/>
      <w:pPr>
        <w:tabs>
          <w:tab w:val="num" w:pos="5760"/>
        </w:tabs>
        <w:ind w:left="5760" w:hanging="360"/>
      </w:pPr>
      <w:rPr>
        <w:rFonts w:ascii="Arial" w:hAnsi="Arial" w:hint="default"/>
      </w:rPr>
    </w:lvl>
    <w:lvl w:ilvl="8" w:tplc="2AA41906" w:tentative="1">
      <w:start w:val="1"/>
      <w:numFmt w:val="bullet"/>
      <w:lvlText w:val="•"/>
      <w:lvlJc w:val="left"/>
      <w:pPr>
        <w:tabs>
          <w:tab w:val="num" w:pos="6480"/>
        </w:tabs>
        <w:ind w:left="6480" w:hanging="360"/>
      </w:pPr>
      <w:rPr>
        <w:rFonts w:ascii="Arial" w:hAnsi="Arial" w:hint="default"/>
      </w:rPr>
    </w:lvl>
  </w:abstractNum>
  <w:abstractNum w:abstractNumId="48">
    <w:nsid w:val="6DA11B5D"/>
    <w:multiLevelType w:val="hybridMultilevel"/>
    <w:tmpl w:val="AAD2BE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6240711"/>
    <w:multiLevelType w:val="hybridMultilevel"/>
    <w:tmpl w:val="9092D596"/>
    <w:lvl w:ilvl="0" w:tplc="A2EEEFE2">
      <w:start w:val="1"/>
      <w:numFmt w:val="decimal"/>
      <w:lvlText w:val="%1."/>
      <w:lvlJc w:val="left"/>
      <w:pPr>
        <w:tabs>
          <w:tab w:val="num" w:pos="720"/>
        </w:tabs>
        <w:ind w:left="720" w:hanging="360"/>
      </w:pPr>
    </w:lvl>
    <w:lvl w:ilvl="1" w:tplc="076069AC">
      <w:start w:val="1"/>
      <w:numFmt w:val="bullet"/>
      <w:lvlText w:val="-"/>
      <w:lvlJc w:val="left"/>
      <w:pPr>
        <w:tabs>
          <w:tab w:val="num" w:pos="1440"/>
        </w:tabs>
        <w:ind w:left="1440" w:hanging="360"/>
      </w:pPr>
      <w:rPr>
        <w:rFonts w:ascii="Century Gothic" w:hAnsi="Century Gothic" w:hint="default"/>
      </w:rPr>
    </w:lvl>
    <w:lvl w:ilvl="2" w:tplc="B582E44A" w:tentative="1">
      <w:start w:val="1"/>
      <w:numFmt w:val="decimal"/>
      <w:lvlText w:val="%3."/>
      <w:lvlJc w:val="left"/>
      <w:pPr>
        <w:tabs>
          <w:tab w:val="num" w:pos="2160"/>
        </w:tabs>
        <w:ind w:left="2160" w:hanging="360"/>
      </w:pPr>
    </w:lvl>
    <w:lvl w:ilvl="3" w:tplc="A65C8880" w:tentative="1">
      <w:start w:val="1"/>
      <w:numFmt w:val="decimal"/>
      <w:lvlText w:val="%4."/>
      <w:lvlJc w:val="left"/>
      <w:pPr>
        <w:tabs>
          <w:tab w:val="num" w:pos="2880"/>
        </w:tabs>
        <w:ind w:left="2880" w:hanging="360"/>
      </w:pPr>
    </w:lvl>
    <w:lvl w:ilvl="4" w:tplc="16F296D6" w:tentative="1">
      <w:start w:val="1"/>
      <w:numFmt w:val="decimal"/>
      <w:lvlText w:val="%5."/>
      <w:lvlJc w:val="left"/>
      <w:pPr>
        <w:tabs>
          <w:tab w:val="num" w:pos="3600"/>
        </w:tabs>
        <w:ind w:left="3600" w:hanging="360"/>
      </w:pPr>
    </w:lvl>
    <w:lvl w:ilvl="5" w:tplc="107E185C" w:tentative="1">
      <w:start w:val="1"/>
      <w:numFmt w:val="decimal"/>
      <w:lvlText w:val="%6."/>
      <w:lvlJc w:val="left"/>
      <w:pPr>
        <w:tabs>
          <w:tab w:val="num" w:pos="4320"/>
        </w:tabs>
        <w:ind w:left="4320" w:hanging="360"/>
      </w:pPr>
    </w:lvl>
    <w:lvl w:ilvl="6" w:tplc="0526F950" w:tentative="1">
      <w:start w:val="1"/>
      <w:numFmt w:val="decimal"/>
      <w:lvlText w:val="%7."/>
      <w:lvlJc w:val="left"/>
      <w:pPr>
        <w:tabs>
          <w:tab w:val="num" w:pos="5040"/>
        </w:tabs>
        <w:ind w:left="5040" w:hanging="360"/>
      </w:pPr>
    </w:lvl>
    <w:lvl w:ilvl="7" w:tplc="3236A9BC" w:tentative="1">
      <w:start w:val="1"/>
      <w:numFmt w:val="decimal"/>
      <w:lvlText w:val="%8."/>
      <w:lvlJc w:val="left"/>
      <w:pPr>
        <w:tabs>
          <w:tab w:val="num" w:pos="5760"/>
        </w:tabs>
        <w:ind w:left="5760" w:hanging="360"/>
      </w:pPr>
    </w:lvl>
    <w:lvl w:ilvl="8" w:tplc="1CFC41B0" w:tentative="1">
      <w:start w:val="1"/>
      <w:numFmt w:val="decimal"/>
      <w:lvlText w:val="%9."/>
      <w:lvlJc w:val="left"/>
      <w:pPr>
        <w:tabs>
          <w:tab w:val="num" w:pos="6480"/>
        </w:tabs>
        <w:ind w:left="6480" w:hanging="360"/>
      </w:pPr>
    </w:lvl>
  </w:abstractNum>
  <w:abstractNum w:abstractNumId="50">
    <w:nsid w:val="7BED000D"/>
    <w:multiLevelType w:val="multilevel"/>
    <w:tmpl w:val="4B16F12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pStyle w:val="Style3"/>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1">
    <w:nsid w:val="7D712AFA"/>
    <w:multiLevelType w:val="multilevel"/>
    <w:tmpl w:val="F582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2"/>
  </w:num>
  <w:num w:numId="3">
    <w:abstractNumId w:val="3"/>
  </w:num>
  <w:num w:numId="4">
    <w:abstractNumId w:val="2"/>
  </w:num>
  <w:num w:numId="5">
    <w:abstractNumId w:val="1"/>
  </w:num>
  <w:num w:numId="6">
    <w:abstractNumId w:val="0"/>
  </w:num>
  <w:num w:numId="7">
    <w:abstractNumId w:val="8"/>
    <w:lvlOverride w:ilvl="0">
      <w:lvl w:ilvl="0">
        <w:start w:val="1"/>
        <w:numFmt w:val="bullet"/>
        <w:pStyle w:val="Paragrapheliste1TEREA"/>
        <w:lvlText w:val=""/>
        <w:lvlJc w:val="left"/>
        <w:pPr>
          <w:ind w:left="1134" w:hanging="283"/>
        </w:pPr>
        <w:rPr>
          <w:rFonts w:ascii="Symbol" w:hAnsi="Symbol" w:hint="default"/>
          <w:color w:val="548AB7" w:themeColor="accent1" w:themeShade="BF"/>
          <w:spacing w:val="0"/>
          <w:position w:val="0"/>
          <w:u w:color="FFFFFF" w:themeColor="background1"/>
        </w:rPr>
      </w:lvl>
    </w:lvlOverride>
    <w:lvlOverride w:ilvl="1">
      <w:lvl w:ilvl="1">
        <w:start w:val="1"/>
        <w:numFmt w:val="bullet"/>
        <w:lvlText w:val="o"/>
        <w:lvlJc w:val="left"/>
        <w:pPr>
          <w:ind w:left="1701" w:hanging="283"/>
        </w:pPr>
        <w:rPr>
          <w:rFonts w:ascii="Courier New" w:hAnsi="Courier New" w:hint="default"/>
          <w:color w:val="548AB7" w:themeColor="accent1" w:themeShade="BF"/>
          <w:u w:color="FFFFFF" w:themeColor="background1"/>
        </w:rPr>
      </w:lvl>
    </w:lvlOverride>
    <w:lvlOverride w:ilvl="2">
      <w:lvl w:ilvl="2">
        <w:start w:val="1"/>
        <w:numFmt w:val="bullet"/>
        <w:lvlText w:val=""/>
        <w:lvlJc w:val="left"/>
        <w:pPr>
          <w:ind w:left="2268" w:hanging="283"/>
        </w:pPr>
        <w:rPr>
          <w:rFonts w:ascii="Wingdings" w:hAnsi="Wingdings" w:hint="default"/>
          <w:color w:val="548AB7" w:themeColor="accent1" w:themeShade="BF"/>
        </w:rPr>
      </w:lvl>
    </w:lvlOverride>
    <w:lvlOverride w:ilvl="3">
      <w:lvl w:ilvl="3">
        <w:start w:val="1"/>
        <w:numFmt w:val="bullet"/>
        <w:lvlText w:val=""/>
        <w:lvlJc w:val="left"/>
        <w:pPr>
          <w:ind w:left="3687" w:hanging="283"/>
        </w:pPr>
        <w:rPr>
          <w:rFonts w:ascii="Symbol" w:hAnsi="Symbol" w:hint="default"/>
        </w:rPr>
      </w:lvl>
    </w:lvlOverride>
    <w:lvlOverride w:ilvl="4">
      <w:lvl w:ilvl="4">
        <w:start w:val="1"/>
        <w:numFmt w:val="bullet"/>
        <w:lvlText w:val="o"/>
        <w:lvlJc w:val="left"/>
        <w:pPr>
          <w:ind w:left="4538" w:hanging="283"/>
        </w:pPr>
        <w:rPr>
          <w:rFonts w:ascii="Courier New" w:hAnsi="Courier New" w:cs="Courier New" w:hint="default"/>
        </w:rPr>
      </w:lvl>
    </w:lvlOverride>
    <w:lvlOverride w:ilvl="5">
      <w:lvl w:ilvl="5">
        <w:start w:val="1"/>
        <w:numFmt w:val="bullet"/>
        <w:lvlText w:val=""/>
        <w:lvlJc w:val="left"/>
        <w:pPr>
          <w:ind w:left="5389" w:hanging="283"/>
        </w:pPr>
        <w:rPr>
          <w:rFonts w:ascii="Wingdings" w:hAnsi="Wingdings" w:hint="default"/>
        </w:rPr>
      </w:lvl>
    </w:lvlOverride>
    <w:lvlOverride w:ilvl="6">
      <w:lvl w:ilvl="6">
        <w:start w:val="1"/>
        <w:numFmt w:val="bullet"/>
        <w:lvlText w:val=""/>
        <w:lvlJc w:val="left"/>
        <w:pPr>
          <w:ind w:left="6240" w:hanging="283"/>
        </w:pPr>
        <w:rPr>
          <w:rFonts w:ascii="Symbol" w:hAnsi="Symbol" w:hint="default"/>
        </w:rPr>
      </w:lvl>
    </w:lvlOverride>
    <w:lvlOverride w:ilvl="7">
      <w:lvl w:ilvl="7">
        <w:start w:val="1"/>
        <w:numFmt w:val="bullet"/>
        <w:lvlText w:val="o"/>
        <w:lvlJc w:val="left"/>
        <w:pPr>
          <w:ind w:left="7091" w:hanging="283"/>
        </w:pPr>
        <w:rPr>
          <w:rFonts w:ascii="Courier New" w:hAnsi="Courier New" w:cs="Courier New" w:hint="default"/>
        </w:rPr>
      </w:lvl>
    </w:lvlOverride>
    <w:lvlOverride w:ilvl="8">
      <w:lvl w:ilvl="8">
        <w:start w:val="1"/>
        <w:numFmt w:val="bullet"/>
        <w:lvlText w:val=""/>
        <w:lvlJc w:val="left"/>
        <w:pPr>
          <w:ind w:left="7942" w:hanging="283"/>
        </w:pPr>
        <w:rPr>
          <w:rFonts w:ascii="Wingdings" w:hAnsi="Wingdings" w:hint="default"/>
        </w:rPr>
      </w:lvl>
    </w:lvlOverride>
  </w:num>
  <w:num w:numId="8">
    <w:abstractNumId w:val="50"/>
  </w:num>
  <w:num w:numId="9">
    <w:abstractNumId w:val="44"/>
  </w:num>
  <w:num w:numId="10">
    <w:abstractNumId w:val="39"/>
  </w:num>
  <w:num w:numId="11">
    <w:abstractNumId w:val="17"/>
  </w:num>
  <w:num w:numId="12">
    <w:abstractNumId w:val="17"/>
    <w:lvlOverride w:ilvl="0">
      <w:startOverride w:val="1"/>
    </w:lvlOverride>
  </w:num>
  <w:num w:numId="13">
    <w:abstractNumId w:val="24"/>
  </w:num>
  <w:num w:numId="14">
    <w:abstractNumId w:val="12"/>
  </w:num>
  <w:num w:numId="15">
    <w:abstractNumId w:val="25"/>
  </w:num>
  <w:num w:numId="16">
    <w:abstractNumId w:val="15"/>
  </w:num>
  <w:num w:numId="17">
    <w:abstractNumId w:val="27"/>
  </w:num>
  <w:num w:numId="18">
    <w:abstractNumId w:val="7"/>
  </w:num>
  <w:num w:numId="19">
    <w:abstractNumId w:val="19"/>
  </w:num>
  <w:num w:numId="20">
    <w:abstractNumId w:val="14"/>
  </w:num>
  <w:num w:numId="21">
    <w:abstractNumId w:val="16"/>
  </w:num>
  <w:num w:numId="22">
    <w:abstractNumId w:val="41"/>
  </w:num>
  <w:num w:numId="23">
    <w:abstractNumId w:val="40"/>
  </w:num>
  <w:num w:numId="24">
    <w:abstractNumId w:val="34"/>
  </w:num>
  <w:num w:numId="25">
    <w:abstractNumId w:val="48"/>
  </w:num>
  <w:num w:numId="26">
    <w:abstractNumId w:val="20"/>
  </w:num>
  <w:num w:numId="27">
    <w:abstractNumId w:val="20"/>
    <w:lvlOverride w:ilvl="0">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1"/>
  </w:num>
  <w:num w:numId="33">
    <w:abstractNumId w:val="23"/>
  </w:num>
  <w:num w:numId="34">
    <w:abstractNumId w:val="30"/>
  </w:num>
  <w:num w:numId="35">
    <w:abstractNumId w:val="18"/>
  </w:num>
  <w:num w:numId="36">
    <w:abstractNumId w:val="45"/>
  </w:num>
  <w:num w:numId="37">
    <w:abstractNumId w:val="10"/>
  </w:num>
  <w:num w:numId="38">
    <w:abstractNumId w:val="28"/>
  </w:num>
  <w:num w:numId="39">
    <w:abstractNumId w:val="42"/>
  </w:num>
  <w:num w:numId="40">
    <w:abstractNumId w:val="29"/>
  </w:num>
  <w:num w:numId="41">
    <w:abstractNumId w:val="43"/>
  </w:num>
  <w:num w:numId="42">
    <w:abstractNumId w:val="9"/>
  </w:num>
  <w:num w:numId="43">
    <w:abstractNumId w:val="38"/>
  </w:num>
  <w:num w:numId="44">
    <w:abstractNumId w:val="13"/>
  </w:num>
  <w:num w:numId="45">
    <w:abstractNumId w:val="33"/>
  </w:num>
  <w:num w:numId="46">
    <w:abstractNumId w:val="5"/>
  </w:num>
  <w:num w:numId="47">
    <w:abstractNumId w:val="36"/>
  </w:num>
  <w:num w:numId="48">
    <w:abstractNumId w:val="46"/>
  </w:num>
  <w:num w:numId="49">
    <w:abstractNumId w:val="26"/>
  </w:num>
  <w:num w:numId="50">
    <w:abstractNumId w:val="6"/>
  </w:num>
  <w:num w:numId="51">
    <w:abstractNumId w:val="37"/>
  </w:num>
  <w:num w:numId="52">
    <w:abstractNumId w:val="49"/>
  </w:num>
  <w:num w:numId="53">
    <w:abstractNumId w:val="51"/>
  </w:num>
  <w:num w:numId="54">
    <w:abstractNumId w:val="35"/>
  </w:num>
  <w:num w:numId="55">
    <w:abstractNumId w:val="47"/>
  </w:num>
  <w:num w:numId="56">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0"/>
  <w:drawingGridHorizontalSpacing w:val="115"/>
  <w:displayHorizontalDrawingGridEvery w:val="2"/>
  <w:characterSpacingControl w:val="doNotCompress"/>
  <w:hdrShapeDefaults>
    <o:shapedefaults v:ext="edit" spidmax="2050">
      <o:colormru v:ext="edit" colors="#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C52"/>
    <w:rsid w:val="00001000"/>
    <w:rsid w:val="000018BA"/>
    <w:rsid w:val="00001A4A"/>
    <w:rsid w:val="00001D0E"/>
    <w:rsid w:val="000034C4"/>
    <w:rsid w:val="00004650"/>
    <w:rsid w:val="000048BD"/>
    <w:rsid w:val="00006EEA"/>
    <w:rsid w:val="00007940"/>
    <w:rsid w:val="000100DC"/>
    <w:rsid w:val="000107A2"/>
    <w:rsid w:val="00012410"/>
    <w:rsid w:val="00013FDD"/>
    <w:rsid w:val="0001430A"/>
    <w:rsid w:val="00015BD6"/>
    <w:rsid w:val="00015C63"/>
    <w:rsid w:val="00016E09"/>
    <w:rsid w:val="00017388"/>
    <w:rsid w:val="00020ECD"/>
    <w:rsid w:val="00020F1E"/>
    <w:rsid w:val="000211DD"/>
    <w:rsid w:val="0002134F"/>
    <w:rsid w:val="00021AA5"/>
    <w:rsid w:val="00021BCD"/>
    <w:rsid w:val="0002262F"/>
    <w:rsid w:val="00022953"/>
    <w:rsid w:val="000229D9"/>
    <w:rsid w:val="00024CDF"/>
    <w:rsid w:val="00024F24"/>
    <w:rsid w:val="00026DC3"/>
    <w:rsid w:val="00027966"/>
    <w:rsid w:val="00027A2D"/>
    <w:rsid w:val="000313DF"/>
    <w:rsid w:val="00032C59"/>
    <w:rsid w:val="000333BF"/>
    <w:rsid w:val="00034842"/>
    <w:rsid w:val="000350C7"/>
    <w:rsid w:val="000351A3"/>
    <w:rsid w:val="00035A0D"/>
    <w:rsid w:val="00035A18"/>
    <w:rsid w:val="00036ADD"/>
    <w:rsid w:val="00041BFC"/>
    <w:rsid w:val="0004438B"/>
    <w:rsid w:val="00044C50"/>
    <w:rsid w:val="000475A7"/>
    <w:rsid w:val="0004765D"/>
    <w:rsid w:val="0005058B"/>
    <w:rsid w:val="000513A5"/>
    <w:rsid w:val="000523E2"/>
    <w:rsid w:val="0005273F"/>
    <w:rsid w:val="00054505"/>
    <w:rsid w:val="00055F45"/>
    <w:rsid w:val="000565E1"/>
    <w:rsid w:val="00056AB5"/>
    <w:rsid w:val="00057FC8"/>
    <w:rsid w:val="000609D2"/>
    <w:rsid w:val="0006157A"/>
    <w:rsid w:val="00061909"/>
    <w:rsid w:val="00061AB4"/>
    <w:rsid w:val="00061CA8"/>
    <w:rsid w:val="00061D8F"/>
    <w:rsid w:val="00061F9A"/>
    <w:rsid w:val="0006278E"/>
    <w:rsid w:val="0006445D"/>
    <w:rsid w:val="00064723"/>
    <w:rsid w:val="0006564F"/>
    <w:rsid w:val="00066CD1"/>
    <w:rsid w:val="00071BC6"/>
    <w:rsid w:val="0007213D"/>
    <w:rsid w:val="000739A7"/>
    <w:rsid w:val="000742EB"/>
    <w:rsid w:val="00074E2F"/>
    <w:rsid w:val="00075F98"/>
    <w:rsid w:val="00076571"/>
    <w:rsid w:val="00080444"/>
    <w:rsid w:val="000807B6"/>
    <w:rsid w:val="000808C4"/>
    <w:rsid w:val="00080AE4"/>
    <w:rsid w:val="00080BEB"/>
    <w:rsid w:val="00081817"/>
    <w:rsid w:val="00082FDB"/>
    <w:rsid w:val="00084B1C"/>
    <w:rsid w:val="00085470"/>
    <w:rsid w:val="000857D7"/>
    <w:rsid w:val="0008608D"/>
    <w:rsid w:val="000860B8"/>
    <w:rsid w:val="000869D2"/>
    <w:rsid w:val="00086AFC"/>
    <w:rsid w:val="0008786B"/>
    <w:rsid w:val="00087C84"/>
    <w:rsid w:val="00090071"/>
    <w:rsid w:val="000904F0"/>
    <w:rsid w:val="000914BD"/>
    <w:rsid w:val="00091897"/>
    <w:rsid w:val="0009190C"/>
    <w:rsid w:val="00091953"/>
    <w:rsid w:val="000923E0"/>
    <w:rsid w:val="00093609"/>
    <w:rsid w:val="00094972"/>
    <w:rsid w:val="000966BE"/>
    <w:rsid w:val="00096966"/>
    <w:rsid w:val="0009737A"/>
    <w:rsid w:val="000A099D"/>
    <w:rsid w:val="000A0BE0"/>
    <w:rsid w:val="000A2BF1"/>
    <w:rsid w:val="000A49D1"/>
    <w:rsid w:val="000A4DDB"/>
    <w:rsid w:val="000B0009"/>
    <w:rsid w:val="000B0CCC"/>
    <w:rsid w:val="000B128C"/>
    <w:rsid w:val="000B1B36"/>
    <w:rsid w:val="000B33D1"/>
    <w:rsid w:val="000B42CA"/>
    <w:rsid w:val="000B5035"/>
    <w:rsid w:val="000B59F7"/>
    <w:rsid w:val="000B6D26"/>
    <w:rsid w:val="000C0810"/>
    <w:rsid w:val="000C08B2"/>
    <w:rsid w:val="000C09DE"/>
    <w:rsid w:val="000C1492"/>
    <w:rsid w:val="000C3978"/>
    <w:rsid w:val="000C5FD1"/>
    <w:rsid w:val="000C7177"/>
    <w:rsid w:val="000D0207"/>
    <w:rsid w:val="000D0252"/>
    <w:rsid w:val="000D087A"/>
    <w:rsid w:val="000D0928"/>
    <w:rsid w:val="000D20AD"/>
    <w:rsid w:val="000D3BBF"/>
    <w:rsid w:val="000D3E03"/>
    <w:rsid w:val="000D3E1F"/>
    <w:rsid w:val="000D5E7E"/>
    <w:rsid w:val="000D7221"/>
    <w:rsid w:val="000E2257"/>
    <w:rsid w:val="000E2341"/>
    <w:rsid w:val="000E2F59"/>
    <w:rsid w:val="000E338C"/>
    <w:rsid w:val="000E3BB5"/>
    <w:rsid w:val="000E3D77"/>
    <w:rsid w:val="000E3F39"/>
    <w:rsid w:val="000E4A59"/>
    <w:rsid w:val="000E65FC"/>
    <w:rsid w:val="000E716C"/>
    <w:rsid w:val="000F0BA7"/>
    <w:rsid w:val="000F1022"/>
    <w:rsid w:val="000F2039"/>
    <w:rsid w:val="000F277B"/>
    <w:rsid w:val="000F2DD9"/>
    <w:rsid w:val="000F2E1D"/>
    <w:rsid w:val="000F5655"/>
    <w:rsid w:val="000F5DDF"/>
    <w:rsid w:val="000F60D0"/>
    <w:rsid w:val="001016BE"/>
    <w:rsid w:val="00101BBB"/>
    <w:rsid w:val="00102DED"/>
    <w:rsid w:val="001039D4"/>
    <w:rsid w:val="001053A0"/>
    <w:rsid w:val="001054F9"/>
    <w:rsid w:val="00106442"/>
    <w:rsid w:val="00107E8E"/>
    <w:rsid w:val="00107F66"/>
    <w:rsid w:val="00110292"/>
    <w:rsid w:val="00110482"/>
    <w:rsid w:val="00112031"/>
    <w:rsid w:val="00112145"/>
    <w:rsid w:val="00112D2F"/>
    <w:rsid w:val="00113B83"/>
    <w:rsid w:val="0011498D"/>
    <w:rsid w:val="00116CB9"/>
    <w:rsid w:val="00117174"/>
    <w:rsid w:val="0011785C"/>
    <w:rsid w:val="001178E0"/>
    <w:rsid w:val="00117D19"/>
    <w:rsid w:val="0012167C"/>
    <w:rsid w:val="0012243C"/>
    <w:rsid w:val="00123284"/>
    <w:rsid w:val="00123489"/>
    <w:rsid w:val="00124198"/>
    <w:rsid w:val="00125BB6"/>
    <w:rsid w:val="00125EB6"/>
    <w:rsid w:val="0012757F"/>
    <w:rsid w:val="001307C2"/>
    <w:rsid w:val="00132831"/>
    <w:rsid w:val="00133281"/>
    <w:rsid w:val="00133728"/>
    <w:rsid w:val="00133A4A"/>
    <w:rsid w:val="0013470A"/>
    <w:rsid w:val="00137F2B"/>
    <w:rsid w:val="00142F0B"/>
    <w:rsid w:val="00146DB2"/>
    <w:rsid w:val="00146EAC"/>
    <w:rsid w:val="001470F0"/>
    <w:rsid w:val="00153C94"/>
    <w:rsid w:val="00154085"/>
    <w:rsid w:val="00154581"/>
    <w:rsid w:val="00154D3A"/>
    <w:rsid w:val="00154E81"/>
    <w:rsid w:val="00155030"/>
    <w:rsid w:val="00157FA3"/>
    <w:rsid w:val="00161BAD"/>
    <w:rsid w:val="00161F5E"/>
    <w:rsid w:val="00163294"/>
    <w:rsid w:val="00163D77"/>
    <w:rsid w:val="00165E10"/>
    <w:rsid w:val="001676E9"/>
    <w:rsid w:val="00167C31"/>
    <w:rsid w:val="00170849"/>
    <w:rsid w:val="00171576"/>
    <w:rsid w:val="00171618"/>
    <w:rsid w:val="00172B29"/>
    <w:rsid w:val="00172FB4"/>
    <w:rsid w:val="00174F75"/>
    <w:rsid w:val="001762B4"/>
    <w:rsid w:val="0017653C"/>
    <w:rsid w:val="001768C6"/>
    <w:rsid w:val="00176FE2"/>
    <w:rsid w:val="001779D3"/>
    <w:rsid w:val="001804B8"/>
    <w:rsid w:val="00181F3E"/>
    <w:rsid w:val="00183A78"/>
    <w:rsid w:val="00184B7E"/>
    <w:rsid w:val="001854B6"/>
    <w:rsid w:val="001876D6"/>
    <w:rsid w:val="00187D3C"/>
    <w:rsid w:val="00190978"/>
    <w:rsid w:val="00190BBA"/>
    <w:rsid w:val="00191CFA"/>
    <w:rsid w:val="00191D1E"/>
    <w:rsid w:val="001921ED"/>
    <w:rsid w:val="00193DD4"/>
    <w:rsid w:val="00195293"/>
    <w:rsid w:val="00196269"/>
    <w:rsid w:val="00196A5B"/>
    <w:rsid w:val="00197482"/>
    <w:rsid w:val="001A007F"/>
    <w:rsid w:val="001A0460"/>
    <w:rsid w:val="001A0A5B"/>
    <w:rsid w:val="001A1112"/>
    <w:rsid w:val="001A1AB6"/>
    <w:rsid w:val="001A1B9D"/>
    <w:rsid w:val="001A2044"/>
    <w:rsid w:val="001A2A63"/>
    <w:rsid w:val="001A2E4E"/>
    <w:rsid w:val="001A41C7"/>
    <w:rsid w:val="001A654F"/>
    <w:rsid w:val="001A7F3B"/>
    <w:rsid w:val="001B026E"/>
    <w:rsid w:val="001B5025"/>
    <w:rsid w:val="001B5A87"/>
    <w:rsid w:val="001B6366"/>
    <w:rsid w:val="001B6AA5"/>
    <w:rsid w:val="001C0176"/>
    <w:rsid w:val="001C01FF"/>
    <w:rsid w:val="001C08C4"/>
    <w:rsid w:val="001C1AE0"/>
    <w:rsid w:val="001C2B3D"/>
    <w:rsid w:val="001C3210"/>
    <w:rsid w:val="001C326B"/>
    <w:rsid w:val="001C35E2"/>
    <w:rsid w:val="001C35E8"/>
    <w:rsid w:val="001C57AA"/>
    <w:rsid w:val="001C5A17"/>
    <w:rsid w:val="001C5CB4"/>
    <w:rsid w:val="001C6851"/>
    <w:rsid w:val="001C6A11"/>
    <w:rsid w:val="001C6D3C"/>
    <w:rsid w:val="001C71F2"/>
    <w:rsid w:val="001D2417"/>
    <w:rsid w:val="001D4F72"/>
    <w:rsid w:val="001D6AAD"/>
    <w:rsid w:val="001D6E9A"/>
    <w:rsid w:val="001D742A"/>
    <w:rsid w:val="001D74AD"/>
    <w:rsid w:val="001D7931"/>
    <w:rsid w:val="001D7965"/>
    <w:rsid w:val="001E101B"/>
    <w:rsid w:val="001E18D1"/>
    <w:rsid w:val="001E3C5D"/>
    <w:rsid w:val="001E4301"/>
    <w:rsid w:val="001E5406"/>
    <w:rsid w:val="001E5724"/>
    <w:rsid w:val="001E7888"/>
    <w:rsid w:val="001E7D72"/>
    <w:rsid w:val="001F102E"/>
    <w:rsid w:val="001F10DC"/>
    <w:rsid w:val="001F117C"/>
    <w:rsid w:val="001F1F87"/>
    <w:rsid w:val="001F26B6"/>
    <w:rsid w:val="001F34BB"/>
    <w:rsid w:val="001F3635"/>
    <w:rsid w:val="001F5681"/>
    <w:rsid w:val="001F5910"/>
    <w:rsid w:val="001F6041"/>
    <w:rsid w:val="001F6300"/>
    <w:rsid w:val="001F6388"/>
    <w:rsid w:val="00200CFD"/>
    <w:rsid w:val="00200D75"/>
    <w:rsid w:val="00201E80"/>
    <w:rsid w:val="00201F00"/>
    <w:rsid w:val="00202693"/>
    <w:rsid w:val="002037BF"/>
    <w:rsid w:val="00204267"/>
    <w:rsid w:val="0020484F"/>
    <w:rsid w:val="00205546"/>
    <w:rsid w:val="00207082"/>
    <w:rsid w:val="002072F7"/>
    <w:rsid w:val="0020787F"/>
    <w:rsid w:val="002078D9"/>
    <w:rsid w:val="00207CC8"/>
    <w:rsid w:val="00207E9E"/>
    <w:rsid w:val="00210D95"/>
    <w:rsid w:val="00210F7A"/>
    <w:rsid w:val="0021157C"/>
    <w:rsid w:val="002118CD"/>
    <w:rsid w:val="00211F49"/>
    <w:rsid w:val="0021436A"/>
    <w:rsid w:val="002151A4"/>
    <w:rsid w:val="00215D6F"/>
    <w:rsid w:val="002167B6"/>
    <w:rsid w:val="00217B99"/>
    <w:rsid w:val="00217D73"/>
    <w:rsid w:val="00220785"/>
    <w:rsid w:val="0022085C"/>
    <w:rsid w:val="00220B42"/>
    <w:rsid w:val="00222FA1"/>
    <w:rsid w:val="0022381B"/>
    <w:rsid w:val="002238E2"/>
    <w:rsid w:val="00224F25"/>
    <w:rsid w:val="00225496"/>
    <w:rsid w:val="00225D7C"/>
    <w:rsid w:val="002260A2"/>
    <w:rsid w:val="002261AA"/>
    <w:rsid w:val="00226E30"/>
    <w:rsid w:val="002322E4"/>
    <w:rsid w:val="002327F0"/>
    <w:rsid w:val="0023319D"/>
    <w:rsid w:val="0023640F"/>
    <w:rsid w:val="002364A1"/>
    <w:rsid w:val="00236A26"/>
    <w:rsid w:val="00237A90"/>
    <w:rsid w:val="00241A80"/>
    <w:rsid w:val="00241D93"/>
    <w:rsid w:val="00242323"/>
    <w:rsid w:val="002427E3"/>
    <w:rsid w:val="00243A5E"/>
    <w:rsid w:val="00243FE8"/>
    <w:rsid w:val="002448C5"/>
    <w:rsid w:val="00245566"/>
    <w:rsid w:val="00245D34"/>
    <w:rsid w:val="002469FC"/>
    <w:rsid w:val="00246E90"/>
    <w:rsid w:val="002472CE"/>
    <w:rsid w:val="00250269"/>
    <w:rsid w:val="002502D8"/>
    <w:rsid w:val="00250825"/>
    <w:rsid w:val="00251FD8"/>
    <w:rsid w:val="00252935"/>
    <w:rsid w:val="00254666"/>
    <w:rsid w:val="00254D3C"/>
    <w:rsid w:val="00255F04"/>
    <w:rsid w:val="00256993"/>
    <w:rsid w:val="002616FF"/>
    <w:rsid w:val="002622C3"/>
    <w:rsid w:val="00263465"/>
    <w:rsid w:val="00263F79"/>
    <w:rsid w:val="0026452C"/>
    <w:rsid w:val="00264CF9"/>
    <w:rsid w:val="00264EE8"/>
    <w:rsid w:val="00265A63"/>
    <w:rsid w:val="002665FB"/>
    <w:rsid w:val="002668E8"/>
    <w:rsid w:val="00267690"/>
    <w:rsid w:val="00267751"/>
    <w:rsid w:val="00267915"/>
    <w:rsid w:val="00267D50"/>
    <w:rsid w:val="00267DDC"/>
    <w:rsid w:val="0027358C"/>
    <w:rsid w:val="0027365A"/>
    <w:rsid w:val="00275773"/>
    <w:rsid w:val="0027589B"/>
    <w:rsid w:val="002766A5"/>
    <w:rsid w:val="0027764E"/>
    <w:rsid w:val="00277FC7"/>
    <w:rsid w:val="002813E6"/>
    <w:rsid w:val="00281777"/>
    <w:rsid w:val="002828FE"/>
    <w:rsid w:val="002829F9"/>
    <w:rsid w:val="00283265"/>
    <w:rsid w:val="00285386"/>
    <w:rsid w:val="002854AA"/>
    <w:rsid w:val="002854C4"/>
    <w:rsid w:val="00285EB0"/>
    <w:rsid w:val="0028601E"/>
    <w:rsid w:val="00287CA8"/>
    <w:rsid w:val="00287D99"/>
    <w:rsid w:val="002900FC"/>
    <w:rsid w:val="00291166"/>
    <w:rsid w:val="00291A6F"/>
    <w:rsid w:val="00292385"/>
    <w:rsid w:val="0029441D"/>
    <w:rsid w:val="0029510E"/>
    <w:rsid w:val="002953D6"/>
    <w:rsid w:val="00295F23"/>
    <w:rsid w:val="00296EF8"/>
    <w:rsid w:val="0029712B"/>
    <w:rsid w:val="002A1A82"/>
    <w:rsid w:val="002A1AB5"/>
    <w:rsid w:val="002A2516"/>
    <w:rsid w:val="002A27BD"/>
    <w:rsid w:val="002A2B7F"/>
    <w:rsid w:val="002A4FF6"/>
    <w:rsid w:val="002A7482"/>
    <w:rsid w:val="002B07CE"/>
    <w:rsid w:val="002B12E2"/>
    <w:rsid w:val="002B1301"/>
    <w:rsid w:val="002B1BC2"/>
    <w:rsid w:val="002B1CB2"/>
    <w:rsid w:val="002B1FBB"/>
    <w:rsid w:val="002B2786"/>
    <w:rsid w:val="002B33C2"/>
    <w:rsid w:val="002B3D03"/>
    <w:rsid w:val="002B4185"/>
    <w:rsid w:val="002B4187"/>
    <w:rsid w:val="002B4975"/>
    <w:rsid w:val="002B5E19"/>
    <w:rsid w:val="002B65A6"/>
    <w:rsid w:val="002B6CF8"/>
    <w:rsid w:val="002B6DCF"/>
    <w:rsid w:val="002B7033"/>
    <w:rsid w:val="002B780C"/>
    <w:rsid w:val="002B7C7A"/>
    <w:rsid w:val="002C0534"/>
    <w:rsid w:val="002C072F"/>
    <w:rsid w:val="002C0D97"/>
    <w:rsid w:val="002C3053"/>
    <w:rsid w:val="002C3FAD"/>
    <w:rsid w:val="002C47AD"/>
    <w:rsid w:val="002C6E60"/>
    <w:rsid w:val="002C70E2"/>
    <w:rsid w:val="002D0DE7"/>
    <w:rsid w:val="002D2A28"/>
    <w:rsid w:val="002D2B91"/>
    <w:rsid w:val="002D3E6F"/>
    <w:rsid w:val="002D4765"/>
    <w:rsid w:val="002D47CE"/>
    <w:rsid w:val="002D4DD4"/>
    <w:rsid w:val="002D5EEB"/>
    <w:rsid w:val="002E0236"/>
    <w:rsid w:val="002E2CC6"/>
    <w:rsid w:val="002E3C44"/>
    <w:rsid w:val="002E6D12"/>
    <w:rsid w:val="002E77B1"/>
    <w:rsid w:val="002E7AAC"/>
    <w:rsid w:val="002E7DC6"/>
    <w:rsid w:val="002F0322"/>
    <w:rsid w:val="002F077A"/>
    <w:rsid w:val="002F0828"/>
    <w:rsid w:val="002F0DF4"/>
    <w:rsid w:val="002F1AA6"/>
    <w:rsid w:val="002F23C6"/>
    <w:rsid w:val="002F3392"/>
    <w:rsid w:val="002F35E7"/>
    <w:rsid w:val="002F3806"/>
    <w:rsid w:val="002F3A89"/>
    <w:rsid w:val="002F4682"/>
    <w:rsid w:val="002F57A4"/>
    <w:rsid w:val="002F62C3"/>
    <w:rsid w:val="00300C87"/>
    <w:rsid w:val="0030148D"/>
    <w:rsid w:val="003027D4"/>
    <w:rsid w:val="0030306A"/>
    <w:rsid w:val="00303142"/>
    <w:rsid w:val="0030395A"/>
    <w:rsid w:val="00304701"/>
    <w:rsid w:val="00304E2A"/>
    <w:rsid w:val="0030573D"/>
    <w:rsid w:val="00305879"/>
    <w:rsid w:val="00306C40"/>
    <w:rsid w:val="00307071"/>
    <w:rsid w:val="0030750A"/>
    <w:rsid w:val="00307598"/>
    <w:rsid w:val="00312C86"/>
    <w:rsid w:val="00313BAA"/>
    <w:rsid w:val="00313F2C"/>
    <w:rsid w:val="0031403E"/>
    <w:rsid w:val="003146B2"/>
    <w:rsid w:val="00316B4C"/>
    <w:rsid w:val="0031717F"/>
    <w:rsid w:val="0032027C"/>
    <w:rsid w:val="003212A7"/>
    <w:rsid w:val="00321369"/>
    <w:rsid w:val="003225C5"/>
    <w:rsid w:val="00325562"/>
    <w:rsid w:val="00326545"/>
    <w:rsid w:val="003269A3"/>
    <w:rsid w:val="00326AC9"/>
    <w:rsid w:val="00326B0A"/>
    <w:rsid w:val="00326E8E"/>
    <w:rsid w:val="003274C6"/>
    <w:rsid w:val="00327FA4"/>
    <w:rsid w:val="003315E0"/>
    <w:rsid w:val="00331E31"/>
    <w:rsid w:val="003323FF"/>
    <w:rsid w:val="00332859"/>
    <w:rsid w:val="00332C0E"/>
    <w:rsid w:val="00332CE9"/>
    <w:rsid w:val="00333EE4"/>
    <w:rsid w:val="003347A1"/>
    <w:rsid w:val="00334A83"/>
    <w:rsid w:val="00335985"/>
    <w:rsid w:val="00335A54"/>
    <w:rsid w:val="00336183"/>
    <w:rsid w:val="00337662"/>
    <w:rsid w:val="003416C6"/>
    <w:rsid w:val="00342B27"/>
    <w:rsid w:val="00343B83"/>
    <w:rsid w:val="003451F4"/>
    <w:rsid w:val="00345B3E"/>
    <w:rsid w:val="00350528"/>
    <w:rsid w:val="00354676"/>
    <w:rsid w:val="003546F3"/>
    <w:rsid w:val="00356419"/>
    <w:rsid w:val="00356E92"/>
    <w:rsid w:val="00357155"/>
    <w:rsid w:val="00357FA2"/>
    <w:rsid w:val="00362B17"/>
    <w:rsid w:val="00362EB5"/>
    <w:rsid w:val="00363667"/>
    <w:rsid w:val="00364620"/>
    <w:rsid w:val="00364A83"/>
    <w:rsid w:val="00365E70"/>
    <w:rsid w:val="003663A8"/>
    <w:rsid w:val="0037030C"/>
    <w:rsid w:val="003705D8"/>
    <w:rsid w:val="00370924"/>
    <w:rsid w:val="00373281"/>
    <w:rsid w:val="00373550"/>
    <w:rsid w:val="00373ECA"/>
    <w:rsid w:val="003741AE"/>
    <w:rsid w:val="0037453D"/>
    <w:rsid w:val="00374938"/>
    <w:rsid w:val="0037596B"/>
    <w:rsid w:val="00377EAC"/>
    <w:rsid w:val="00380FCB"/>
    <w:rsid w:val="00381449"/>
    <w:rsid w:val="003819D3"/>
    <w:rsid w:val="0038264C"/>
    <w:rsid w:val="00383791"/>
    <w:rsid w:val="003859D2"/>
    <w:rsid w:val="00392FA6"/>
    <w:rsid w:val="0039319C"/>
    <w:rsid w:val="00393844"/>
    <w:rsid w:val="00394161"/>
    <w:rsid w:val="003951E5"/>
    <w:rsid w:val="003960B7"/>
    <w:rsid w:val="00396FA4"/>
    <w:rsid w:val="003971BD"/>
    <w:rsid w:val="003A03A0"/>
    <w:rsid w:val="003A0804"/>
    <w:rsid w:val="003A0C9B"/>
    <w:rsid w:val="003A6990"/>
    <w:rsid w:val="003A6F8E"/>
    <w:rsid w:val="003B2BDE"/>
    <w:rsid w:val="003B4BFE"/>
    <w:rsid w:val="003B6704"/>
    <w:rsid w:val="003B79FD"/>
    <w:rsid w:val="003C0A9B"/>
    <w:rsid w:val="003C127F"/>
    <w:rsid w:val="003C1B90"/>
    <w:rsid w:val="003C2438"/>
    <w:rsid w:val="003C2C0E"/>
    <w:rsid w:val="003C31C2"/>
    <w:rsid w:val="003C40F7"/>
    <w:rsid w:val="003C47D3"/>
    <w:rsid w:val="003C4EE9"/>
    <w:rsid w:val="003C58D7"/>
    <w:rsid w:val="003C61C2"/>
    <w:rsid w:val="003C62D2"/>
    <w:rsid w:val="003C6F55"/>
    <w:rsid w:val="003C7256"/>
    <w:rsid w:val="003C768B"/>
    <w:rsid w:val="003D1D5D"/>
    <w:rsid w:val="003D23C5"/>
    <w:rsid w:val="003D2EC9"/>
    <w:rsid w:val="003D338D"/>
    <w:rsid w:val="003D37C4"/>
    <w:rsid w:val="003D4212"/>
    <w:rsid w:val="003D4A0F"/>
    <w:rsid w:val="003D4C75"/>
    <w:rsid w:val="003D5F4A"/>
    <w:rsid w:val="003D657C"/>
    <w:rsid w:val="003D7BC6"/>
    <w:rsid w:val="003E0571"/>
    <w:rsid w:val="003E16F1"/>
    <w:rsid w:val="003E399A"/>
    <w:rsid w:val="003E3AF1"/>
    <w:rsid w:val="003E3E47"/>
    <w:rsid w:val="003E4200"/>
    <w:rsid w:val="003E441D"/>
    <w:rsid w:val="003E47B5"/>
    <w:rsid w:val="003E485C"/>
    <w:rsid w:val="003E4C18"/>
    <w:rsid w:val="003E4C97"/>
    <w:rsid w:val="003E50EA"/>
    <w:rsid w:val="003E624B"/>
    <w:rsid w:val="003F052B"/>
    <w:rsid w:val="003F11D5"/>
    <w:rsid w:val="003F1DD5"/>
    <w:rsid w:val="003F224D"/>
    <w:rsid w:val="003F3CC4"/>
    <w:rsid w:val="003F3E60"/>
    <w:rsid w:val="003F4F07"/>
    <w:rsid w:val="003F5DB2"/>
    <w:rsid w:val="003F7B87"/>
    <w:rsid w:val="00400B20"/>
    <w:rsid w:val="00401FD3"/>
    <w:rsid w:val="0040373F"/>
    <w:rsid w:val="004050D1"/>
    <w:rsid w:val="004072B1"/>
    <w:rsid w:val="00410975"/>
    <w:rsid w:val="00410B10"/>
    <w:rsid w:val="004118C0"/>
    <w:rsid w:val="004142BF"/>
    <w:rsid w:val="0041561C"/>
    <w:rsid w:val="00415C89"/>
    <w:rsid w:val="00415EAC"/>
    <w:rsid w:val="0042005F"/>
    <w:rsid w:val="004219C8"/>
    <w:rsid w:val="00421AB3"/>
    <w:rsid w:val="00422275"/>
    <w:rsid w:val="00422D0C"/>
    <w:rsid w:val="00422F2D"/>
    <w:rsid w:val="004231FE"/>
    <w:rsid w:val="0042354A"/>
    <w:rsid w:val="0042399F"/>
    <w:rsid w:val="00424DD5"/>
    <w:rsid w:val="00426DA3"/>
    <w:rsid w:val="00426DC2"/>
    <w:rsid w:val="00427367"/>
    <w:rsid w:val="00427424"/>
    <w:rsid w:val="004306EB"/>
    <w:rsid w:val="00433726"/>
    <w:rsid w:val="00433A2C"/>
    <w:rsid w:val="00433C0B"/>
    <w:rsid w:val="00435015"/>
    <w:rsid w:val="0043514D"/>
    <w:rsid w:val="0043585C"/>
    <w:rsid w:val="00437088"/>
    <w:rsid w:val="00440435"/>
    <w:rsid w:val="00440636"/>
    <w:rsid w:val="004408C0"/>
    <w:rsid w:val="0044106D"/>
    <w:rsid w:val="004421EA"/>
    <w:rsid w:val="00442310"/>
    <w:rsid w:val="0044256F"/>
    <w:rsid w:val="00444661"/>
    <w:rsid w:val="00444A74"/>
    <w:rsid w:val="00445F36"/>
    <w:rsid w:val="00446569"/>
    <w:rsid w:val="00446949"/>
    <w:rsid w:val="004501C1"/>
    <w:rsid w:val="00451756"/>
    <w:rsid w:val="00451910"/>
    <w:rsid w:val="00452761"/>
    <w:rsid w:val="004553B9"/>
    <w:rsid w:val="00456986"/>
    <w:rsid w:val="00456F19"/>
    <w:rsid w:val="00460E58"/>
    <w:rsid w:val="00461319"/>
    <w:rsid w:val="00461C3B"/>
    <w:rsid w:val="00462F6F"/>
    <w:rsid w:val="004634F2"/>
    <w:rsid w:val="00465E62"/>
    <w:rsid w:val="00465FB7"/>
    <w:rsid w:val="00467316"/>
    <w:rsid w:val="00467383"/>
    <w:rsid w:val="00471419"/>
    <w:rsid w:val="004719E7"/>
    <w:rsid w:val="00473DDF"/>
    <w:rsid w:val="00474CDD"/>
    <w:rsid w:val="00475C60"/>
    <w:rsid w:val="0047613E"/>
    <w:rsid w:val="00477B40"/>
    <w:rsid w:val="00482737"/>
    <w:rsid w:val="004836FF"/>
    <w:rsid w:val="00483812"/>
    <w:rsid w:val="00485B0C"/>
    <w:rsid w:val="00485D7A"/>
    <w:rsid w:val="00487861"/>
    <w:rsid w:val="00490EF4"/>
    <w:rsid w:val="004919D8"/>
    <w:rsid w:val="00491A8D"/>
    <w:rsid w:val="00491F0F"/>
    <w:rsid w:val="0049296B"/>
    <w:rsid w:val="00492F5A"/>
    <w:rsid w:val="004932D0"/>
    <w:rsid w:val="0049421E"/>
    <w:rsid w:val="0049568D"/>
    <w:rsid w:val="00497129"/>
    <w:rsid w:val="004A0023"/>
    <w:rsid w:val="004A0153"/>
    <w:rsid w:val="004A0CC5"/>
    <w:rsid w:val="004A1A79"/>
    <w:rsid w:val="004A1E71"/>
    <w:rsid w:val="004A222C"/>
    <w:rsid w:val="004A3EFE"/>
    <w:rsid w:val="004A48F6"/>
    <w:rsid w:val="004A6CF4"/>
    <w:rsid w:val="004B05F0"/>
    <w:rsid w:val="004B0E56"/>
    <w:rsid w:val="004B119F"/>
    <w:rsid w:val="004B12A2"/>
    <w:rsid w:val="004B29EB"/>
    <w:rsid w:val="004B40CC"/>
    <w:rsid w:val="004B41AB"/>
    <w:rsid w:val="004B4F71"/>
    <w:rsid w:val="004B4F9F"/>
    <w:rsid w:val="004B70D2"/>
    <w:rsid w:val="004C0089"/>
    <w:rsid w:val="004C062F"/>
    <w:rsid w:val="004C1442"/>
    <w:rsid w:val="004C2873"/>
    <w:rsid w:val="004C2A02"/>
    <w:rsid w:val="004C31DD"/>
    <w:rsid w:val="004C64A2"/>
    <w:rsid w:val="004C6D17"/>
    <w:rsid w:val="004D0142"/>
    <w:rsid w:val="004D091A"/>
    <w:rsid w:val="004D35C1"/>
    <w:rsid w:val="004D4011"/>
    <w:rsid w:val="004D43D0"/>
    <w:rsid w:val="004D47B4"/>
    <w:rsid w:val="004D4CB1"/>
    <w:rsid w:val="004D534E"/>
    <w:rsid w:val="004D6DDF"/>
    <w:rsid w:val="004E1544"/>
    <w:rsid w:val="004E2050"/>
    <w:rsid w:val="004E2222"/>
    <w:rsid w:val="004E2C95"/>
    <w:rsid w:val="004E341E"/>
    <w:rsid w:val="004E3706"/>
    <w:rsid w:val="004E3A5B"/>
    <w:rsid w:val="004E4027"/>
    <w:rsid w:val="004E5B87"/>
    <w:rsid w:val="004E7383"/>
    <w:rsid w:val="004F01C8"/>
    <w:rsid w:val="004F0910"/>
    <w:rsid w:val="004F0F52"/>
    <w:rsid w:val="004F10BE"/>
    <w:rsid w:val="004F1B3A"/>
    <w:rsid w:val="004F1ED3"/>
    <w:rsid w:val="004F2AB8"/>
    <w:rsid w:val="004F3316"/>
    <w:rsid w:val="004F37FB"/>
    <w:rsid w:val="004F4520"/>
    <w:rsid w:val="004F4E1A"/>
    <w:rsid w:val="004F4FE7"/>
    <w:rsid w:val="004F5265"/>
    <w:rsid w:val="004F5840"/>
    <w:rsid w:val="004F589C"/>
    <w:rsid w:val="004F654A"/>
    <w:rsid w:val="004F6E62"/>
    <w:rsid w:val="00501066"/>
    <w:rsid w:val="0050146E"/>
    <w:rsid w:val="00501EAE"/>
    <w:rsid w:val="005022BD"/>
    <w:rsid w:val="00503D53"/>
    <w:rsid w:val="005052BA"/>
    <w:rsid w:val="0050585F"/>
    <w:rsid w:val="005058A2"/>
    <w:rsid w:val="00512AF1"/>
    <w:rsid w:val="005148A3"/>
    <w:rsid w:val="00521598"/>
    <w:rsid w:val="00522014"/>
    <w:rsid w:val="00522B22"/>
    <w:rsid w:val="00523DF3"/>
    <w:rsid w:val="00524940"/>
    <w:rsid w:val="005252D9"/>
    <w:rsid w:val="00526135"/>
    <w:rsid w:val="00526E86"/>
    <w:rsid w:val="00527287"/>
    <w:rsid w:val="005278F2"/>
    <w:rsid w:val="0053119E"/>
    <w:rsid w:val="00531649"/>
    <w:rsid w:val="0053179F"/>
    <w:rsid w:val="00537D86"/>
    <w:rsid w:val="00541873"/>
    <w:rsid w:val="00541B8A"/>
    <w:rsid w:val="00542C36"/>
    <w:rsid w:val="00542FCB"/>
    <w:rsid w:val="00543182"/>
    <w:rsid w:val="005431AE"/>
    <w:rsid w:val="00543416"/>
    <w:rsid w:val="00543AA2"/>
    <w:rsid w:val="0054477D"/>
    <w:rsid w:val="0054521D"/>
    <w:rsid w:val="00547C9B"/>
    <w:rsid w:val="005513CA"/>
    <w:rsid w:val="00551B1B"/>
    <w:rsid w:val="005533A2"/>
    <w:rsid w:val="00554832"/>
    <w:rsid w:val="00554987"/>
    <w:rsid w:val="005555A6"/>
    <w:rsid w:val="00555C15"/>
    <w:rsid w:val="005561DF"/>
    <w:rsid w:val="00560D14"/>
    <w:rsid w:val="0056190B"/>
    <w:rsid w:val="00563423"/>
    <w:rsid w:val="00563458"/>
    <w:rsid w:val="005647BD"/>
    <w:rsid w:val="0056497E"/>
    <w:rsid w:val="00565EFD"/>
    <w:rsid w:val="00566735"/>
    <w:rsid w:val="00566BC1"/>
    <w:rsid w:val="00567684"/>
    <w:rsid w:val="005676D7"/>
    <w:rsid w:val="00570540"/>
    <w:rsid w:val="00570A12"/>
    <w:rsid w:val="00573010"/>
    <w:rsid w:val="0057329B"/>
    <w:rsid w:val="00574B88"/>
    <w:rsid w:val="00575C11"/>
    <w:rsid w:val="00576C4C"/>
    <w:rsid w:val="0058096D"/>
    <w:rsid w:val="00580C4A"/>
    <w:rsid w:val="00581C3C"/>
    <w:rsid w:val="005834C5"/>
    <w:rsid w:val="00584123"/>
    <w:rsid w:val="00584D61"/>
    <w:rsid w:val="00585232"/>
    <w:rsid w:val="005857FA"/>
    <w:rsid w:val="00586032"/>
    <w:rsid w:val="00586561"/>
    <w:rsid w:val="00586A32"/>
    <w:rsid w:val="00586CDA"/>
    <w:rsid w:val="005871D7"/>
    <w:rsid w:val="005876F6"/>
    <w:rsid w:val="005925AC"/>
    <w:rsid w:val="0059261C"/>
    <w:rsid w:val="00592B64"/>
    <w:rsid w:val="00593331"/>
    <w:rsid w:val="00593FAB"/>
    <w:rsid w:val="00594A56"/>
    <w:rsid w:val="00594C9E"/>
    <w:rsid w:val="005956EF"/>
    <w:rsid w:val="00596653"/>
    <w:rsid w:val="00596EF1"/>
    <w:rsid w:val="005A17F5"/>
    <w:rsid w:val="005A2081"/>
    <w:rsid w:val="005A22EE"/>
    <w:rsid w:val="005A2A89"/>
    <w:rsid w:val="005A44D9"/>
    <w:rsid w:val="005A5297"/>
    <w:rsid w:val="005A6ECF"/>
    <w:rsid w:val="005B0CB8"/>
    <w:rsid w:val="005B1043"/>
    <w:rsid w:val="005B1640"/>
    <w:rsid w:val="005B5400"/>
    <w:rsid w:val="005B597C"/>
    <w:rsid w:val="005B5FAB"/>
    <w:rsid w:val="005C066A"/>
    <w:rsid w:val="005C2ED6"/>
    <w:rsid w:val="005C2F6C"/>
    <w:rsid w:val="005C3FB1"/>
    <w:rsid w:val="005C66BB"/>
    <w:rsid w:val="005C66E2"/>
    <w:rsid w:val="005C7FA9"/>
    <w:rsid w:val="005D0077"/>
    <w:rsid w:val="005D0506"/>
    <w:rsid w:val="005D2ABC"/>
    <w:rsid w:val="005D2B56"/>
    <w:rsid w:val="005D35A1"/>
    <w:rsid w:val="005D3EBD"/>
    <w:rsid w:val="005D3FAE"/>
    <w:rsid w:val="005D41B6"/>
    <w:rsid w:val="005D445D"/>
    <w:rsid w:val="005D6112"/>
    <w:rsid w:val="005D6275"/>
    <w:rsid w:val="005D6CA4"/>
    <w:rsid w:val="005D723D"/>
    <w:rsid w:val="005E022F"/>
    <w:rsid w:val="005E0378"/>
    <w:rsid w:val="005E145F"/>
    <w:rsid w:val="005E15E7"/>
    <w:rsid w:val="005E195F"/>
    <w:rsid w:val="005E25F3"/>
    <w:rsid w:val="005E275B"/>
    <w:rsid w:val="005E3947"/>
    <w:rsid w:val="005E4EE3"/>
    <w:rsid w:val="005E526B"/>
    <w:rsid w:val="005E5ED9"/>
    <w:rsid w:val="005E7151"/>
    <w:rsid w:val="005E7191"/>
    <w:rsid w:val="005F0301"/>
    <w:rsid w:val="005F0D1E"/>
    <w:rsid w:val="005F3514"/>
    <w:rsid w:val="005F4331"/>
    <w:rsid w:val="005F4572"/>
    <w:rsid w:val="00602D2C"/>
    <w:rsid w:val="00602D3C"/>
    <w:rsid w:val="006035FA"/>
    <w:rsid w:val="00603B0F"/>
    <w:rsid w:val="00604AE6"/>
    <w:rsid w:val="00604E74"/>
    <w:rsid w:val="006057C9"/>
    <w:rsid w:val="00606C7B"/>
    <w:rsid w:val="00610FEF"/>
    <w:rsid w:val="00611028"/>
    <w:rsid w:val="006123CA"/>
    <w:rsid w:val="006127DC"/>
    <w:rsid w:val="006134BE"/>
    <w:rsid w:val="006136D1"/>
    <w:rsid w:val="0061384D"/>
    <w:rsid w:val="00615549"/>
    <w:rsid w:val="00617360"/>
    <w:rsid w:val="00617E7D"/>
    <w:rsid w:val="006203D5"/>
    <w:rsid w:val="00620C4B"/>
    <w:rsid w:val="00620EDE"/>
    <w:rsid w:val="006230CE"/>
    <w:rsid w:val="00623104"/>
    <w:rsid w:val="006243D5"/>
    <w:rsid w:val="00625119"/>
    <w:rsid w:val="00625986"/>
    <w:rsid w:val="00627A90"/>
    <w:rsid w:val="00630427"/>
    <w:rsid w:val="00630FBD"/>
    <w:rsid w:val="00631680"/>
    <w:rsid w:val="00631C47"/>
    <w:rsid w:val="006324BC"/>
    <w:rsid w:val="006335C6"/>
    <w:rsid w:val="00633AC8"/>
    <w:rsid w:val="00633CDF"/>
    <w:rsid w:val="006346E0"/>
    <w:rsid w:val="00635695"/>
    <w:rsid w:val="0063635C"/>
    <w:rsid w:val="00636578"/>
    <w:rsid w:val="006366CB"/>
    <w:rsid w:val="00636DF3"/>
    <w:rsid w:val="00637498"/>
    <w:rsid w:val="00637A34"/>
    <w:rsid w:val="006404ED"/>
    <w:rsid w:val="0064063E"/>
    <w:rsid w:val="00640DD4"/>
    <w:rsid w:val="00641BC3"/>
    <w:rsid w:val="00642BA2"/>
    <w:rsid w:val="00643127"/>
    <w:rsid w:val="00645754"/>
    <w:rsid w:val="00645F5D"/>
    <w:rsid w:val="00646A76"/>
    <w:rsid w:val="006471C1"/>
    <w:rsid w:val="006473AE"/>
    <w:rsid w:val="006474AB"/>
    <w:rsid w:val="00647986"/>
    <w:rsid w:val="00650BF7"/>
    <w:rsid w:val="006519A0"/>
    <w:rsid w:val="006522DA"/>
    <w:rsid w:val="00652BFC"/>
    <w:rsid w:val="00652D9A"/>
    <w:rsid w:val="0065339C"/>
    <w:rsid w:val="00653791"/>
    <w:rsid w:val="0065402D"/>
    <w:rsid w:val="00655724"/>
    <w:rsid w:val="006577E5"/>
    <w:rsid w:val="00660FDF"/>
    <w:rsid w:val="006614C8"/>
    <w:rsid w:val="0066347F"/>
    <w:rsid w:val="006649F9"/>
    <w:rsid w:val="006653C5"/>
    <w:rsid w:val="00665A88"/>
    <w:rsid w:val="00667A7C"/>
    <w:rsid w:val="00667B36"/>
    <w:rsid w:val="00670836"/>
    <w:rsid w:val="0067161D"/>
    <w:rsid w:val="00671740"/>
    <w:rsid w:val="006718AF"/>
    <w:rsid w:val="00674CF2"/>
    <w:rsid w:val="0067661A"/>
    <w:rsid w:val="00677174"/>
    <w:rsid w:val="00677307"/>
    <w:rsid w:val="0067758C"/>
    <w:rsid w:val="00677717"/>
    <w:rsid w:val="006800CE"/>
    <w:rsid w:val="006808C8"/>
    <w:rsid w:val="00680DA1"/>
    <w:rsid w:val="00681D75"/>
    <w:rsid w:val="00683B41"/>
    <w:rsid w:val="00684A6B"/>
    <w:rsid w:val="00684E1E"/>
    <w:rsid w:val="00685132"/>
    <w:rsid w:val="00685322"/>
    <w:rsid w:val="00687D43"/>
    <w:rsid w:val="00690617"/>
    <w:rsid w:val="006918C4"/>
    <w:rsid w:val="006935B9"/>
    <w:rsid w:val="0069598E"/>
    <w:rsid w:val="006959B6"/>
    <w:rsid w:val="00696236"/>
    <w:rsid w:val="0069689E"/>
    <w:rsid w:val="006A16D7"/>
    <w:rsid w:val="006A1801"/>
    <w:rsid w:val="006A1ED4"/>
    <w:rsid w:val="006A2FCD"/>
    <w:rsid w:val="006A305A"/>
    <w:rsid w:val="006A373F"/>
    <w:rsid w:val="006A434E"/>
    <w:rsid w:val="006A52CD"/>
    <w:rsid w:val="006A61BB"/>
    <w:rsid w:val="006A61CF"/>
    <w:rsid w:val="006A758E"/>
    <w:rsid w:val="006B2340"/>
    <w:rsid w:val="006B3F54"/>
    <w:rsid w:val="006B4586"/>
    <w:rsid w:val="006B552F"/>
    <w:rsid w:val="006B5589"/>
    <w:rsid w:val="006B761D"/>
    <w:rsid w:val="006C0164"/>
    <w:rsid w:val="006C04DC"/>
    <w:rsid w:val="006C1444"/>
    <w:rsid w:val="006C1890"/>
    <w:rsid w:val="006C2363"/>
    <w:rsid w:val="006C65F7"/>
    <w:rsid w:val="006C79A3"/>
    <w:rsid w:val="006C7F07"/>
    <w:rsid w:val="006D0300"/>
    <w:rsid w:val="006D05E7"/>
    <w:rsid w:val="006D0E6F"/>
    <w:rsid w:val="006D10CB"/>
    <w:rsid w:val="006D34DE"/>
    <w:rsid w:val="006D3A2D"/>
    <w:rsid w:val="006D3D73"/>
    <w:rsid w:val="006D4FE9"/>
    <w:rsid w:val="006D5104"/>
    <w:rsid w:val="006D53A9"/>
    <w:rsid w:val="006D6110"/>
    <w:rsid w:val="006D74B3"/>
    <w:rsid w:val="006D777C"/>
    <w:rsid w:val="006E0202"/>
    <w:rsid w:val="006E0204"/>
    <w:rsid w:val="006E1A53"/>
    <w:rsid w:val="006E1AF4"/>
    <w:rsid w:val="006E2548"/>
    <w:rsid w:val="006E356A"/>
    <w:rsid w:val="006E3D34"/>
    <w:rsid w:val="006E47C6"/>
    <w:rsid w:val="006E5657"/>
    <w:rsid w:val="006E7651"/>
    <w:rsid w:val="006E7E41"/>
    <w:rsid w:val="006E7F1E"/>
    <w:rsid w:val="006E7F96"/>
    <w:rsid w:val="006F16B0"/>
    <w:rsid w:val="006F1E7C"/>
    <w:rsid w:val="006F2103"/>
    <w:rsid w:val="006F23D4"/>
    <w:rsid w:val="006F27C5"/>
    <w:rsid w:val="006F28EA"/>
    <w:rsid w:val="006F2BFB"/>
    <w:rsid w:val="006F5B13"/>
    <w:rsid w:val="006F6113"/>
    <w:rsid w:val="006F6986"/>
    <w:rsid w:val="006F6B77"/>
    <w:rsid w:val="00701E82"/>
    <w:rsid w:val="00704885"/>
    <w:rsid w:val="007060ED"/>
    <w:rsid w:val="00706530"/>
    <w:rsid w:val="007067A1"/>
    <w:rsid w:val="0070758C"/>
    <w:rsid w:val="00707EB5"/>
    <w:rsid w:val="007116CA"/>
    <w:rsid w:val="00711C39"/>
    <w:rsid w:val="00712B82"/>
    <w:rsid w:val="00713E9E"/>
    <w:rsid w:val="00714126"/>
    <w:rsid w:val="0071433C"/>
    <w:rsid w:val="00715770"/>
    <w:rsid w:val="00717C30"/>
    <w:rsid w:val="007200EF"/>
    <w:rsid w:val="0072089E"/>
    <w:rsid w:val="00720F8C"/>
    <w:rsid w:val="007215AF"/>
    <w:rsid w:val="007228EC"/>
    <w:rsid w:val="00723E80"/>
    <w:rsid w:val="0072416C"/>
    <w:rsid w:val="007265CA"/>
    <w:rsid w:val="00726A77"/>
    <w:rsid w:val="00727B74"/>
    <w:rsid w:val="007301ED"/>
    <w:rsid w:val="00730A67"/>
    <w:rsid w:val="00731A02"/>
    <w:rsid w:val="00732207"/>
    <w:rsid w:val="00732970"/>
    <w:rsid w:val="00732C8C"/>
    <w:rsid w:val="00732CF4"/>
    <w:rsid w:val="00733349"/>
    <w:rsid w:val="0073387D"/>
    <w:rsid w:val="00733C46"/>
    <w:rsid w:val="00734D2C"/>
    <w:rsid w:val="00735C5E"/>
    <w:rsid w:val="00735C98"/>
    <w:rsid w:val="00736518"/>
    <w:rsid w:val="0073663D"/>
    <w:rsid w:val="007367F8"/>
    <w:rsid w:val="00736C64"/>
    <w:rsid w:val="00737FE9"/>
    <w:rsid w:val="007401FA"/>
    <w:rsid w:val="00741E0C"/>
    <w:rsid w:val="00743978"/>
    <w:rsid w:val="00744506"/>
    <w:rsid w:val="00745FA0"/>
    <w:rsid w:val="007503DC"/>
    <w:rsid w:val="007505AD"/>
    <w:rsid w:val="00751D42"/>
    <w:rsid w:val="00751E4B"/>
    <w:rsid w:val="00752155"/>
    <w:rsid w:val="0075216C"/>
    <w:rsid w:val="0075227E"/>
    <w:rsid w:val="00753B85"/>
    <w:rsid w:val="0075453F"/>
    <w:rsid w:val="007563BE"/>
    <w:rsid w:val="0076081B"/>
    <w:rsid w:val="00762562"/>
    <w:rsid w:val="00762CA7"/>
    <w:rsid w:val="00762D31"/>
    <w:rsid w:val="00763562"/>
    <w:rsid w:val="00764473"/>
    <w:rsid w:val="007646D4"/>
    <w:rsid w:val="007654DE"/>
    <w:rsid w:val="00765925"/>
    <w:rsid w:val="007665BA"/>
    <w:rsid w:val="00766D8D"/>
    <w:rsid w:val="007676D5"/>
    <w:rsid w:val="00770345"/>
    <w:rsid w:val="007705E5"/>
    <w:rsid w:val="0077105C"/>
    <w:rsid w:val="00771077"/>
    <w:rsid w:val="007713BE"/>
    <w:rsid w:val="00774F6C"/>
    <w:rsid w:val="00775449"/>
    <w:rsid w:val="00776086"/>
    <w:rsid w:val="0077651F"/>
    <w:rsid w:val="00776EB0"/>
    <w:rsid w:val="00776F05"/>
    <w:rsid w:val="007771B7"/>
    <w:rsid w:val="00777A49"/>
    <w:rsid w:val="0078057A"/>
    <w:rsid w:val="00780893"/>
    <w:rsid w:val="007821E6"/>
    <w:rsid w:val="007826B5"/>
    <w:rsid w:val="00782ACE"/>
    <w:rsid w:val="0078425E"/>
    <w:rsid w:val="00786836"/>
    <w:rsid w:val="0079217C"/>
    <w:rsid w:val="00792447"/>
    <w:rsid w:val="00793A67"/>
    <w:rsid w:val="00793D5E"/>
    <w:rsid w:val="0079414D"/>
    <w:rsid w:val="00795238"/>
    <w:rsid w:val="007955AF"/>
    <w:rsid w:val="007958D9"/>
    <w:rsid w:val="00795F95"/>
    <w:rsid w:val="007965E6"/>
    <w:rsid w:val="007A05CA"/>
    <w:rsid w:val="007A0A7B"/>
    <w:rsid w:val="007A0B55"/>
    <w:rsid w:val="007A1700"/>
    <w:rsid w:val="007A260E"/>
    <w:rsid w:val="007A4335"/>
    <w:rsid w:val="007A437C"/>
    <w:rsid w:val="007A5438"/>
    <w:rsid w:val="007A7751"/>
    <w:rsid w:val="007A7FD0"/>
    <w:rsid w:val="007B0720"/>
    <w:rsid w:val="007B1411"/>
    <w:rsid w:val="007B417D"/>
    <w:rsid w:val="007B4180"/>
    <w:rsid w:val="007B4B1C"/>
    <w:rsid w:val="007B4F38"/>
    <w:rsid w:val="007B5CFD"/>
    <w:rsid w:val="007B6BB7"/>
    <w:rsid w:val="007B79F0"/>
    <w:rsid w:val="007C01CC"/>
    <w:rsid w:val="007C1201"/>
    <w:rsid w:val="007C39D8"/>
    <w:rsid w:val="007C3BC9"/>
    <w:rsid w:val="007C3E3E"/>
    <w:rsid w:val="007C401C"/>
    <w:rsid w:val="007C4849"/>
    <w:rsid w:val="007C4E34"/>
    <w:rsid w:val="007C5902"/>
    <w:rsid w:val="007C704D"/>
    <w:rsid w:val="007C79F5"/>
    <w:rsid w:val="007D044A"/>
    <w:rsid w:val="007D0EED"/>
    <w:rsid w:val="007D369B"/>
    <w:rsid w:val="007D4745"/>
    <w:rsid w:val="007D7229"/>
    <w:rsid w:val="007E10C4"/>
    <w:rsid w:val="007E1B12"/>
    <w:rsid w:val="007E1E30"/>
    <w:rsid w:val="007E2A62"/>
    <w:rsid w:val="007E5703"/>
    <w:rsid w:val="007E6752"/>
    <w:rsid w:val="007E76C5"/>
    <w:rsid w:val="007E7F99"/>
    <w:rsid w:val="007F03FB"/>
    <w:rsid w:val="007F0B5A"/>
    <w:rsid w:val="007F0CB7"/>
    <w:rsid w:val="007F0D33"/>
    <w:rsid w:val="007F1584"/>
    <w:rsid w:val="007F410D"/>
    <w:rsid w:val="007F55F9"/>
    <w:rsid w:val="007F581B"/>
    <w:rsid w:val="007F5D0A"/>
    <w:rsid w:val="008012B6"/>
    <w:rsid w:val="00801E4A"/>
    <w:rsid w:val="008024DA"/>
    <w:rsid w:val="008048A8"/>
    <w:rsid w:val="0080491D"/>
    <w:rsid w:val="00807085"/>
    <w:rsid w:val="00810B34"/>
    <w:rsid w:val="0081126A"/>
    <w:rsid w:val="0081187E"/>
    <w:rsid w:val="00811A8B"/>
    <w:rsid w:val="00813617"/>
    <w:rsid w:val="00813904"/>
    <w:rsid w:val="00813BE9"/>
    <w:rsid w:val="00814339"/>
    <w:rsid w:val="00814FF6"/>
    <w:rsid w:val="008159C6"/>
    <w:rsid w:val="008169D6"/>
    <w:rsid w:val="0081748D"/>
    <w:rsid w:val="00817977"/>
    <w:rsid w:val="008200DA"/>
    <w:rsid w:val="00821DBC"/>
    <w:rsid w:val="00822D50"/>
    <w:rsid w:val="00823C32"/>
    <w:rsid w:val="00824520"/>
    <w:rsid w:val="00824A50"/>
    <w:rsid w:val="008252A2"/>
    <w:rsid w:val="00826BB8"/>
    <w:rsid w:val="00830342"/>
    <w:rsid w:val="00830945"/>
    <w:rsid w:val="00830FDD"/>
    <w:rsid w:val="008310D0"/>
    <w:rsid w:val="0083110A"/>
    <w:rsid w:val="008374E5"/>
    <w:rsid w:val="00837D4A"/>
    <w:rsid w:val="008404B7"/>
    <w:rsid w:val="0084363C"/>
    <w:rsid w:val="00844AEF"/>
    <w:rsid w:val="0084575A"/>
    <w:rsid w:val="00846538"/>
    <w:rsid w:val="00846FF4"/>
    <w:rsid w:val="008474AF"/>
    <w:rsid w:val="00851418"/>
    <w:rsid w:val="00853A80"/>
    <w:rsid w:val="008544D6"/>
    <w:rsid w:val="0085487B"/>
    <w:rsid w:val="00854B83"/>
    <w:rsid w:val="00856272"/>
    <w:rsid w:val="00856A75"/>
    <w:rsid w:val="00856EF2"/>
    <w:rsid w:val="0086025D"/>
    <w:rsid w:val="00860E01"/>
    <w:rsid w:val="00861CC6"/>
    <w:rsid w:val="00861EA4"/>
    <w:rsid w:val="00863F48"/>
    <w:rsid w:val="00864457"/>
    <w:rsid w:val="00864669"/>
    <w:rsid w:val="00864BC2"/>
    <w:rsid w:val="00865616"/>
    <w:rsid w:val="008656E1"/>
    <w:rsid w:val="00865E2A"/>
    <w:rsid w:val="00865FCD"/>
    <w:rsid w:val="008662E6"/>
    <w:rsid w:val="00866529"/>
    <w:rsid w:val="0086656E"/>
    <w:rsid w:val="0086789B"/>
    <w:rsid w:val="00867D90"/>
    <w:rsid w:val="00867DA9"/>
    <w:rsid w:val="008709AD"/>
    <w:rsid w:val="00872846"/>
    <w:rsid w:val="00872A36"/>
    <w:rsid w:val="00873B17"/>
    <w:rsid w:val="00873CB4"/>
    <w:rsid w:val="0087496D"/>
    <w:rsid w:val="008756DB"/>
    <w:rsid w:val="00875759"/>
    <w:rsid w:val="00876345"/>
    <w:rsid w:val="00877020"/>
    <w:rsid w:val="0087713B"/>
    <w:rsid w:val="0087739D"/>
    <w:rsid w:val="00881AB2"/>
    <w:rsid w:val="0088232E"/>
    <w:rsid w:val="0088286B"/>
    <w:rsid w:val="00885500"/>
    <w:rsid w:val="00885EF1"/>
    <w:rsid w:val="008860D3"/>
    <w:rsid w:val="00887237"/>
    <w:rsid w:val="00887360"/>
    <w:rsid w:val="008903C3"/>
    <w:rsid w:val="0089123C"/>
    <w:rsid w:val="00892192"/>
    <w:rsid w:val="008928F9"/>
    <w:rsid w:val="0089337C"/>
    <w:rsid w:val="00893F06"/>
    <w:rsid w:val="008946E8"/>
    <w:rsid w:val="00895006"/>
    <w:rsid w:val="00895700"/>
    <w:rsid w:val="00895D68"/>
    <w:rsid w:val="00895EC0"/>
    <w:rsid w:val="008A03B8"/>
    <w:rsid w:val="008A0AD5"/>
    <w:rsid w:val="008A0DBE"/>
    <w:rsid w:val="008A1771"/>
    <w:rsid w:val="008A1AC7"/>
    <w:rsid w:val="008A2F2F"/>
    <w:rsid w:val="008A3EC8"/>
    <w:rsid w:val="008A4C29"/>
    <w:rsid w:val="008A50D3"/>
    <w:rsid w:val="008A5AC9"/>
    <w:rsid w:val="008A6821"/>
    <w:rsid w:val="008A69B2"/>
    <w:rsid w:val="008B0632"/>
    <w:rsid w:val="008B0EB3"/>
    <w:rsid w:val="008B18CC"/>
    <w:rsid w:val="008B1CC4"/>
    <w:rsid w:val="008B447D"/>
    <w:rsid w:val="008B5090"/>
    <w:rsid w:val="008B64FB"/>
    <w:rsid w:val="008C2727"/>
    <w:rsid w:val="008C28AE"/>
    <w:rsid w:val="008C2EB3"/>
    <w:rsid w:val="008C4A3C"/>
    <w:rsid w:val="008C4BF4"/>
    <w:rsid w:val="008C586A"/>
    <w:rsid w:val="008C5D11"/>
    <w:rsid w:val="008C5FDB"/>
    <w:rsid w:val="008C7265"/>
    <w:rsid w:val="008C7549"/>
    <w:rsid w:val="008C7B52"/>
    <w:rsid w:val="008D0118"/>
    <w:rsid w:val="008D0BF8"/>
    <w:rsid w:val="008D3DA5"/>
    <w:rsid w:val="008D55DA"/>
    <w:rsid w:val="008D75F3"/>
    <w:rsid w:val="008E0EC0"/>
    <w:rsid w:val="008E1EFB"/>
    <w:rsid w:val="008E2384"/>
    <w:rsid w:val="008E39F9"/>
    <w:rsid w:val="008E4F1C"/>
    <w:rsid w:val="008E57DC"/>
    <w:rsid w:val="008E5D4E"/>
    <w:rsid w:val="008E7079"/>
    <w:rsid w:val="008E753A"/>
    <w:rsid w:val="008F0569"/>
    <w:rsid w:val="008F0D21"/>
    <w:rsid w:val="008F11EC"/>
    <w:rsid w:val="008F3755"/>
    <w:rsid w:val="008F4A97"/>
    <w:rsid w:val="008F60BA"/>
    <w:rsid w:val="008F61C7"/>
    <w:rsid w:val="008F67B0"/>
    <w:rsid w:val="008F6ECA"/>
    <w:rsid w:val="008F78A3"/>
    <w:rsid w:val="008F7E23"/>
    <w:rsid w:val="009006E0"/>
    <w:rsid w:val="00901184"/>
    <w:rsid w:val="0090122B"/>
    <w:rsid w:val="00907383"/>
    <w:rsid w:val="00907B3B"/>
    <w:rsid w:val="00907E00"/>
    <w:rsid w:val="009128F3"/>
    <w:rsid w:val="00912E9B"/>
    <w:rsid w:val="009132FE"/>
    <w:rsid w:val="009138FB"/>
    <w:rsid w:val="00913D9E"/>
    <w:rsid w:val="00915FF2"/>
    <w:rsid w:val="0091697D"/>
    <w:rsid w:val="00917AB4"/>
    <w:rsid w:val="00917B84"/>
    <w:rsid w:val="00921323"/>
    <w:rsid w:val="009222D2"/>
    <w:rsid w:val="0092285E"/>
    <w:rsid w:val="00923668"/>
    <w:rsid w:val="009239FA"/>
    <w:rsid w:val="0092536D"/>
    <w:rsid w:val="009305A7"/>
    <w:rsid w:val="0093099B"/>
    <w:rsid w:val="00932BB8"/>
    <w:rsid w:val="00933084"/>
    <w:rsid w:val="00933F61"/>
    <w:rsid w:val="00934CCB"/>
    <w:rsid w:val="00934FD9"/>
    <w:rsid w:val="009352EA"/>
    <w:rsid w:val="009359AC"/>
    <w:rsid w:val="0093672E"/>
    <w:rsid w:val="00940BA2"/>
    <w:rsid w:val="00942A7E"/>
    <w:rsid w:val="0094342B"/>
    <w:rsid w:val="00943815"/>
    <w:rsid w:val="00945760"/>
    <w:rsid w:val="009471C7"/>
    <w:rsid w:val="00950851"/>
    <w:rsid w:val="00951C0C"/>
    <w:rsid w:val="00952159"/>
    <w:rsid w:val="009524AF"/>
    <w:rsid w:val="009525A7"/>
    <w:rsid w:val="00952D9C"/>
    <w:rsid w:val="00953CEF"/>
    <w:rsid w:val="0095565D"/>
    <w:rsid w:val="0095653D"/>
    <w:rsid w:val="009567F4"/>
    <w:rsid w:val="009577B9"/>
    <w:rsid w:val="00960F5A"/>
    <w:rsid w:val="00961328"/>
    <w:rsid w:val="00961C74"/>
    <w:rsid w:val="0096322C"/>
    <w:rsid w:val="0096325A"/>
    <w:rsid w:val="00963D88"/>
    <w:rsid w:val="00965829"/>
    <w:rsid w:val="00965A22"/>
    <w:rsid w:val="00965AE2"/>
    <w:rsid w:val="00967EF4"/>
    <w:rsid w:val="009708B1"/>
    <w:rsid w:val="009710BB"/>
    <w:rsid w:val="00972931"/>
    <w:rsid w:val="00973AED"/>
    <w:rsid w:val="0097585A"/>
    <w:rsid w:val="00975BD5"/>
    <w:rsid w:val="00976C0B"/>
    <w:rsid w:val="009773DD"/>
    <w:rsid w:val="009775B5"/>
    <w:rsid w:val="0098123B"/>
    <w:rsid w:val="009827A1"/>
    <w:rsid w:val="009834BD"/>
    <w:rsid w:val="0098618F"/>
    <w:rsid w:val="0098679F"/>
    <w:rsid w:val="00990124"/>
    <w:rsid w:val="00990AD4"/>
    <w:rsid w:val="00991297"/>
    <w:rsid w:val="00991630"/>
    <w:rsid w:val="00995944"/>
    <w:rsid w:val="00995BEE"/>
    <w:rsid w:val="00996ED1"/>
    <w:rsid w:val="00997F01"/>
    <w:rsid w:val="00997FE4"/>
    <w:rsid w:val="009A16B2"/>
    <w:rsid w:val="009A1CA7"/>
    <w:rsid w:val="009A3C9B"/>
    <w:rsid w:val="009A405F"/>
    <w:rsid w:val="009A48FF"/>
    <w:rsid w:val="009B0284"/>
    <w:rsid w:val="009B0EC7"/>
    <w:rsid w:val="009B2454"/>
    <w:rsid w:val="009B3E6A"/>
    <w:rsid w:val="009B3FEE"/>
    <w:rsid w:val="009B4294"/>
    <w:rsid w:val="009B43E7"/>
    <w:rsid w:val="009B4E45"/>
    <w:rsid w:val="009B5748"/>
    <w:rsid w:val="009B75D5"/>
    <w:rsid w:val="009C0F9C"/>
    <w:rsid w:val="009C1097"/>
    <w:rsid w:val="009C2413"/>
    <w:rsid w:val="009C250F"/>
    <w:rsid w:val="009C276E"/>
    <w:rsid w:val="009C3C92"/>
    <w:rsid w:val="009C4AAF"/>
    <w:rsid w:val="009C678B"/>
    <w:rsid w:val="009C6E6C"/>
    <w:rsid w:val="009C6F55"/>
    <w:rsid w:val="009C759B"/>
    <w:rsid w:val="009D0992"/>
    <w:rsid w:val="009D141C"/>
    <w:rsid w:val="009D3355"/>
    <w:rsid w:val="009D48BD"/>
    <w:rsid w:val="009D516F"/>
    <w:rsid w:val="009D5ADD"/>
    <w:rsid w:val="009D62B3"/>
    <w:rsid w:val="009D6434"/>
    <w:rsid w:val="009D6864"/>
    <w:rsid w:val="009D700D"/>
    <w:rsid w:val="009D7BAA"/>
    <w:rsid w:val="009D7E51"/>
    <w:rsid w:val="009D7FFD"/>
    <w:rsid w:val="009E0719"/>
    <w:rsid w:val="009E1383"/>
    <w:rsid w:val="009E1DAA"/>
    <w:rsid w:val="009E20C9"/>
    <w:rsid w:val="009E45BA"/>
    <w:rsid w:val="009F05AB"/>
    <w:rsid w:val="009F1348"/>
    <w:rsid w:val="009F15BE"/>
    <w:rsid w:val="009F400D"/>
    <w:rsid w:val="009F5BD6"/>
    <w:rsid w:val="009F60D8"/>
    <w:rsid w:val="009F65D0"/>
    <w:rsid w:val="009F6A01"/>
    <w:rsid w:val="009F6C4C"/>
    <w:rsid w:val="00A00092"/>
    <w:rsid w:val="00A005AE"/>
    <w:rsid w:val="00A00BE2"/>
    <w:rsid w:val="00A0117D"/>
    <w:rsid w:val="00A01903"/>
    <w:rsid w:val="00A019F2"/>
    <w:rsid w:val="00A04242"/>
    <w:rsid w:val="00A0435E"/>
    <w:rsid w:val="00A047E2"/>
    <w:rsid w:val="00A04910"/>
    <w:rsid w:val="00A052FD"/>
    <w:rsid w:val="00A05B6F"/>
    <w:rsid w:val="00A069AB"/>
    <w:rsid w:val="00A07831"/>
    <w:rsid w:val="00A10B64"/>
    <w:rsid w:val="00A10FE0"/>
    <w:rsid w:val="00A11066"/>
    <w:rsid w:val="00A11D47"/>
    <w:rsid w:val="00A122CE"/>
    <w:rsid w:val="00A12364"/>
    <w:rsid w:val="00A12DCC"/>
    <w:rsid w:val="00A135A7"/>
    <w:rsid w:val="00A154F4"/>
    <w:rsid w:val="00A15D17"/>
    <w:rsid w:val="00A16CDC"/>
    <w:rsid w:val="00A16ECD"/>
    <w:rsid w:val="00A16ED6"/>
    <w:rsid w:val="00A176A1"/>
    <w:rsid w:val="00A17D7F"/>
    <w:rsid w:val="00A208B7"/>
    <w:rsid w:val="00A21914"/>
    <w:rsid w:val="00A23498"/>
    <w:rsid w:val="00A239AD"/>
    <w:rsid w:val="00A2518F"/>
    <w:rsid w:val="00A25813"/>
    <w:rsid w:val="00A25A1A"/>
    <w:rsid w:val="00A26A01"/>
    <w:rsid w:val="00A26D63"/>
    <w:rsid w:val="00A27D5D"/>
    <w:rsid w:val="00A3045F"/>
    <w:rsid w:val="00A3065F"/>
    <w:rsid w:val="00A307B6"/>
    <w:rsid w:val="00A30CE9"/>
    <w:rsid w:val="00A33F43"/>
    <w:rsid w:val="00A344C3"/>
    <w:rsid w:val="00A34550"/>
    <w:rsid w:val="00A35AC5"/>
    <w:rsid w:val="00A35D4E"/>
    <w:rsid w:val="00A36721"/>
    <w:rsid w:val="00A36D0F"/>
    <w:rsid w:val="00A37006"/>
    <w:rsid w:val="00A41692"/>
    <w:rsid w:val="00A4247A"/>
    <w:rsid w:val="00A42FEE"/>
    <w:rsid w:val="00A43179"/>
    <w:rsid w:val="00A4413C"/>
    <w:rsid w:val="00A44C82"/>
    <w:rsid w:val="00A44F48"/>
    <w:rsid w:val="00A456B3"/>
    <w:rsid w:val="00A459F0"/>
    <w:rsid w:val="00A5015C"/>
    <w:rsid w:val="00A504EF"/>
    <w:rsid w:val="00A5141E"/>
    <w:rsid w:val="00A519BB"/>
    <w:rsid w:val="00A52926"/>
    <w:rsid w:val="00A535D3"/>
    <w:rsid w:val="00A54C30"/>
    <w:rsid w:val="00A56440"/>
    <w:rsid w:val="00A56938"/>
    <w:rsid w:val="00A61AC9"/>
    <w:rsid w:val="00A623EF"/>
    <w:rsid w:val="00A63245"/>
    <w:rsid w:val="00A63BDF"/>
    <w:rsid w:val="00A6666D"/>
    <w:rsid w:val="00A673CD"/>
    <w:rsid w:val="00A7017C"/>
    <w:rsid w:val="00A716B2"/>
    <w:rsid w:val="00A71C23"/>
    <w:rsid w:val="00A72FA0"/>
    <w:rsid w:val="00A74784"/>
    <w:rsid w:val="00A7552E"/>
    <w:rsid w:val="00A75A74"/>
    <w:rsid w:val="00A7695F"/>
    <w:rsid w:val="00A77A61"/>
    <w:rsid w:val="00A8007A"/>
    <w:rsid w:val="00A805C8"/>
    <w:rsid w:val="00A814EB"/>
    <w:rsid w:val="00A825A3"/>
    <w:rsid w:val="00A832E7"/>
    <w:rsid w:val="00A8353E"/>
    <w:rsid w:val="00A83ACB"/>
    <w:rsid w:val="00A841D1"/>
    <w:rsid w:val="00A8453A"/>
    <w:rsid w:val="00A850D2"/>
    <w:rsid w:val="00A87E06"/>
    <w:rsid w:val="00A91B7F"/>
    <w:rsid w:val="00A924DF"/>
    <w:rsid w:val="00A93563"/>
    <w:rsid w:val="00A93E22"/>
    <w:rsid w:val="00A94C76"/>
    <w:rsid w:val="00A950A0"/>
    <w:rsid w:val="00A9696C"/>
    <w:rsid w:val="00AA0A0F"/>
    <w:rsid w:val="00AA2E61"/>
    <w:rsid w:val="00AA3FC1"/>
    <w:rsid w:val="00AA4014"/>
    <w:rsid w:val="00AA474C"/>
    <w:rsid w:val="00AA493C"/>
    <w:rsid w:val="00AA5F60"/>
    <w:rsid w:val="00AA653C"/>
    <w:rsid w:val="00AA720C"/>
    <w:rsid w:val="00AB0A52"/>
    <w:rsid w:val="00AB1030"/>
    <w:rsid w:val="00AB1121"/>
    <w:rsid w:val="00AB1A3D"/>
    <w:rsid w:val="00AB1A7E"/>
    <w:rsid w:val="00AB1BD2"/>
    <w:rsid w:val="00AB2BEC"/>
    <w:rsid w:val="00AB2F86"/>
    <w:rsid w:val="00AB3A34"/>
    <w:rsid w:val="00AB5482"/>
    <w:rsid w:val="00AC0EB0"/>
    <w:rsid w:val="00AC1BC9"/>
    <w:rsid w:val="00AC1DDB"/>
    <w:rsid w:val="00AC336D"/>
    <w:rsid w:val="00AC363E"/>
    <w:rsid w:val="00AC3BAD"/>
    <w:rsid w:val="00AC3BEC"/>
    <w:rsid w:val="00AC49C7"/>
    <w:rsid w:val="00AC5610"/>
    <w:rsid w:val="00AC58FF"/>
    <w:rsid w:val="00AC7088"/>
    <w:rsid w:val="00AC7780"/>
    <w:rsid w:val="00AC7AF7"/>
    <w:rsid w:val="00AD0275"/>
    <w:rsid w:val="00AD0DE1"/>
    <w:rsid w:val="00AD2342"/>
    <w:rsid w:val="00AD2487"/>
    <w:rsid w:val="00AD2FE3"/>
    <w:rsid w:val="00AD4451"/>
    <w:rsid w:val="00AD5984"/>
    <w:rsid w:val="00AD617A"/>
    <w:rsid w:val="00AD66A8"/>
    <w:rsid w:val="00AE0ED0"/>
    <w:rsid w:val="00AE16D4"/>
    <w:rsid w:val="00AE17B3"/>
    <w:rsid w:val="00AE1D7C"/>
    <w:rsid w:val="00AE3065"/>
    <w:rsid w:val="00AE32D1"/>
    <w:rsid w:val="00AE4110"/>
    <w:rsid w:val="00AE5CBF"/>
    <w:rsid w:val="00AE6231"/>
    <w:rsid w:val="00AE68DB"/>
    <w:rsid w:val="00AF03E4"/>
    <w:rsid w:val="00AF0B3B"/>
    <w:rsid w:val="00AF0C0D"/>
    <w:rsid w:val="00AF14FB"/>
    <w:rsid w:val="00AF33D4"/>
    <w:rsid w:val="00AF348E"/>
    <w:rsid w:val="00AF361D"/>
    <w:rsid w:val="00AF379C"/>
    <w:rsid w:val="00AF4823"/>
    <w:rsid w:val="00AF6E51"/>
    <w:rsid w:val="00B0064B"/>
    <w:rsid w:val="00B00CDE"/>
    <w:rsid w:val="00B00F4B"/>
    <w:rsid w:val="00B01630"/>
    <w:rsid w:val="00B02E1F"/>
    <w:rsid w:val="00B03877"/>
    <w:rsid w:val="00B04128"/>
    <w:rsid w:val="00B0444B"/>
    <w:rsid w:val="00B0458D"/>
    <w:rsid w:val="00B06134"/>
    <w:rsid w:val="00B06A78"/>
    <w:rsid w:val="00B06E60"/>
    <w:rsid w:val="00B07A53"/>
    <w:rsid w:val="00B10D38"/>
    <w:rsid w:val="00B117B1"/>
    <w:rsid w:val="00B117E5"/>
    <w:rsid w:val="00B11EA5"/>
    <w:rsid w:val="00B128FA"/>
    <w:rsid w:val="00B13823"/>
    <w:rsid w:val="00B13DDE"/>
    <w:rsid w:val="00B13F5B"/>
    <w:rsid w:val="00B150E5"/>
    <w:rsid w:val="00B1595D"/>
    <w:rsid w:val="00B15BFA"/>
    <w:rsid w:val="00B16A4A"/>
    <w:rsid w:val="00B208AA"/>
    <w:rsid w:val="00B21A19"/>
    <w:rsid w:val="00B21FA0"/>
    <w:rsid w:val="00B22363"/>
    <w:rsid w:val="00B227EE"/>
    <w:rsid w:val="00B229D5"/>
    <w:rsid w:val="00B23F67"/>
    <w:rsid w:val="00B2545D"/>
    <w:rsid w:val="00B26E36"/>
    <w:rsid w:val="00B271F9"/>
    <w:rsid w:val="00B2779E"/>
    <w:rsid w:val="00B33041"/>
    <w:rsid w:val="00B3357E"/>
    <w:rsid w:val="00B33BF1"/>
    <w:rsid w:val="00B342B2"/>
    <w:rsid w:val="00B34432"/>
    <w:rsid w:val="00B34818"/>
    <w:rsid w:val="00B35145"/>
    <w:rsid w:val="00B362D1"/>
    <w:rsid w:val="00B369A6"/>
    <w:rsid w:val="00B404D3"/>
    <w:rsid w:val="00B40D85"/>
    <w:rsid w:val="00B43D5B"/>
    <w:rsid w:val="00B45815"/>
    <w:rsid w:val="00B45C4D"/>
    <w:rsid w:val="00B4676E"/>
    <w:rsid w:val="00B52F9B"/>
    <w:rsid w:val="00B536E5"/>
    <w:rsid w:val="00B56227"/>
    <w:rsid w:val="00B56621"/>
    <w:rsid w:val="00B56E77"/>
    <w:rsid w:val="00B5744C"/>
    <w:rsid w:val="00B57673"/>
    <w:rsid w:val="00B60607"/>
    <w:rsid w:val="00B60879"/>
    <w:rsid w:val="00B61604"/>
    <w:rsid w:val="00B61BB8"/>
    <w:rsid w:val="00B6216D"/>
    <w:rsid w:val="00B62BC3"/>
    <w:rsid w:val="00B63384"/>
    <w:rsid w:val="00B63931"/>
    <w:rsid w:val="00B6435F"/>
    <w:rsid w:val="00B64EF0"/>
    <w:rsid w:val="00B64F1F"/>
    <w:rsid w:val="00B672BA"/>
    <w:rsid w:val="00B67B63"/>
    <w:rsid w:val="00B67EFD"/>
    <w:rsid w:val="00B707E3"/>
    <w:rsid w:val="00B7117A"/>
    <w:rsid w:val="00B71A7B"/>
    <w:rsid w:val="00B71C01"/>
    <w:rsid w:val="00B73769"/>
    <w:rsid w:val="00B759FB"/>
    <w:rsid w:val="00B77155"/>
    <w:rsid w:val="00B77582"/>
    <w:rsid w:val="00B8037C"/>
    <w:rsid w:val="00B80ABF"/>
    <w:rsid w:val="00B815A4"/>
    <w:rsid w:val="00B81AAA"/>
    <w:rsid w:val="00B81B99"/>
    <w:rsid w:val="00B82BB8"/>
    <w:rsid w:val="00B83AE9"/>
    <w:rsid w:val="00B84316"/>
    <w:rsid w:val="00B85E52"/>
    <w:rsid w:val="00B86444"/>
    <w:rsid w:val="00B866FE"/>
    <w:rsid w:val="00B87F3C"/>
    <w:rsid w:val="00B90826"/>
    <w:rsid w:val="00B9084E"/>
    <w:rsid w:val="00B9265E"/>
    <w:rsid w:val="00B928F7"/>
    <w:rsid w:val="00B92B03"/>
    <w:rsid w:val="00B9353D"/>
    <w:rsid w:val="00B93DB2"/>
    <w:rsid w:val="00B94DDD"/>
    <w:rsid w:val="00B95B2D"/>
    <w:rsid w:val="00B96CF1"/>
    <w:rsid w:val="00B9707B"/>
    <w:rsid w:val="00B978A9"/>
    <w:rsid w:val="00BA03B9"/>
    <w:rsid w:val="00BA0493"/>
    <w:rsid w:val="00BA387B"/>
    <w:rsid w:val="00BA3F78"/>
    <w:rsid w:val="00BA6229"/>
    <w:rsid w:val="00BA6569"/>
    <w:rsid w:val="00BA65C9"/>
    <w:rsid w:val="00BA746E"/>
    <w:rsid w:val="00BA76EA"/>
    <w:rsid w:val="00BB0CAF"/>
    <w:rsid w:val="00BB107F"/>
    <w:rsid w:val="00BB10CD"/>
    <w:rsid w:val="00BB165F"/>
    <w:rsid w:val="00BB19E1"/>
    <w:rsid w:val="00BB1C99"/>
    <w:rsid w:val="00BB20DC"/>
    <w:rsid w:val="00BB3095"/>
    <w:rsid w:val="00BB3933"/>
    <w:rsid w:val="00BB3B61"/>
    <w:rsid w:val="00BB5345"/>
    <w:rsid w:val="00BB536A"/>
    <w:rsid w:val="00BB6FAD"/>
    <w:rsid w:val="00BB77C7"/>
    <w:rsid w:val="00BC1A80"/>
    <w:rsid w:val="00BC36FB"/>
    <w:rsid w:val="00BC3D6A"/>
    <w:rsid w:val="00BC4061"/>
    <w:rsid w:val="00BC47CA"/>
    <w:rsid w:val="00BC5886"/>
    <w:rsid w:val="00BC5CD1"/>
    <w:rsid w:val="00BC5F4A"/>
    <w:rsid w:val="00BC720B"/>
    <w:rsid w:val="00BC7733"/>
    <w:rsid w:val="00BD0849"/>
    <w:rsid w:val="00BD0FE1"/>
    <w:rsid w:val="00BD1F6A"/>
    <w:rsid w:val="00BD54E7"/>
    <w:rsid w:val="00BD5E66"/>
    <w:rsid w:val="00BD62AE"/>
    <w:rsid w:val="00BD644D"/>
    <w:rsid w:val="00BD67FF"/>
    <w:rsid w:val="00BD6F62"/>
    <w:rsid w:val="00BE00DD"/>
    <w:rsid w:val="00BE0EBF"/>
    <w:rsid w:val="00BE2316"/>
    <w:rsid w:val="00BE5F16"/>
    <w:rsid w:val="00BE7D2B"/>
    <w:rsid w:val="00BF0C60"/>
    <w:rsid w:val="00BF2501"/>
    <w:rsid w:val="00BF29D9"/>
    <w:rsid w:val="00BF2C12"/>
    <w:rsid w:val="00BF308D"/>
    <w:rsid w:val="00BF3094"/>
    <w:rsid w:val="00BF47A5"/>
    <w:rsid w:val="00BF57F9"/>
    <w:rsid w:val="00BF5B4C"/>
    <w:rsid w:val="00BF5FC3"/>
    <w:rsid w:val="00BF61EF"/>
    <w:rsid w:val="00BF7B65"/>
    <w:rsid w:val="00C052B0"/>
    <w:rsid w:val="00C055F9"/>
    <w:rsid w:val="00C06261"/>
    <w:rsid w:val="00C06A50"/>
    <w:rsid w:val="00C06EE8"/>
    <w:rsid w:val="00C10D6D"/>
    <w:rsid w:val="00C113D9"/>
    <w:rsid w:val="00C13841"/>
    <w:rsid w:val="00C15BAF"/>
    <w:rsid w:val="00C16754"/>
    <w:rsid w:val="00C16F44"/>
    <w:rsid w:val="00C1765E"/>
    <w:rsid w:val="00C178BB"/>
    <w:rsid w:val="00C20694"/>
    <w:rsid w:val="00C20803"/>
    <w:rsid w:val="00C20E71"/>
    <w:rsid w:val="00C20F63"/>
    <w:rsid w:val="00C21662"/>
    <w:rsid w:val="00C21944"/>
    <w:rsid w:val="00C22505"/>
    <w:rsid w:val="00C22BA6"/>
    <w:rsid w:val="00C234E7"/>
    <w:rsid w:val="00C2476D"/>
    <w:rsid w:val="00C24AC6"/>
    <w:rsid w:val="00C24CF6"/>
    <w:rsid w:val="00C25D3F"/>
    <w:rsid w:val="00C27009"/>
    <w:rsid w:val="00C300B5"/>
    <w:rsid w:val="00C310B8"/>
    <w:rsid w:val="00C3136A"/>
    <w:rsid w:val="00C31428"/>
    <w:rsid w:val="00C31F60"/>
    <w:rsid w:val="00C3271C"/>
    <w:rsid w:val="00C3516B"/>
    <w:rsid w:val="00C35983"/>
    <w:rsid w:val="00C360C9"/>
    <w:rsid w:val="00C36146"/>
    <w:rsid w:val="00C36B77"/>
    <w:rsid w:val="00C379D0"/>
    <w:rsid w:val="00C37F1C"/>
    <w:rsid w:val="00C41CF3"/>
    <w:rsid w:val="00C4230E"/>
    <w:rsid w:val="00C428F5"/>
    <w:rsid w:val="00C436DD"/>
    <w:rsid w:val="00C44EB7"/>
    <w:rsid w:val="00C45B30"/>
    <w:rsid w:val="00C47343"/>
    <w:rsid w:val="00C4766E"/>
    <w:rsid w:val="00C5001E"/>
    <w:rsid w:val="00C50105"/>
    <w:rsid w:val="00C50525"/>
    <w:rsid w:val="00C50D68"/>
    <w:rsid w:val="00C51A1D"/>
    <w:rsid w:val="00C520FE"/>
    <w:rsid w:val="00C561F3"/>
    <w:rsid w:val="00C60375"/>
    <w:rsid w:val="00C60C19"/>
    <w:rsid w:val="00C60E0E"/>
    <w:rsid w:val="00C64F62"/>
    <w:rsid w:val="00C67283"/>
    <w:rsid w:val="00C7328B"/>
    <w:rsid w:val="00C745BE"/>
    <w:rsid w:val="00C74794"/>
    <w:rsid w:val="00C74F57"/>
    <w:rsid w:val="00C75AE7"/>
    <w:rsid w:val="00C7636A"/>
    <w:rsid w:val="00C77542"/>
    <w:rsid w:val="00C779C5"/>
    <w:rsid w:val="00C77D72"/>
    <w:rsid w:val="00C80500"/>
    <w:rsid w:val="00C80CB5"/>
    <w:rsid w:val="00C80F79"/>
    <w:rsid w:val="00C81D5B"/>
    <w:rsid w:val="00C836AE"/>
    <w:rsid w:val="00C87D56"/>
    <w:rsid w:val="00C90756"/>
    <w:rsid w:val="00C90E3F"/>
    <w:rsid w:val="00C91029"/>
    <w:rsid w:val="00C92599"/>
    <w:rsid w:val="00C9356B"/>
    <w:rsid w:val="00C949C7"/>
    <w:rsid w:val="00C94D5D"/>
    <w:rsid w:val="00C958BD"/>
    <w:rsid w:val="00C95F76"/>
    <w:rsid w:val="00C96D02"/>
    <w:rsid w:val="00CA1140"/>
    <w:rsid w:val="00CA1525"/>
    <w:rsid w:val="00CA2786"/>
    <w:rsid w:val="00CA298C"/>
    <w:rsid w:val="00CA3F6A"/>
    <w:rsid w:val="00CA4AEC"/>
    <w:rsid w:val="00CA4CE6"/>
    <w:rsid w:val="00CA5B9F"/>
    <w:rsid w:val="00CB16A5"/>
    <w:rsid w:val="00CB1DB8"/>
    <w:rsid w:val="00CB1EA4"/>
    <w:rsid w:val="00CB27FB"/>
    <w:rsid w:val="00CB2B22"/>
    <w:rsid w:val="00CB5205"/>
    <w:rsid w:val="00CC0960"/>
    <w:rsid w:val="00CC161A"/>
    <w:rsid w:val="00CC639A"/>
    <w:rsid w:val="00CC6A67"/>
    <w:rsid w:val="00CD0405"/>
    <w:rsid w:val="00CD125E"/>
    <w:rsid w:val="00CD43F0"/>
    <w:rsid w:val="00CD4C59"/>
    <w:rsid w:val="00CD4C67"/>
    <w:rsid w:val="00CD509A"/>
    <w:rsid w:val="00CD56F6"/>
    <w:rsid w:val="00CD753F"/>
    <w:rsid w:val="00CE03CD"/>
    <w:rsid w:val="00CE2B7B"/>
    <w:rsid w:val="00CE3C52"/>
    <w:rsid w:val="00CE4AB9"/>
    <w:rsid w:val="00CE5A05"/>
    <w:rsid w:val="00CE6BE0"/>
    <w:rsid w:val="00CE7191"/>
    <w:rsid w:val="00CE7C28"/>
    <w:rsid w:val="00CF1E7F"/>
    <w:rsid w:val="00CF584C"/>
    <w:rsid w:val="00CF5C6C"/>
    <w:rsid w:val="00CF6428"/>
    <w:rsid w:val="00CF79AE"/>
    <w:rsid w:val="00CF7B8A"/>
    <w:rsid w:val="00D0094A"/>
    <w:rsid w:val="00D00B03"/>
    <w:rsid w:val="00D01DCB"/>
    <w:rsid w:val="00D02810"/>
    <w:rsid w:val="00D02B09"/>
    <w:rsid w:val="00D02B48"/>
    <w:rsid w:val="00D0454E"/>
    <w:rsid w:val="00D0493D"/>
    <w:rsid w:val="00D05505"/>
    <w:rsid w:val="00D05514"/>
    <w:rsid w:val="00D06CE2"/>
    <w:rsid w:val="00D06F01"/>
    <w:rsid w:val="00D07C68"/>
    <w:rsid w:val="00D07DEA"/>
    <w:rsid w:val="00D102EC"/>
    <w:rsid w:val="00D1049F"/>
    <w:rsid w:val="00D112D3"/>
    <w:rsid w:val="00D11996"/>
    <w:rsid w:val="00D12487"/>
    <w:rsid w:val="00D12BCA"/>
    <w:rsid w:val="00D13860"/>
    <w:rsid w:val="00D13EFC"/>
    <w:rsid w:val="00D173CC"/>
    <w:rsid w:val="00D177AF"/>
    <w:rsid w:val="00D2016B"/>
    <w:rsid w:val="00D20F5E"/>
    <w:rsid w:val="00D2276E"/>
    <w:rsid w:val="00D22AB5"/>
    <w:rsid w:val="00D22BF0"/>
    <w:rsid w:val="00D2307E"/>
    <w:rsid w:val="00D257FE"/>
    <w:rsid w:val="00D258E8"/>
    <w:rsid w:val="00D274E0"/>
    <w:rsid w:val="00D276AB"/>
    <w:rsid w:val="00D3079C"/>
    <w:rsid w:val="00D31C81"/>
    <w:rsid w:val="00D32212"/>
    <w:rsid w:val="00D3496F"/>
    <w:rsid w:val="00D36020"/>
    <w:rsid w:val="00D360AC"/>
    <w:rsid w:val="00D362CC"/>
    <w:rsid w:val="00D37131"/>
    <w:rsid w:val="00D37FEF"/>
    <w:rsid w:val="00D41F5B"/>
    <w:rsid w:val="00D43A6F"/>
    <w:rsid w:val="00D43BC5"/>
    <w:rsid w:val="00D45A89"/>
    <w:rsid w:val="00D467A5"/>
    <w:rsid w:val="00D4700E"/>
    <w:rsid w:val="00D47231"/>
    <w:rsid w:val="00D47D0E"/>
    <w:rsid w:val="00D51638"/>
    <w:rsid w:val="00D5204A"/>
    <w:rsid w:val="00D521CA"/>
    <w:rsid w:val="00D53B4F"/>
    <w:rsid w:val="00D55B85"/>
    <w:rsid w:val="00D5759C"/>
    <w:rsid w:val="00D6017A"/>
    <w:rsid w:val="00D60DF5"/>
    <w:rsid w:val="00D6213D"/>
    <w:rsid w:val="00D63E32"/>
    <w:rsid w:val="00D63EB1"/>
    <w:rsid w:val="00D64A47"/>
    <w:rsid w:val="00D65F99"/>
    <w:rsid w:val="00D66EFE"/>
    <w:rsid w:val="00D66FE3"/>
    <w:rsid w:val="00D71132"/>
    <w:rsid w:val="00D7160B"/>
    <w:rsid w:val="00D738A7"/>
    <w:rsid w:val="00D73BD8"/>
    <w:rsid w:val="00D73FF5"/>
    <w:rsid w:val="00D746AF"/>
    <w:rsid w:val="00D750EA"/>
    <w:rsid w:val="00D75176"/>
    <w:rsid w:val="00D76BE6"/>
    <w:rsid w:val="00D76C5A"/>
    <w:rsid w:val="00D76E26"/>
    <w:rsid w:val="00D772BD"/>
    <w:rsid w:val="00D810EF"/>
    <w:rsid w:val="00D8145D"/>
    <w:rsid w:val="00D817EE"/>
    <w:rsid w:val="00D822DB"/>
    <w:rsid w:val="00D82355"/>
    <w:rsid w:val="00D826AD"/>
    <w:rsid w:val="00D82E14"/>
    <w:rsid w:val="00D83299"/>
    <w:rsid w:val="00D83428"/>
    <w:rsid w:val="00D856F1"/>
    <w:rsid w:val="00D86016"/>
    <w:rsid w:val="00D86AE6"/>
    <w:rsid w:val="00D86EFC"/>
    <w:rsid w:val="00D90CC9"/>
    <w:rsid w:val="00D90DFA"/>
    <w:rsid w:val="00D92634"/>
    <w:rsid w:val="00D933D3"/>
    <w:rsid w:val="00D94BFA"/>
    <w:rsid w:val="00D958C0"/>
    <w:rsid w:val="00D96362"/>
    <w:rsid w:val="00D967B6"/>
    <w:rsid w:val="00DA01D5"/>
    <w:rsid w:val="00DA0BA6"/>
    <w:rsid w:val="00DA0C7D"/>
    <w:rsid w:val="00DA1035"/>
    <w:rsid w:val="00DA1075"/>
    <w:rsid w:val="00DA39AE"/>
    <w:rsid w:val="00DA3F84"/>
    <w:rsid w:val="00DA418E"/>
    <w:rsid w:val="00DA435A"/>
    <w:rsid w:val="00DA4975"/>
    <w:rsid w:val="00DA4F23"/>
    <w:rsid w:val="00DA62E5"/>
    <w:rsid w:val="00DB0D16"/>
    <w:rsid w:val="00DB0DF1"/>
    <w:rsid w:val="00DB1179"/>
    <w:rsid w:val="00DB1EB8"/>
    <w:rsid w:val="00DB21B1"/>
    <w:rsid w:val="00DB2A1D"/>
    <w:rsid w:val="00DB33F0"/>
    <w:rsid w:val="00DB35FC"/>
    <w:rsid w:val="00DB463A"/>
    <w:rsid w:val="00DB53FC"/>
    <w:rsid w:val="00DB5F30"/>
    <w:rsid w:val="00DB6072"/>
    <w:rsid w:val="00DB68AF"/>
    <w:rsid w:val="00DB7529"/>
    <w:rsid w:val="00DB76DD"/>
    <w:rsid w:val="00DC0CA9"/>
    <w:rsid w:val="00DC0E43"/>
    <w:rsid w:val="00DC1D7A"/>
    <w:rsid w:val="00DC3CF8"/>
    <w:rsid w:val="00DC4363"/>
    <w:rsid w:val="00DC454B"/>
    <w:rsid w:val="00DC5457"/>
    <w:rsid w:val="00DC56B2"/>
    <w:rsid w:val="00DC5967"/>
    <w:rsid w:val="00DD24EC"/>
    <w:rsid w:val="00DD25FB"/>
    <w:rsid w:val="00DD2928"/>
    <w:rsid w:val="00DD2E86"/>
    <w:rsid w:val="00DD3F93"/>
    <w:rsid w:val="00DD48DB"/>
    <w:rsid w:val="00DD4CF7"/>
    <w:rsid w:val="00DD7F2D"/>
    <w:rsid w:val="00DE2320"/>
    <w:rsid w:val="00DE353B"/>
    <w:rsid w:val="00DE3F82"/>
    <w:rsid w:val="00DE7A93"/>
    <w:rsid w:val="00DE7BB4"/>
    <w:rsid w:val="00DE7DD2"/>
    <w:rsid w:val="00DF0A97"/>
    <w:rsid w:val="00DF187B"/>
    <w:rsid w:val="00DF2F7A"/>
    <w:rsid w:val="00DF48A4"/>
    <w:rsid w:val="00DF51E4"/>
    <w:rsid w:val="00DF7D3F"/>
    <w:rsid w:val="00E025A8"/>
    <w:rsid w:val="00E0284A"/>
    <w:rsid w:val="00E02FD9"/>
    <w:rsid w:val="00E03F07"/>
    <w:rsid w:val="00E047A3"/>
    <w:rsid w:val="00E04B37"/>
    <w:rsid w:val="00E0680E"/>
    <w:rsid w:val="00E06DF5"/>
    <w:rsid w:val="00E0711F"/>
    <w:rsid w:val="00E11B0E"/>
    <w:rsid w:val="00E11D46"/>
    <w:rsid w:val="00E14EBC"/>
    <w:rsid w:val="00E172C8"/>
    <w:rsid w:val="00E176BF"/>
    <w:rsid w:val="00E17CE2"/>
    <w:rsid w:val="00E2081D"/>
    <w:rsid w:val="00E22350"/>
    <w:rsid w:val="00E24373"/>
    <w:rsid w:val="00E25CFE"/>
    <w:rsid w:val="00E27C95"/>
    <w:rsid w:val="00E3024F"/>
    <w:rsid w:val="00E30888"/>
    <w:rsid w:val="00E3103F"/>
    <w:rsid w:val="00E31A16"/>
    <w:rsid w:val="00E32129"/>
    <w:rsid w:val="00E3276F"/>
    <w:rsid w:val="00E3335E"/>
    <w:rsid w:val="00E3339F"/>
    <w:rsid w:val="00E33C9B"/>
    <w:rsid w:val="00E354F8"/>
    <w:rsid w:val="00E36A15"/>
    <w:rsid w:val="00E36B7C"/>
    <w:rsid w:val="00E40492"/>
    <w:rsid w:val="00E40BCE"/>
    <w:rsid w:val="00E40E6E"/>
    <w:rsid w:val="00E41CB9"/>
    <w:rsid w:val="00E4238B"/>
    <w:rsid w:val="00E43A1B"/>
    <w:rsid w:val="00E43A1C"/>
    <w:rsid w:val="00E445AE"/>
    <w:rsid w:val="00E446CF"/>
    <w:rsid w:val="00E44BB2"/>
    <w:rsid w:val="00E44BFC"/>
    <w:rsid w:val="00E454CC"/>
    <w:rsid w:val="00E473BD"/>
    <w:rsid w:val="00E47FAD"/>
    <w:rsid w:val="00E50443"/>
    <w:rsid w:val="00E50973"/>
    <w:rsid w:val="00E51715"/>
    <w:rsid w:val="00E518E3"/>
    <w:rsid w:val="00E51AF3"/>
    <w:rsid w:val="00E55112"/>
    <w:rsid w:val="00E5588D"/>
    <w:rsid w:val="00E56258"/>
    <w:rsid w:val="00E5682E"/>
    <w:rsid w:val="00E57904"/>
    <w:rsid w:val="00E57F28"/>
    <w:rsid w:val="00E613B5"/>
    <w:rsid w:val="00E61886"/>
    <w:rsid w:val="00E61C52"/>
    <w:rsid w:val="00E62672"/>
    <w:rsid w:val="00E6302A"/>
    <w:rsid w:val="00E72676"/>
    <w:rsid w:val="00E7303A"/>
    <w:rsid w:val="00E7363C"/>
    <w:rsid w:val="00E73EDA"/>
    <w:rsid w:val="00E746D3"/>
    <w:rsid w:val="00E7553D"/>
    <w:rsid w:val="00E765D5"/>
    <w:rsid w:val="00E7716C"/>
    <w:rsid w:val="00E77596"/>
    <w:rsid w:val="00E77BB7"/>
    <w:rsid w:val="00E80227"/>
    <w:rsid w:val="00E81B93"/>
    <w:rsid w:val="00E823E6"/>
    <w:rsid w:val="00E82F1F"/>
    <w:rsid w:val="00E834F7"/>
    <w:rsid w:val="00E8494C"/>
    <w:rsid w:val="00E84CCD"/>
    <w:rsid w:val="00E84FBB"/>
    <w:rsid w:val="00E851C8"/>
    <w:rsid w:val="00E862BF"/>
    <w:rsid w:val="00E864A1"/>
    <w:rsid w:val="00E866CC"/>
    <w:rsid w:val="00E86777"/>
    <w:rsid w:val="00E87638"/>
    <w:rsid w:val="00E87A14"/>
    <w:rsid w:val="00E904D0"/>
    <w:rsid w:val="00E92650"/>
    <w:rsid w:val="00E9308A"/>
    <w:rsid w:val="00E935EF"/>
    <w:rsid w:val="00E93671"/>
    <w:rsid w:val="00E9521B"/>
    <w:rsid w:val="00EA1530"/>
    <w:rsid w:val="00EA1567"/>
    <w:rsid w:val="00EA22C5"/>
    <w:rsid w:val="00EA241C"/>
    <w:rsid w:val="00EA24DC"/>
    <w:rsid w:val="00EA3A43"/>
    <w:rsid w:val="00EA3CB2"/>
    <w:rsid w:val="00EA59CD"/>
    <w:rsid w:val="00EA69B2"/>
    <w:rsid w:val="00EA6CF5"/>
    <w:rsid w:val="00EA76E9"/>
    <w:rsid w:val="00EA790B"/>
    <w:rsid w:val="00EB1A5B"/>
    <w:rsid w:val="00EB260F"/>
    <w:rsid w:val="00EB2E52"/>
    <w:rsid w:val="00EB5492"/>
    <w:rsid w:val="00EB5A01"/>
    <w:rsid w:val="00EB5BF9"/>
    <w:rsid w:val="00EB5ED0"/>
    <w:rsid w:val="00EB64AE"/>
    <w:rsid w:val="00EB694A"/>
    <w:rsid w:val="00EB7F59"/>
    <w:rsid w:val="00EC0204"/>
    <w:rsid w:val="00EC2908"/>
    <w:rsid w:val="00EC3184"/>
    <w:rsid w:val="00EC3C9D"/>
    <w:rsid w:val="00EC5299"/>
    <w:rsid w:val="00EC5AD7"/>
    <w:rsid w:val="00EC701C"/>
    <w:rsid w:val="00EC703A"/>
    <w:rsid w:val="00EC7D60"/>
    <w:rsid w:val="00ED2283"/>
    <w:rsid w:val="00ED26BB"/>
    <w:rsid w:val="00ED328F"/>
    <w:rsid w:val="00ED35F2"/>
    <w:rsid w:val="00ED378C"/>
    <w:rsid w:val="00ED4257"/>
    <w:rsid w:val="00ED428E"/>
    <w:rsid w:val="00ED56D6"/>
    <w:rsid w:val="00ED5745"/>
    <w:rsid w:val="00ED59BE"/>
    <w:rsid w:val="00ED708D"/>
    <w:rsid w:val="00ED7428"/>
    <w:rsid w:val="00ED7933"/>
    <w:rsid w:val="00ED7A6E"/>
    <w:rsid w:val="00ED7AE5"/>
    <w:rsid w:val="00EE132B"/>
    <w:rsid w:val="00EE1F34"/>
    <w:rsid w:val="00EE2AA1"/>
    <w:rsid w:val="00EE2CAF"/>
    <w:rsid w:val="00EE3B64"/>
    <w:rsid w:val="00EE3EEB"/>
    <w:rsid w:val="00EE460D"/>
    <w:rsid w:val="00EE47C1"/>
    <w:rsid w:val="00EE4E1C"/>
    <w:rsid w:val="00EE5E0B"/>
    <w:rsid w:val="00EE74A6"/>
    <w:rsid w:val="00EF323B"/>
    <w:rsid w:val="00EF49BE"/>
    <w:rsid w:val="00EF5C5C"/>
    <w:rsid w:val="00EF5D57"/>
    <w:rsid w:val="00EF74D3"/>
    <w:rsid w:val="00F00B6E"/>
    <w:rsid w:val="00F0116F"/>
    <w:rsid w:val="00F017E1"/>
    <w:rsid w:val="00F01807"/>
    <w:rsid w:val="00F03ADE"/>
    <w:rsid w:val="00F04545"/>
    <w:rsid w:val="00F04821"/>
    <w:rsid w:val="00F069BC"/>
    <w:rsid w:val="00F07900"/>
    <w:rsid w:val="00F07941"/>
    <w:rsid w:val="00F07B34"/>
    <w:rsid w:val="00F102CD"/>
    <w:rsid w:val="00F11DAA"/>
    <w:rsid w:val="00F130DA"/>
    <w:rsid w:val="00F15215"/>
    <w:rsid w:val="00F15C2F"/>
    <w:rsid w:val="00F20061"/>
    <w:rsid w:val="00F20A5D"/>
    <w:rsid w:val="00F20C44"/>
    <w:rsid w:val="00F21D0D"/>
    <w:rsid w:val="00F22232"/>
    <w:rsid w:val="00F24371"/>
    <w:rsid w:val="00F24404"/>
    <w:rsid w:val="00F254C6"/>
    <w:rsid w:val="00F26436"/>
    <w:rsid w:val="00F26DBF"/>
    <w:rsid w:val="00F2722F"/>
    <w:rsid w:val="00F27B78"/>
    <w:rsid w:val="00F27DA9"/>
    <w:rsid w:val="00F30A19"/>
    <w:rsid w:val="00F31605"/>
    <w:rsid w:val="00F31BC4"/>
    <w:rsid w:val="00F3243C"/>
    <w:rsid w:val="00F3263B"/>
    <w:rsid w:val="00F3266D"/>
    <w:rsid w:val="00F32BCE"/>
    <w:rsid w:val="00F337F7"/>
    <w:rsid w:val="00F33DCF"/>
    <w:rsid w:val="00F35A44"/>
    <w:rsid w:val="00F36277"/>
    <w:rsid w:val="00F36B42"/>
    <w:rsid w:val="00F4042F"/>
    <w:rsid w:val="00F416D3"/>
    <w:rsid w:val="00F43B23"/>
    <w:rsid w:val="00F43E62"/>
    <w:rsid w:val="00F43F2D"/>
    <w:rsid w:val="00F44247"/>
    <w:rsid w:val="00F4595F"/>
    <w:rsid w:val="00F45DCE"/>
    <w:rsid w:val="00F45F3D"/>
    <w:rsid w:val="00F4647C"/>
    <w:rsid w:val="00F46B4C"/>
    <w:rsid w:val="00F47EFA"/>
    <w:rsid w:val="00F50584"/>
    <w:rsid w:val="00F50D8C"/>
    <w:rsid w:val="00F51691"/>
    <w:rsid w:val="00F51704"/>
    <w:rsid w:val="00F52467"/>
    <w:rsid w:val="00F5269B"/>
    <w:rsid w:val="00F52B41"/>
    <w:rsid w:val="00F52C10"/>
    <w:rsid w:val="00F5337E"/>
    <w:rsid w:val="00F534B3"/>
    <w:rsid w:val="00F53896"/>
    <w:rsid w:val="00F53A21"/>
    <w:rsid w:val="00F54BA7"/>
    <w:rsid w:val="00F54C3B"/>
    <w:rsid w:val="00F56D7F"/>
    <w:rsid w:val="00F574C2"/>
    <w:rsid w:val="00F57524"/>
    <w:rsid w:val="00F619DC"/>
    <w:rsid w:val="00F625B1"/>
    <w:rsid w:val="00F640B3"/>
    <w:rsid w:val="00F6607E"/>
    <w:rsid w:val="00F661A6"/>
    <w:rsid w:val="00F66F17"/>
    <w:rsid w:val="00F67AB0"/>
    <w:rsid w:val="00F711E5"/>
    <w:rsid w:val="00F74066"/>
    <w:rsid w:val="00F752D3"/>
    <w:rsid w:val="00F75E10"/>
    <w:rsid w:val="00F77533"/>
    <w:rsid w:val="00F8092E"/>
    <w:rsid w:val="00F81BBC"/>
    <w:rsid w:val="00F85BCE"/>
    <w:rsid w:val="00F86BF6"/>
    <w:rsid w:val="00F9086C"/>
    <w:rsid w:val="00F90E53"/>
    <w:rsid w:val="00F93AD6"/>
    <w:rsid w:val="00F94303"/>
    <w:rsid w:val="00F9432D"/>
    <w:rsid w:val="00F9548D"/>
    <w:rsid w:val="00F967FC"/>
    <w:rsid w:val="00F974C5"/>
    <w:rsid w:val="00F97686"/>
    <w:rsid w:val="00F97E25"/>
    <w:rsid w:val="00FA06DC"/>
    <w:rsid w:val="00FA094D"/>
    <w:rsid w:val="00FA4923"/>
    <w:rsid w:val="00FA51FD"/>
    <w:rsid w:val="00FA5F85"/>
    <w:rsid w:val="00FA620A"/>
    <w:rsid w:val="00FA62A0"/>
    <w:rsid w:val="00FB0431"/>
    <w:rsid w:val="00FB1395"/>
    <w:rsid w:val="00FB1BE7"/>
    <w:rsid w:val="00FB1EFA"/>
    <w:rsid w:val="00FB304A"/>
    <w:rsid w:val="00FB31C0"/>
    <w:rsid w:val="00FB3CDB"/>
    <w:rsid w:val="00FB4D8F"/>
    <w:rsid w:val="00FB563B"/>
    <w:rsid w:val="00FB72A7"/>
    <w:rsid w:val="00FB7D1E"/>
    <w:rsid w:val="00FC2550"/>
    <w:rsid w:val="00FC33EE"/>
    <w:rsid w:val="00FC4885"/>
    <w:rsid w:val="00FC528A"/>
    <w:rsid w:val="00FC5D73"/>
    <w:rsid w:val="00FC62B5"/>
    <w:rsid w:val="00FC7B4A"/>
    <w:rsid w:val="00FC7B82"/>
    <w:rsid w:val="00FD1E40"/>
    <w:rsid w:val="00FD3272"/>
    <w:rsid w:val="00FD34B8"/>
    <w:rsid w:val="00FD34BC"/>
    <w:rsid w:val="00FD4836"/>
    <w:rsid w:val="00FD5C0D"/>
    <w:rsid w:val="00FD68B3"/>
    <w:rsid w:val="00FD705C"/>
    <w:rsid w:val="00FD7265"/>
    <w:rsid w:val="00FD7A86"/>
    <w:rsid w:val="00FE020E"/>
    <w:rsid w:val="00FE1E40"/>
    <w:rsid w:val="00FE659B"/>
    <w:rsid w:val="00FE723F"/>
    <w:rsid w:val="00FE7F70"/>
    <w:rsid w:val="00FF1569"/>
    <w:rsid w:val="00FF19F6"/>
    <w:rsid w:val="00FF33DB"/>
    <w:rsid w:val="00FF4F71"/>
    <w:rsid w:val="00FF527B"/>
    <w:rsid w:val="00FF7205"/>
    <w:rsid w:val="00FF7551"/>
    <w:rsid w:val="00FF7842"/>
  </w:rsids>
  <m:mathPr>
    <m:mathFont m:val="Cambria Math"/>
    <m:brkBin m:val="before"/>
    <m:brkBinSub m:val="--"/>
    <m:smallFrac/>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c00"/>
    </o:shapedefaults>
    <o:shapelayout v:ext="edit">
      <o:idmap v:ext="edit" data="1"/>
    </o:shapelayout>
  </w:shapeDefaults>
  <w:doNotEmbedSmartTags/>
  <w:decimalSymbol w:val="."/>
  <w:listSeparator w:val=","/>
  <w14:docId w14:val="1D7D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header" w:uiPriority="0"/>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locked="1" w:semiHidden="0" w:uiPriority="10" w:unhideWhenUsed="0" w:qFormat="1"/>
    <w:lsdException w:name="Default Paragraph Font" w:uiPriority="1"/>
    <w:lsdException w:name="Subtitle" w:locked="1"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locked="1" w:uiPriority="1" w:unhideWhenUsed="0"/>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60"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61"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4C5"/>
    <w:pPr>
      <w:spacing w:after="120" w:line="240" w:lineRule="auto"/>
      <w:jc w:val="both"/>
    </w:pPr>
    <w:rPr>
      <w:rFonts w:eastAsia="Times New Roman" w:cs="Times New Roman"/>
      <w:szCs w:val="24"/>
      <w:lang w:val="fr-FR" w:eastAsia="fr-FR"/>
    </w:rPr>
  </w:style>
  <w:style w:type="paragraph" w:styleId="Heading1">
    <w:name w:val="heading 1"/>
    <w:basedOn w:val="Normal"/>
    <w:next w:val="Normal"/>
    <w:link w:val="Heading1Char"/>
    <w:uiPriority w:val="9"/>
    <w:unhideWhenUsed/>
    <w:qFormat/>
    <w:rsid w:val="00FB4D8F"/>
    <w:pPr>
      <w:pageBreakBefore/>
      <w:pBdr>
        <w:bottom w:val="single" w:sz="4" w:space="1" w:color="404040" w:themeColor="text1" w:themeTint="BF"/>
      </w:pBdr>
      <w:spacing w:before="240" w:after="300"/>
      <w:ind w:left="357" w:hanging="357"/>
      <w:outlineLvl w:val="0"/>
    </w:pPr>
    <w:rPr>
      <w:rFonts w:eastAsiaTheme="majorEastAsia" w:cstheme="majorBidi"/>
      <w:b/>
      <w:smallCaps/>
      <w:color w:val="775F55" w:themeColor="text2"/>
      <w:sz w:val="40"/>
      <w:szCs w:val="48"/>
    </w:rPr>
  </w:style>
  <w:style w:type="paragraph" w:styleId="Heading2">
    <w:name w:val="heading 2"/>
    <w:basedOn w:val="Normal"/>
    <w:next w:val="Normal"/>
    <w:link w:val="Heading2Char"/>
    <w:uiPriority w:val="9"/>
    <w:unhideWhenUsed/>
    <w:qFormat/>
    <w:rsid w:val="00B67EFD"/>
    <w:pPr>
      <w:numPr>
        <w:numId w:val="26"/>
      </w:numPr>
      <w:spacing w:before="240" w:after="240"/>
      <w:outlineLvl w:val="1"/>
    </w:pPr>
    <w:rPr>
      <w:b/>
      <w:bCs/>
      <w:color w:val="548AB7" w:themeColor="accent1" w:themeShade="BF"/>
      <w:sz w:val="32"/>
      <w:szCs w:val="28"/>
    </w:rPr>
  </w:style>
  <w:style w:type="paragraph" w:styleId="Heading3">
    <w:name w:val="heading 3"/>
    <w:basedOn w:val="Normal"/>
    <w:next w:val="Normal"/>
    <w:link w:val="Heading3Char"/>
    <w:uiPriority w:val="9"/>
    <w:unhideWhenUsed/>
    <w:qFormat/>
    <w:rsid w:val="00B67EFD"/>
    <w:pPr>
      <w:numPr>
        <w:ilvl w:val="1"/>
        <w:numId w:val="13"/>
      </w:numPr>
      <w:spacing w:before="200" w:after="200"/>
      <w:outlineLvl w:val="2"/>
    </w:pPr>
    <w:rPr>
      <w:b/>
      <w:bCs/>
      <w:color w:val="DD8047" w:themeColor="accent2"/>
      <w:sz w:val="28"/>
    </w:rPr>
  </w:style>
  <w:style w:type="paragraph" w:styleId="Heading4">
    <w:name w:val="heading 4"/>
    <w:basedOn w:val="Normal"/>
    <w:next w:val="Normal"/>
    <w:link w:val="Heading4Char"/>
    <w:autoRedefine/>
    <w:uiPriority w:val="9"/>
    <w:unhideWhenUsed/>
    <w:qFormat/>
    <w:rsid w:val="00B67EFD"/>
    <w:pPr>
      <w:numPr>
        <w:ilvl w:val="2"/>
        <w:numId w:val="26"/>
      </w:numPr>
      <w:spacing w:before="160" w:after="160"/>
      <w:outlineLvl w:val="3"/>
    </w:pPr>
    <w:rPr>
      <w:rFonts w:eastAsiaTheme="minorHAnsi"/>
      <w:b/>
      <w:sz w:val="24"/>
      <w:szCs w:val="22"/>
      <w:lang w:val="en-US" w:eastAsia="en-US"/>
    </w:rPr>
  </w:style>
  <w:style w:type="paragraph" w:styleId="Heading5">
    <w:name w:val="heading 5"/>
    <w:next w:val="Normal"/>
    <w:link w:val="Heading5Char"/>
    <w:uiPriority w:val="9"/>
    <w:qFormat/>
    <w:rsid w:val="00DF187B"/>
    <w:pPr>
      <w:numPr>
        <w:numId w:val="11"/>
      </w:numPr>
      <w:spacing w:after="120"/>
      <w:outlineLvl w:val="4"/>
    </w:pPr>
    <w:rPr>
      <w:rFonts w:eastAsia="Times New Roman" w:cs="Times New Roman"/>
      <w:bCs/>
      <w:spacing w:val="10"/>
      <w:szCs w:val="24"/>
      <w:u w:val="single"/>
      <w:lang w:val="fr-FR" w:eastAsia="fr-FR"/>
    </w:rPr>
  </w:style>
  <w:style w:type="paragraph" w:styleId="Heading6">
    <w:name w:val="heading 6"/>
    <w:basedOn w:val="Normal"/>
    <w:next w:val="Normal"/>
    <w:link w:val="Heading6Char"/>
    <w:uiPriority w:val="9"/>
    <w:unhideWhenUsed/>
    <w:qFormat/>
    <w:locked/>
    <w:rsid w:val="006123CA"/>
    <w:pPr>
      <w:numPr>
        <w:numId w:val="9"/>
      </w:numPr>
      <w:outlineLvl w:val="5"/>
    </w:pPr>
    <w:rPr>
      <w:b/>
      <w:bCs/>
      <w:color w:val="DD8047" w:themeColor="accent2"/>
      <w:spacing w:val="10"/>
    </w:rPr>
  </w:style>
  <w:style w:type="paragraph" w:styleId="Heading7">
    <w:name w:val="heading 7"/>
    <w:basedOn w:val="Normal"/>
    <w:next w:val="Normal"/>
    <w:link w:val="Heading7Char"/>
    <w:uiPriority w:val="9"/>
    <w:unhideWhenUsed/>
    <w:qFormat/>
    <w:locked/>
    <w:rsid w:val="005A5297"/>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locked/>
    <w:rsid w:val="005A5297"/>
    <w:pPr>
      <w:spacing w:after="0"/>
      <w:outlineLvl w:val="7"/>
    </w:pPr>
    <w:rPr>
      <w:b/>
      <w:bCs/>
      <w:i/>
      <w:iCs/>
      <w:color w:val="94B6D2" w:themeColor="accent1"/>
      <w:spacing w:val="10"/>
      <w:sz w:val="24"/>
    </w:rPr>
  </w:style>
  <w:style w:type="paragraph" w:styleId="Heading9">
    <w:name w:val="heading 9"/>
    <w:basedOn w:val="Normal"/>
    <w:next w:val="Normal"/>
    <w:link w:val="Heading9Char"/>
    <w:uiPriority w:val="9"/>
    <w:semiHidden/>
    <w:unhideWhenUsed/>
    <w:qFormat/>
    <w:locked/>
    <w:rsid w:val="005A5297"/>
    <w:pPr>
      <w:spacing w:after="0"/>
      <w:outlineLvl w:val="8"/>
    </w:pPr>
    <w:rPr>
      <w:b/>
      <w:bCs/>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D8F"/>
    <w:rPr>
      <w:rFonts w:ascii="Tw Cen MT" w:eastAsiaTheme="majorEastAsia" w:hAnsi="Tw Cen MT" w:cstheme="majorBidi"/>
      <w:b/>
      <w:smallCaps/>
      <w:color w:val="775F55" w:themeColor="text2"/>
      <w:sz w:val="40"/>
      <w:szCs w:val="48"/>
      <w:lang w:val="fr-FR"/>
    </w:rPr>
  </w:style>
  <w:style w:type="character" w:customStyle="1" w:styleId="Heading2Char">
    <w:name w:val="Heading 2 Char"/>
    <w:basedOn w:val="DefaultParagraphFont"/>
    <w:link w:val="Heading2"/>
    <w:uiPriority w:val="9"/>
    <w:rsid w:val="00B67EFD"/>
    <w:rPr>
      <w:rFonts w:eastAsia="Times New Roman" w:cs="Times New Roman"/>
      <w:b/>
      <w:bCs/>
      <w:color w:val="548AB7" w:themeColor="accent1" w:themeShade="BF"/>
      <w:sz w:val="32"/>
      <w:szCs w:val="28"/>
      <w:lang w:val="fr-FR" w:eastAsia="fr-FR"/>
    </w:rPr>
  </w:style>
  <w:style w:type="character" w:customStyle="1" w:styleId="Heading3Char">
    <w:name w:val="Heading 3 Char"/>
    <w:basedOn w:val="DefaultParagraphFont"/>
    <w:link w:val="Heading3"/>
    <w:uiPriority w:val="9"/>
    <w:rsid w:val="00B67EFD"/>
    <w:rPr>
      <w:rFonts w:eastAsia="Times New Roman" w:cs="Times New Roman"/>
      <w:b/>
      <w:bCs/>
      <w:color w:val="DD8047" w:themeColor="accent2"/>
      <w:sz w:val="28"/>
      <w:szCs w:val="24"/>
      <w:lang w:val="fr-FR" w:eastAsia="fr-FR"/>
    </w:rPr>
  </w:style>
  <w:style w:type="paragraph" w:styleId="Footer">
    <w:name w:val="footer"/>
    <w:basedOn w:val="Normal"/>
    <w:link w:val="FooterChar"/>
    <w:uiPriority w:val="99"/>
    <w:unhideWhenUsed/>
    <w:rsid w:val="00865FCD"/>
    <w:pPr>
      <w:pBdr>
        <w:top w:val="single" w:sz="4" w:space="1" w:color="94B6D2" w:themeColor="accent1"/>
      </w:pBdr>
      <w:tabs>
        <w:tab w:val="center" w:pos="4320"/>
        <w:tab w:val="right" w:pos="9498"/>
      </w:tabs>
      <w:jc w:val="right"/>
    </w:pPr>
    <w:rPr>
      <w:b/>
      <w:color w:val="548AB7" w:themeColor="accent1" w:themeShade="BF"/>
      <w:sz w:val="20"/>
    </w:rPr>
  </w:style>
  <w:style w:type="character" w:customStyle="1" w:styleId="FooterChar">
    <w:name w:val="Footer Char"/>
    <w:basedOn w:val="DefaultParagraphFont"/>
    <w:link w:val="Footer"/>
    <w:uiPriority w:val="99"/>
    <w:rsid w:val="00865FCD"/>
    <w:rPr>
      <w:rFonts w:ascii="Toga Serif" w:eastAsiaTheme="minorEastAsia" w:hAnsi="Toga Serif"/>
      <w:b/>
      <w:color w:val="548AB7" w:themeColor="accent1" w:themeShade="BF"/>
      <w:sz w:val="20"/>
      <w:szCs w:val="23"/>
      <w:lang w:val="fr-FR"/>
    </w:rPr>
  </w:style>
  <w:style w:type="paragraph" w:styleId="Header">
    <w:name w:val="header"/>
    <w:basedOn w:val="Normal"/>
    <w:link w:val="HeaderChar"/>
    <w:unhideWhenUsed/>
    <w:rsid w:val="00865FCD"/>
    <w:pPr>
      <w:tabs>
        <w:tab w:val="center" w:pos="4320"/>
        <w:tab w:val="right" w:pos="8640"/>
      </w:tabs>
    </w:pPr>
    <w:rPr>
      <w:color w:val="548AB7" w:themeColor="accent1" w:themeShade="BF"/>
    </w:rPr>
  </w:style>
  <w:style w:type="character" w:customStyle="1" w:styleId="HeaderChar">
    <w:name w:val="Header Char"/>
    <w:basedOn w:val="DefaultParagraphFont"/>
    <w:link w:val="Header"/>
    <w:rsid w:val="00865FCD"/>
    <w:rPr>
      <w:rFonts w:ascii="Toga Serif" w:eastAsiaTheme="minorEastAsia" w:hAnsi="Toga Serif"/>
      <w:color w:val="548AB7" w:themeColor="accent1" w:themeShade="BF"/>
      <w:szCs w:val="23"/>
      <w:lang w:val="fr-FR"/>
    </w:rPr>
  </w:style>
  <w:style w:type="paragraph" w:styleId="Subtitle">
    <w:name w:val="Subtitle"/>
    <w:basedOn w:val="Normal"/>
    <w:link w:val="SubtitleChar"/>
    <w:uiPriority w:val="11"/>
    <w:qFormat/>
    <w:locked/>
    <w:rsid w:val="005A5297"/>
    <w:pPr>
      <w:spacing w:after="720"/>
    </w:pPr>
    <w:rPr>
      <w:rFonts w:asciiTheme="majorHAnsi" w:eastAsiaTheme="majorEastAsia" w:hAnsiTheme="majorHAnsi" w:cstheme="majorBidi"/>
      <w:b/>
      <w:bCs/>
      <w:caps/>
      <w:color w:val="DD8047" w:themeColor="accent2"/>
      <w:spacing w:val="50"/>
      <w:sz w:val="24"/>
    </w:rPr>
  </w:style>
  <w:style w:type="character" w:customStyle="1" w:styleId="SubtitleChar">
    <w:name w:val="Subtitle Char"/>
    <w:basedOn w:val="DefaultParagraphFont"/>
    <w:link w:val="Subtitle"/>
    <w:uiPriority w:val="11"/>
    <w:rsid w:val="00DF0A97"/>
    <w:rPr>
      <w:rFonts w:asciiTheme="majorHAnsi" w:eastAsiaTheme="majorEastAsia" w:hAnsiTheme="majorHAnsi" w:cstheme="majorBidi"/>
      <w:b/>
      <w:bCs/>
      <w:caps/>
      <w:color w:val="DD8047" w:themeColor="accent2"/>
      <w:spacing w:val="50"/>
      <w:sz w:val="24"/>
      <w:szCs w:val="24"/>
      <w:lang w:val="fr-FR"/>
    </w:rPr>
  </w:style>
  <w:style w:type="paragraph" w:styleId="BalloonText">
    <w:name w:val="Balloon Text"/>
    <w:basedOn w:val="Normal"/>
    <w:link w:val="BalloonTextChar"/>
    <w:uiPriority w:val="99"/>
    <w:semiHidden/>
    <w:unhideWhenUsed/>
    <w:rsid w:val="005A5297"/>
    <w:rPr>
      <w:rFonts w:hAnsi="Tahoma"/>
      <w:sz w:val="16"/>
      <w:szCs w:val="16"/>
    </w:rPr>
  </w:style>
  <w:style w:type="character" w:customStyle="1" w:styleId="BalloonTextChar">
    <w:name w:val="Balloon Text Char"/>
    <w:basedOn w:val="DefaultParagraphFont"/>
    <w:link w:val="BalloonText"/>
    <w:uiPriority w:val="99"/>
    <w:semiHidden/>
    <w:rsid w:val="005A5297"/>
    <w:rPr>
      <w:rFonts w:eastAsiaTheme="minorEastAsia" w:hAnsi="Tahoma"/>
      <w:sz w:val="16"/>
      <w:szCs w:val="16"/>
      <w:lang w:val="fr-FR"/>
    </w:rPr>
  </w:style>
  <w:style w:type="paragraph" w:styleId="Caption">
    <w:name w:val="caption"/>
    <w:aliases w:val="LEGENDE,Map,figura,Table/Figure Heading,Caption- Figure,Caption- Figure1,Caption- Figure2,AGT ESIA,Figure Headings,Annexe,Caption Char,Caption Char Char Char Char,Caption Char Char Char,Table,headings,CPR Caption,Legenda Char,Didascalia SIA"/>
    <w:basedOn w:val="Normal"/>
    <w:next w:val="Normal"/>
    <w:link w:val="CaptionChar1"/>
    <w:uiPriority w:val="35"/>
    <w:unhideWhenUsed/>
    <w:qFormat/>
    <w:rsid w:val="00187D3C"/>
    <w:pPr>
      <w:jc w:val="center"/>
    </w:pPr>
    <w:rPr>
      <w:b/>
      <w:bCs/>
      <w:sz w:val="18"/>
      <w:szCs w:val="16"/>
    </w:rPr>
  </w:style>
  <w:style w:type="character" w:customStyle="1" w:styleId="Heading4Char">
    <w:name w:val="Heading 4 Char"/>
    <w:basedOn w:val="DefaultParagraphFont"/>
    <w:link w:val="Heading4"/>
    <w:uiPriority w:val="9"/>
    <w:rsid w:val="00B67EFD"/>
    <w:rPr>
      <w:rFonts w:cs="Times New Roman"/>
      <w:b/>
      <w:sz w:val="24"/>
    </w:rPr>
  </w:style>
  <w:style w:type="character" w:customStyle="1" w:styleId="Heading5Char">
    <w:name w:val="Heading 5 Char"/>
    <w:basedOn w:val="DefaultParagraphFont"/>
    <w:link w:val="Heading5"/>
    <w:uiPriority w:val="9"/>
    <w:rsid w:val="00DF187B"/>
    <w:rPr>
      <w:rFonts w:eastAsia="Times New Roman" w:cs="Times New Roman"/>
      <w:bCs/>
      <w:spacing w:val="10"/>
      <w:szCs w:val="24"/>
      <w:u w:val="single"/>
      <w:lang w:val="fr-FR" w:eastAsia="fr-FR"/>
    </w:rPr>
  </w:style>
  <w:style w:type="character" w:customStyle="1" w:styleId="Heading6Char">
    <w:name w:val="Heading 6 Char"/>
    <w:basedOn w:val="DefaultParagraphFont"/>
    <w:link w:val="Heading6"/>
    <w:uiPriority w:val="9"/>
    <w:rsid w:val="00A41692"/>
    <w:rPr>
      <w:rFonts w:eastAsia="Times New Roman" w:cs="Times New Roman"/>
      <w:b/>
      <w:bCs/>
      <w:color w:val="DD8047" w:themeColor="accent2"/>
      <w:spacing w:val="10"/>
      <w:szCs w:val="24"/>
      <w:lang w:val="fr-FR" w:eastAsia="fr-FR"/>
    </w:rPr>
  </w:style>
  <w:style w:type="character" w:customStyle="1" w:styleId="Heading7Char">
    <w:name w:val="Heading 7 Char"/>
    <w:basedOn w:val="DefaultParagraphFont"/>
    <w:link w:val="Heading7"/>
    <w:uiPriority w:val="9"/>
    <w:rsid w:val="005A5297"/>
    <w:rPr>
      <w:rFonts w:ascii="Tw Cen MT" w:eastAsiaTheme="minorEastAsia" w:hAnsi="Tw Cen MT"/>
      <w:smallCaps/>
      <w:color w:val="000000" w:themeColor="text1"/>
      <w:spacing w:val="10"/>
      <w:szCs w:val="23"/>
      <w:lang w:val="fr-FR"/>
    </w:rPr>
  </w:style>
  <w:style w:type="character" w:customStyle="1" w:styleId="Heading8Char">
    <w:name w:val="Heading 8 Char"/>
    <w:basedOn w:val="DefaultParagraphFont"/>
    <w:link w:val="Heading8"/>
    <w:uiPriority w:val="9"/>
    <w:semiHidden/>
    <w:rsid w:val="005A5297"/>
    <w:rPr>
      <w:rFonts w:ascii="Tw Cen MT" w:eastAsiaTheme="minorEastAsia" w:hAnsi="Tw Cen MT"/>
      <w:b/>
      <w:bCs/>
      <w:i/>
      <w:iCs/>
      <w:color w:val="94B6D2" w:themeColor="accent1"/>
      <w:spacing w:val="10"/>
      <w:sz w:val="24"/>
      <w:szCs w:val="24"/>
      <w:lang w:val="fr-FR"/>
    </w:rPr>
  </w:style>
  <w:style w:type="character" w:customStyle="1" w:styleId="Heading9Char">
    <w:name w:val="Heading 9 Char"/>
    <w:basedOn w:val="DefaultParagraphFont"/>
    <w:link w:val="Heading9"/>
    <w:uiPriority w:val="9"/>
    <w:semiHidden/>
    <w:rsid w:val="005A5297"/>
    <w:rPr>
      <w:rFonts w:ascii="Tw Cen MT" w:eastAsiaTheme="minorEastAsia" w:hAnsi="Tw Cen MT"/>
      <w:b/>
      <w:bCs/>
      <w:caps/>
      <w:color w:val="A5AB81" w:themeColor="accent3"/>
      <w:spacing w:val="40"/>
      <w:sz w:val="20"/>
      <w:szCs w:val="23"/>
      <w:lang w:val="fr-FR"/>
    </w:rPr>
  </w:style>
  <w:style w:type="character" w:styleId="Hyperlink">
    <w:name w:val="Hyperlink"/>
    <w:basedOn w:val="DefaultParagraphFont"/>
    <w:uiPriority w:val="99"/>
    <w:rsid w:val="005A5297"/>
    <w:rPr>
      <w:color w:val="F7B615" w:themeColor="hyperlink"/>
      <w:u w:val="single"/>
    </w:rPr>
  </w:style>
  <w:style w:type="character" w:styleId="IntenseEmphasis">
    <w:name w:val="Intense Emphasis"/>
    <w:basedOn w:val="DefaultParagraphFont"/>
    <w:uiPriority w:val="21"/>
    <w:semiHidden/>
    <w:qFormat/>
    <w:rsid w:val="005A5297"/>
    <w:rPr>
      <w:rFonts w:asciiTheme="minorHAnsi" w:hAnsiTheme="minorHAnsi"/>
      <w:b/>
      <w:bCs/>
      <w:dstrike w:val="0"/>
      <w:color w:val="DD8047" w:themeColor="accent2"/>
      <w:spacing w:val="10"/>
      <w:w w:val="100"/>
      <w:kern w:val="0"/>
      <w:position w:val="0"/>
      <w:sz w:val="23"/>
      <w:vertAlign w:val="baseline"/>
    </w:rPr>
  </w:style>
  <w:style w:type="paragraph" w:styleId="List">
    <w:name w:val="List"/>
    <w:basedOn w:val="Normal"/>
    <w:uiPriority w:val="99"/>
    <w:semiHidden/>
    <w:unhideWhenUsed/>
    <w:rsid w:val="005A5297"/>
    <w:pPr>
      <w:ind w:left="360" w:hanging="360"/>
    </w:pPr>
  </w:style>
  <w:style w:type="paragraph" w:styleId="List2">
    <w:name w:val="List 2"/>
    <w:basedOn w:val="Normal"/>
    <w:uiPriority w:val="99"/>
    <w:semiHidden/>
    <w:unhideWhenUsed/>
    <w:rsid w:val="005A5297"/>
    <w:pPr>
      <w:ind w:left="720" w:hanging="360"/>
    </w:pPr>
  </w:style>
  <w:style w:type="paragraph" w:styleId="ListBullet">
    <w:name w:val="List Bullet"/>
    <w:basedOn w:val="Normal"/>
    <w:uiPriority w:val="36"/>
    <w:semiHidden/>
    <w:qFormat/>
    <w:rsid w:val="005A5297"/>
    <w:pPr>
      <w:numPr>
        <w:numId w:val="2"/>
      </w:numPr>
    </w:pPr>
    <w:rPr>
      <w:sz w:val="24"/>
    </w:rPr>
  </w:style>
  <w:style w:type="paragraph" w:styleId="ListBullet2">
    <w:name w:val="List Bullet 2"/>
    <w:basedOn w:val="Normal"/>
    <w:uiPriority w:val="36"/>
    <w:semiHidden/>
    <w:qFormat/>
    <w:rsid w:val="005A5297"/>
    <w:pPr>
      <w:numPr>
        <w:numId w:val="3"/>
      </w:numPr>
    </w:pPr>
    <w:rPr>
      <w:color w:val="94B6D2" w:themeColor="accent1"/>
    </w:rPr>
  </w:style>
  <w:style w:type="paragraph" w:styleId="ListBullet3">
    <w:name w:val="List Bullet 3"/>
    <w:basedOn w:val="Normal"/>
    <w:uiPriority w:val="36"/>
    <w:semiHidden/>
    <w:qFormat/>
    <w:rsid w:val="005A5297"/>
    <w:pPr>
      <w:numPr>
        <w:numId w:val="4"/>
      </w:numPr>
    </w:pPr>
    <w:rPr>
      <w:color w:val="DD8047" w:themeColor="accent2"/>
    </w:rPr>
  </w:style>
  <w:style w:type="paragraph" w:styleId="ListBullet4">
    <w:name w:val="List Bullet 4"/>
    <w:basedOn w:val="Normal"/>
    <w:uiPriority w:val="36"/>
    <w:semiHidden/>
    <w:qFormat/>
    <w:rsid w:val="005A5297"/>
    <w:pPr>
      <w:numPr>
        <w:numId w:val="5"/>
      </w:numPr>
    </w:pPr>
    <w:rPr>
      <w:caps/>
      <w:spacing w:val="4"/>
    </w:rPr>
  </w:style>
  <w:style w:type="paragraph" w:styleId="ListBullet5">
    <w:name w:val="List Bullet 5"/>
    <w:basedOn w:val="Normal"/>
    <w:uiPriority w:val="36"/>
    <w:semiHidden/>
    <w:qFormat/>
    <w:rsid w:val="005A5297"/>
    <w:pPr>
      <w:numPr>
        <w:numId w:val="6"/>
      </w:numPr>
    </w:pPr>
  </w:style>
  <w:style w:type="paragraph" w:styleId="ListParagraph">
    <w:name w:val="List Paragraph"/>
    <w:aliases w:val="Premier,References,Liste couleur - Accent 11,Paragraphe de liste2,Liste couleur - Accent 111,Medium Grid 1 - Accent 21,Bullets,Paragraphe  revu,List Paragraph (numbered (a)),Numbered List Paragraph,Liste 1,List Bullet Mary"/>
    <w:basedOn w:val="Normal"/>
    <w:link w:val="ListParagraphChar"/>
    <w:uiPriority w:val="34"/>
    <w:qFormat/>
    <w:rsid w:val="005A5297"/>
    <w:pPr>
      <w:ind w:left="720"/>
      <w:contextualSpacing/>
    </w:pPr>
  </w:style>
  <w:style w:type="numbering" w:customStyle="1" w:styleId="Styledelistecentral">
    <w:name w:val="Style de liste central"/>
    <w:uiPriority w:val="99"/>
    <w:rsid w:val="005A5297"/>
    <w:pPr>
      <w:numPr>
        <w:numId w:val="1"/>
      </w:numPr>
    </w:pPr>
  </w:style>
  <w:style w:type="table" w:styleId="TableGrid">
    <w:name w:val="Table Grid"/>
    <w:basedOn w:val="TableNormal"/>
    <w:uiPriority w:val="59"/>
    <w:rsid w:val="00C50D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5A5297"/>
    <w:pPr>
      <w:ind w:left="220" w:hanging="220"/>
    </w:pPr>
  </w:style>
  <w:style w:type="paragraph" w:styleId="TOC1">
    <w:name w:val="toc 1"/>
    <w:basedOn w:val="Normal"/>
    <w:next w:val="Normal"/>
    <w:autoRedefine/>
    <w:uiPriority w:val="39"/>
    <w:rsid w:val="00A924DF"/>
    <w:pPr>
      <w:tabs>
        <w:tab w:val="right" w:leader="dot" w:pos="9072"/>
      </w:tabs>
      <w:spacing w:before="180" w:after="80"/>
    </w:pPr>
    <w:rPr>
      <w:b/>
      <w:bCs/>
      <w:caps/>
      <w:color w:val="775F55" w:themeColor="text2"/>
      <w:sz w:val="24"/>
      <w:szCs w:val="22"/>
    </w:rPr>
  </w:style>
  <w:style w:type="paragraph" w:styleId="TOC2">
    <w:name w:val="toc 2"/>
    <w:basedOn w:val="Normal"/>
    <w:next w:val="Normal"/>
    <w:autoRedefine/>
    <w:uiPriority w:val="39"/>
    <w:rsid w:val="00A924DF"/>
    <w:pPr>
      <w:tabs>
        <w:tab w:val="left" w:pos="511"/>
        <w:tab w:val="right" w:leader="dot" w:pos="9072"/>
      </w:tabs>
      <w:spacing w:after="40"/>
    </w:pPr>
    <w:rPr>
      <w:b/>
      <w:bCs/>
      <w:noProof/>
      <w:color w:val="548AB7" w:themeColor="accent1" w:themeShade="BF"/>
      <w:szCs w:val="22"/>
    </w:rPr>
  </w:style>
  <w:style w:type="paragraph" w:styleId="TOC3">
    <w:name w:val="toc 3"/>
    <w:basedOn w:val="Normal"/>
    <w:next w:val="Normal"/>
    <w:autoRedefine/>
    <w:uiPriority w:val="39"/>
    <w:qFormat/>
    <w:rsid w:val="00D45A89"/>
    <w:pPr>
      <w:tabs>
        <w:tab w:val="left" w:pos="639"/>
        <w:tab w:val="right" w:leader="dot" w:pos="8505"/>
      </w:tabs>
      <w:spacing w:after="40"/>
    </w:pPr>
    <w:rPr>
      <w:b/>
      <w:noProof/>
      <w:color w:val="DD8047" w:themeColor="accent2"/>
      <w:sz w:val="20"/>
      <w:szCs w:val="22"/>
    </w:rPr>
  </w:style>
  <w:style w:type="paragraph" w:styleId="TOC4">
    <w:name w:val="toc 4"/>
    <w:basedOn w:val="Normal"/>
    <w:next w:val="Normal"/>
    <w:autoRedefine/>
    <w:uiPriority w:val="39"/>
    <w:qFormat/>
    <w:rsid w:val="00D36020"/>
    <w:pPr>
      <w:tabs>
        <w:tab w:val="left" w:pos="736"/>
        <w:tab w:val="right" w:leader="dot" w:pos="8505"/>
      </w:tabs>
      <w:spacing w:after="40"/>
    </w:pPr>
    <w:rPr>
      <w:b/>
      <w:noProof/>
      <w:sz w:val="18"/>
      <w:szCs w:val="22"/>
    </w:rPr>
  </w:style>
  <w:style w:type="paragraph" w:styleId="TOC5">
    <w:name w:val="toc 5"/>
    <w:basedOn w:val="Normal"/>
    <w:next w:val="Normal"/>
    <w:autoRedefine/>
    <w:uiPriority w:val="99"/>
    <w:semiHidden/>
    <w:qFormat/>
    <w:rsid w:val="005A5297"/>
    <w:pPr>
      <w:spacing w:after="0"/>
    </w:pPr>
    <w:rPr>
      <w:szCs w:val="22"/>
    </w:rPr>
  </w:style>
  <w:style w:type="paragraph" w:styleId="TOC6">
    <w:name w:val="toc 6"/>
    <w:basedOn w:val="Normal"/>
    <w:next w:val="Normal"/>
    <w:autoRedefine/>
    <w:uiPriority w:val="99"/>
    <w:semiHidden/>
    <w:qFormat/>
    <w:rsid w:val="005A5297"/>
    <w:pPr>
      <w:spacing w:after="0"/>
    </w:pPr>
    <w:rPr>
      <w:szCs w:val="22"/>
    </w:rPr>
  </w:style>
  <w:style w:type="paragraph" w:styleId="TOC7">
    <w:name w:val="toc 7"/>
    <w:basedOn w:val="Normal"/>
    <w:next w:val="Normal"/>
    <w:autoRedefine/>
    <w:uiPriority w:val="99"/>
    <w:semiHidden/>
    <w:qFormat/>
    <w:rsid w:val="005A5297"/>
    <w:pPr>
      <w:spacing w:after="0"/>
    </w:pPr>
    <w:rPr>
      <w:szCs w:val="22"/>
    </w:rPr>
  </w:style>
  <w:style w:type="paragraph" w:styleId="TOC8">
    <w:name w:val="toc 8"/>
    <w:basedOn w:val="Normal"/>
    <w:next w:val="Normal"/>
    <w:autoRedefine/>
    <w:uiPriority w:val="99"/>
    <w:semiHidden/>
    <w:qFormat/>
    <w:rsid w:val="005A5297"/>
    <w:pPr>
      <w:spacing w:after="0"/>
    </w:pPr>
    <w:rPr>
      <w:szCs w:val="22"/>
    </w:rPr>
  </w:style>
  <w:style w:type="paragraph" w:styleId="TOC9">
    <w:name w:val="toc 9"/>
    <w:basedOn w:val="Normal"/>
    <w:next w:val="Normal"/>
    <w:autoRedefine/>
    <w:uiPriority w:val="99"/>
    <w:semiHidden/>
    <w:qFormat/>
    <w:rsid w:val="005A5297"/>
    <w:pPr>
      <w:spacing w:after="0"/>
    </w:pPr>
    <w:rPr>
      <w:szCs w:val="22"/>
    </w:rPr>
  </w:style>
  <w:style w:type="paragraph" w:customStyle="1" w:styleId="En-ttedepagepaire">
    <w:name w:val="En-tête de page paire"/>
    <w:basedOn w:val="Normal"/>
    <w:uiPriority w:val="39"/>
    <w:unhideWhenUsed/>
    <w:qFormat/>
    <w:rsid w:val="005A5297"/>
    <w:pPr>
      <w:pBdr>
        <w:bottom w:val="single" w:sz="4" w:space="1" w:color="94B6D2" w:themeColor="accent1"/>
      </w:pBdr>
      <w:spacing w:after="0"/>
    </w:pPr>
    <w:rPr>
      <w:b/>
      <w:bCs/>
      <w:color w:val="775F55" w:themeColor="text2"/>
      <w:sz w:val="20"/>
    </w:rPr>
  </w:style>
  <w:style w:type="paragraph" w:customStyle="1" w:styleId="Pieddepagepaire">
    <w:name w:val="Pied de page paire"/>
    <w:basedOn w:val="Normal"/>
    <w:uiPriority w:val="49"/>
    <w:unhideWhenUsed/>
    <w:rsid w:val="005A5297"/>
    <w:pPr>
      <w:pBdr>
        <w:top w:val="single" w:sz="4" w:space="1" w:color="94B6D2" w:themeColor="accent1"/>
      </w:pBdr>
    </w:pPr>
    <w:rPr>
      <w:color w:val="775F55" w:themeColor="text2"/>
      <w:sz w:val="20"/>
      <w:szCs w:val="20"/>
    </w:rPr>
  </w:style>
  <w:style w:type="paragraph" w:customStyle="1" w:styleId="En-ttedepageimpaire">
    <w:name w:val="En-tête de page impaire"/>
    <w:basedOn w:val="Normal"/>
    <w:uiPriority w:val="39"/>
    <w:unhideWhenUsed/>
    <w:qFormat/>
    <w:rsid w:val="005A5297"/>
    <w:pPr>
      <w:pBdr>
        <w:bottom w:val="single" w:sz="4" w:space="1" w:color="94B6D2" w:themeColor="accent1"/>
      </w:pBdr>
      <w:spacing w:after="0"/>
      <w:jc w:val="right"/>
    </w:pPr>
    <w:rPr>
      <w:b/>
      <w:bCs/>
      <w:color w:val="775F55" w:themeColor="text2"/>
      <w:sz w:val="20"/>
    </w:rPr>
  </w:style>
  <w:style w:type="paragraph" w:customStyle="1" w:styleId="Pieddepageimpaire">
    <w:name w:val="Pied de page impaire"/>
    <w:basedOn w:val="Normal"/>
    <w:uiPriority w:val="39"/>
    <w:unhideWhenUsed/>
    <w:qFormat/>
    <w:rsid w:val="005A5297"/>
    <w:pPr>
      <w:pBdr>
        <w:top w:val="single" w:sz="4" w:space="1" w:color="94B6D2" w:themeColor="accent1"/>
      </w:pBdr>
      <w:jc w:val="right"/>
    </w:pPr>
    <w:rPr>
      <w:color w:val="775F55" w:themeColor="text2"/>
      <w:sz w:val="20"/>
      <w:szCs w:val="20"/>
    </w:rPr>
  </w:style>
  <w:style w:type="character" w:styleId="PlaceholderText">
    <w:name w:val="Placeholder Text"/>
    <w:basedOn w:val="DefaultParagraphFont"/>
    <w:uiPriority w:val="99"/>
    <w:semiHidden/>
    <w:rsid w:val="005A5297"/>
    <w:rPr>
      <w:color w:val="808080"/>
    </w:rPr>
  </w:style>
  <w:style w:type="paragraph" w:styleId="BodyText">
    <w:name w:val="Body Text"/>
    <w:basedOn w:val="Normal"/>
    <w:link w:val="BodyTextChar"/>
    <w:uiPriority w:val="99"/>
    <w:rsid w:val="006D3D73"/>
  </w:style>
  <w:style w:type="character" w:customStyle="1" w:styleId="BodyTextChar">
    <w:name w:val="Body Text Char"/>
    <w:basedOn w:val="DefaultParagraphFont"/>
    <w:link w:val="BodyText"/>
    <w:uiPriority w:val="99"/>
    <w:rsid w:val="006D3D73"/>
    <w:rPr>
      <w:rFonts w:ascii="Calibri" w:eastAsiaTheme="minorEastAsia" w:hAnsi="Calibri"/>
      <w:szCs w:val="23"/>
      <w:lang w:val="fr-FR"/>
    </w:rPr>
  </w:style>
  <w:style w:type="paragraph" w:customStyle="1" w:styleId="Paragrapheliste1TEREA">
    <w:name w:val="Paragraphe liste1 TEREA"/>
    <w:basedOn w:val="Normal"/>
    <w:qFormat/>
    <w:rsid w:val="00851418"/>
    <w:pPr>
      <w:numPr>
        <w:numId w:val="7"/>
      </w:numPr>
      <w:tabs>
        <w:tab w:val="left" w:pos="567"/>
      </w:tabs>
      <w:spacing w:before="240" w:after="240"/>
      <w:ind w:left="1135" w:hanging="284"/>
      <w:contextualSpacing/>
    </w:pPr>
    <w:rPr>
      <w:rFonts w:eastAsiaTheme="minorHAnsi"/>
      <w:szCs w:val="22"/>
    </w:rPr>
  </w:style>
  <w:style w:type="paragraph" w:styleId="TOCHeading">
    <w:name w:val="TOC Heading"/>
    <w:basedOn w:val="Heading1"/>
    <w:next w:val="Normal"/>
    <w:uiPriority w:val="39"/>
    <w:unhideWhenUsed/>
    <w:qFormat/>
    <w:rsid w:val="00256993"/>
    <w:pPr>
      <w:keepNext/>
      <w:keepLines/>
      <w:pageBreakBefore w:val="0"/>
      <w:spacing w:before="480" w:after="240" w:line="276" w:lineRule="auto"/>
      <w:ind w:left="0" w:firstLine="0"/>
      <w:outlineLvl w:val="9"/>
    </w:pPr>
    <w:rPr>
      <w:bCs/>
      <w:color w:val="548AB7" w:themeColor="accent1" w:themeShade="BF"/>
      <w:szCs w:val="28"/>
    </w:rPr>
  </w:style>
  <w:style w:type="character" w:styleId="PageNumber">
    <w:name w:val="page number"/>
    <w:basedOn w:val="DefaultParagraphFont"/>
    <w:uiPriority w:val="99"/>
    <w:semiHidden/>
    <w:rsid w:val="008928F9"/>
    <w:rPr>
      <w:rFonts w:eastAsiaTheme="minorEastAsia" w:cstheme="minorBidi"/>
      <w:bCs w:val="0"/>
      <w:iCs w:val="0"/>
      <w:szCs w:val="22"/>
      <w:lang w:val="fr-FR"/>
    </w:rPr>
  </w:style>
  <w:style w:type="paragraph" w:styleId="TableofFigures">
    <w:name w:val="table of figures"/>
    <w:basedOn w:val="Normal"/>
    <w:next w:val="Normal"/>
    <w:uiPriority w:val="99"/>
    <w:unhideWhenUsed/>
    <w:rsid w:val="002502D8"/>
    <w:pPr>
      <w:spacing w:after="0"/>
    </w:pPr>
  </w:style>
  <w:style w:type="table" w:styleId="MediumGrid3-Accent4">
    <w:name w:val="Medium Grid 3 Accent 4"/>
    <w:basedOn w:val="TableNormal"/>
    <w:uiPriority w:val="44"/>
    <w:rsid w:val="00E9308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ColorfulShading-Accent1">
    <w:name w:val="Colorful Shading Accent 1"/>
    <w:basedOn w:val="TableNormal"/>
    <w:uiPriority w:val="41"/>
    <w:rsid w:val="00E9308A"/>
    <w:pPr>
      <w:spacing w:after="0" w:line="240" w:lineRule="auto"/>
    </w:pPr>
    <w:rPr>
      <w:color w:val="000000" w:themeColor="text1"/>
    </w:rPr>
    <w:tblPr>
      <w:tblStyleRowBandSize w:val="1"/>
      <w:tblStyleColBandSize w:val="1"/>
      <w:tblInd w:w="0" w:type="dxa"/>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DarkList-Accent1">
    <w:name w:val="Dark List Accent 1"/>
    <w:basedOn w:val="TableNormal"/>
    <w:uiPriority w:val="41"/>
    <w:rsid w:val="00E9308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customStyle="1" w:styleId="Grillemoyenne21">
    <w:name w:val="Grille moyenne 21"/>
    <w:basedOn w:val="TableNormal"/>
    <w:uiPriority w:val="40"/>
    <w:rsid w:val="00523DF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claire1">
    <w:name w:val="Grille claire1"/>
    <w:basedOn w:val="TableNormal"/>
    <w:uiPriority w:val="40"/>
    <w:rsid w:val="00523D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ouleur1">
    <w:name w:val="Grille couleur1"/>
    <w:basedOn w:val="TableNormal"/>
    <w:uiPriority w:val="40"/>
    <w:rsid w:val="00523DF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Shading2-Accent6">
    <w:name w:val="Medium Shading 2 Accent 6"/>
    <w:basedOn w:val="TableNormal"/>
    <w:uiPriority w:val="46"/>
    <w:rsid w:val="00523DF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43"/>
    <w:rsid w:val="00523DF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customStyle="1" w:styleId="Listeclaire-Accent11">
    <w:name w:val="Liste claire - Accent 11"/>
    <w:basedOn w:val="TableNormal"/>
    <w:uiPriority w:val="41"/>
    <w:rsid w:val="00EC0204"/>
    <w:pPr>
      <w:spacing w:after="0" w:line="240" w:lineRule="auto"/>
    </w:pPr>
    <w:tblPr>
      <w:tblStyleRowBandSize w:val="1"/>
      <w:tblStyleColBandSize w:val="1"/>
      <w:tblInd w:w="0" w:type="dxa"/>
      <w:tblBorders>
        <w:top w:val="single" w:sz="8" w:space="0" w:color="94B6D2" w:themeColor="accent1"/>
        <w:left w:val="single" w:sz="8" w:space="0" w:color="94B6D2" w:themeColor="accent1"/>
        <w:bottom w:val="single" w:sz="8" w:space="0" w:color="94B6D2" w:themeColor="accent1"/>
        <w:right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character" w:customStyle="1" w:styleId="CaptionChar1">
    <w:name w:val="Caption Char1"/>
    <w:aliases w:val="LEGENDE Char,Map Char,figura Char,Table/Figure Heading Char,Caption- Figure Char,Caption- Figure1 Char,Caption- Figure2 Char,AGT ESIA Char,Figure Headings Char,Annexe Char,Caption Char Char,Caption Char Char Char Char Char,Table Char"/>
    <w:basedOn w:val="DefaultParagraphFont"/>
    <w:link w:val="Caption"/>
    <w:uiPriority w:val="35"/>
    <w:rsid w:val="00187D3C"/>
    <w:rPr>
      <w:rFonts w:eastAsia="Times New Roman" w:cs="Times New Roman"/>
      <w:b/>
      <w:bCs/>
      <w:sz w:val="18"/>
      <w:szCs w:val="16"/>
      <w:lang w:val="fr-FR" w:eastAsia="fr-FR"/>
    </w:rPr>
  </w:style>
  <w:style w:type="paragraph" w:styleId="Index1">
    <w:name w:val="index 1"/>
    <w:basedOn w:val="Normal"/>
    <w:next w:val="Normal"/>
    <w:autoRedefine/>
    <w:uiPriority w:val="99"/>
    <w:semiHidden/>
    <w:rsid w:val="009525A7"/>
    <w:pPr>
      <w:spacing w:after="0"/>
      <w:ind w:left="220" w:hanging="220"/>
      <w:jc w:val="left"/>
    </w:pPr>
    <w:rPr>
      <w:sz w:val="18"/>
      <w:szCs w:val="18"/>
    </w:rPr>
  </w:style>
  <w:style w:type="paragraph" w:styleId="Index2">
    <w:name w:val="index 2"/>
    <w:basedOn w:val="Normal"/>
    <w:next w:val="Normal"/>
    <w:autoRedefine/>
    <w:uiPriority w:val="99"/>
    <w:semiHidden/>
    <w:rsid w:val="00ED59BE"/>
    <w:pPr>
      <w:spacing w:after="0"/>
      <w:ind w:left="440" w:hanging="220"/>
      <w:jc w:val="left"/>
    </w:pPr>
    <w:rPr>
      <w:sz w:val="18"/>
      <w:szCs w:val="18"/>
    </w:rPr>
  </w:style>
  <w:style w:type="paragraph" w:styleId="Index3">
    <w:name w:val="index 3"/>
    <w:basedOn w:val="Normal"/>
    <w:next w:val="Normal"/>
    <w:autoRedefine/>
    <w:uiPriority w:val="99"/>
    <w:semiHidden/>
    <w:rsid w:val="00ED59BE"/>
    <w:pPr>
      <w:spacing w:after="0"/>
      <w:ind w:left="660" w:hanging="220"/>
      <w:jc w:val="left"/>
    </w:pPr>
    <w:rPr>
      <w:sz w:val="18"/>
      <w:szCs w:val="18"/>
    </w:rPr>
  </w:style>
  <w:style w:type="paragraph" w:styleId="Index4">
    <w:name w:val="index 4"/>
    <w:basedOn w:val="Normal"/>
    <w:next w:val="Normal"/>
    <w:autoRedefine/>
    <w:uiPriority w:val="99"/>
    <w:semiHidden/>
    <w:rsid w:val="00ED59BE"/>
    <w:pPr>
      <w:spacing w:after="0"/>
      <w:ind w:left="880" w:hanging="220"/>
      <w:jc w:val="left"/>
    </w:pPr>
    <w:rPr>
      <w:sz w:val="18"/>
      <w:szCs w:val="18"/>
    </w:rPr>
  </w:style>
  <w:style w:type="paragraph" w:styleId="Index5">
    <w:name w:val="index 5"/>
    <w:basedOn w:val="Normal"/>
    <w:next w:val="Normal"/>
    <w:autoRedefine/>
    <w:uiPriority w:val="99"/>
    <w:semiHidden/>
    <w:rsid w:val="00ED59BE"/>
    <w:pPr>
      <w:spacing w:after="0"/>
      <w:ind w:left="1100" w:hanging="220"/>
      <w:jc w:val="left"/>
    </w:pPr>
    <w:rPr>
      <w:sz w:val="18"/>
      <w:szCs w:val="18"/>
    </w:rPr>
  </w:style>
  <w:style w:type="paragraph" w:styleId="Index6">
    <w:name w:val="index 6"/>
    <w:basedOn w:val="Normal"/>
    <w:next w:val="Normal"/>
    <w:autoRedefine/>
    <w:uiPriority w:val="99"/>
    <w:semiHidden/>
    <w:rsid w:val="00ED59BE"/>
    <w:pPr>
      <w:spacing w:after="0"/>
      <w:ind w:left="1320" w:hanging="220"/>
      <w:jc w:val="left"/>
    </w:pPr>
    <w:rPr>
      <w:sz w:val="18"/>
      <w:szCs w:val="18"/>
    </w:rPr>
  </w:style>
  <w:style w:type="paragraph" w:styleId="Index7">
    <w:name w:val="index 7"/>
    <w:basedOn w:val="Normal"/>
    <w:next w:val="Normal"/>
    <w:autoRedefine/>
    <w:uiPriority w:val="99"/>
    <w:semiHidden/>
    <w:rsid w:val="00ED59BE"/>
    <w:pPr>
      <w:spacing w:after="0"/>
      <w:ind w:left="1540" w:hanging="220"/>
      <w:jc w:val="left"/>
    </w:pPr>
    <w:rPr>
      <w:sz w:val="18"/>
      <w:szCs w:val="18"/>
    </w:rPr>
  </w:style>
  <w:style w:type="paragraph" w:styleId="Index8">
    <w:name w:val="index 8"/>
    <w:basedOn w:val="Normal"/>
    <w:next w:val="Normal"/>
    <w:autoRedefine/>
    <w:uiPriority w:val="99"/>
    <w:semiHidden/>
    <w:rsid w:val="00ED59BE"/>
    <w:pPr>
      <w:spacing w:after="0"/>
      <w:ind w:left="1760" w:hanging="220"/>
      <w:jc w:val="left"/>
    </w:pPr>
    <w:rPr>
      <w:sz w:val="18"/>
      <w:szCs w:val="18"/>
    </w:rPr>
  </w:style>
  <w:style w:type="paragraph" w:styleId="Index9">
    <w:name w:val="index 9"/>
    <w:basedOn w:val="Normal"/>
    <w:next w:val="Normal"/>
    <w:autoRedefine/>
    <w:uiPriority w:val="99"/>
    <w:semiHidden/>
    <w:rsid w:val="00ED59BE"/>
    <w:pPr>
      <w:spacing w:after="0"/>
      <w:ind w:left="1980" w:hanging="220"/>
      <w:jc w:val="left"/>
    </w:pPr>
    <w:rPr>
      <w:sz w:val="18"/>
      <w:szCs w:val="18"/>
    </w:rPr>
  </w:style>
  <w:style w:type="paragraph" w:styleId="IndexHeading">
    <w:name w:val="index heading"/>
    <w:basedOn w:val="Normal"/>
    <w:next w:val="Index1"/>
    <w:uiPriority w:val="99"/>
    <w:semiHidden/>
    <w:rsid w:val="00ED59BE"/>
    <w:pPr>
      <w:pBdr>
        <w:top w:val="single" w:sz="12" w:space="0" w:color="auto"/>
      </w:pBdr>
      <w:spacing w:before="360" w:after="240"/>
      <w:jc w:val="left"/>
    </w:pPr>
    <w:rPr>
      <w:b/>
      <w:bCs/>
      <w:i/>
      <w:iCs/>
      <w:sz w:val="26"/>
      <w:szCs w:val="26"/>
    </w:rPr>
  </w:style>
  <w:style w:type="paragraph" w:customStyle="1" w:styleId="ANNEXE">
    <w:name w:val="ANNEXE"/>
    <w:basedOn w:val="Normal"/>
    <w:qFormat/>
    <w:rsid w:val="009A16B2"/>
    <w:pPr>
      <w:keepNext/>
      <w:pageBreakBefore/>
      <w:widowControl w:val="0"/>
      <w:spacing w:before="6000" w:after="6000" w:line="360" w:lineRule="auto"/>
      <w:jc w:val="center"/>
    </w:pPr>
    <w:rPr>
      <w:b/>
      <w:color w:val="775F55" w:themeColor="text2"/>
      <w:sz w:val="52"/>
      <w:szCs w:val="40"/>
      <w:u w:val="single"/>
    </w:rPr>
  </w:style>
  <w:style w:type="table" w:styleId="ColorfulGrid-Accent1">
    <w:name w:val="Colorful Grid Accent 1"/>
    <w:basedOn w:val="TableNormal"/>
    <w:uiPriority w:val="41"/>
    <w:rsid w:val="008C58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character" w:customStyle="1" w:styleId="LgendeCar1">
    <w:name w:val="Légende Car1"/>
    <w:aliases w:val="Légende Car Car,Map Car,figura Car,Table/Figure Heading Car,Caption- Figure Car,Caption- Figure1 Car,Caption- Figure2 Car,AGT ESIA Car,Figure Headings Car,Annexe Car,Caption Char Car,Caption Char Char Char Char Car,Table Car,headings Car"/>
    <w:uiPriority w:val="35"/>
    <w:locked/>
    <w:rsid w:val="00A56440"/>
    <w:rPr>
      <w:rFonts w:ascii="Calibri" w:hAnsi="Calibri"/>
      <w:b/>
      <w:bCs/>
      <w:sz w:val="20"/>
      <w:szCs w:val="16"/>
      <w:lang w:val="fr-FR"/>
    </w:rPr>
  </w:style>
  <w:style w:type="character" w:styleId="FollowedHyperlink">
    <w:name w:val="FollowedHyperlink"/>
    <w:basedOn w:val="DefaultParagraphFont"/>
    <w:uiPriority w:val="99"/>
    <w:semiHidden/>
    <w:unhideWhenUsed/>
    <w:rsid w:val="004231FE"/>
    <w:rPr>
      <w:color w:val="704404" w:themeColor="followedHyperlink"/>
      <w:u w:val="single"/>
    </w:rPr>
  </w:style>
  <w:style w:type="paragraph" w:styleId="FootnoteText">
    <w:name w:val="footnote text"/>
    <w:aliases w:val="Fußnotentextf,Geneva 9,Font: Geneva 9,Boston 10,f,ft,Footnote,E Fußn,-E Fußnotentext,Fußnotentext Ursprung,Char,Fußnote,foot note text,Footnote Text Char2,Footnote Text Char1 Char,Footnote Text Char Char Char"/>
    <w:basedOn w:val="Normal"/>
    <w:link w:val="FootnoteTextChar"/>
    <w:uiPriority w:val="99"/>
    <w:unhideWhenUsed/>
    <w:rsid w:val="002B6CF8"/>
    <w:pPr>
      <w:spacing w:after="0"/>
    </w:pPr>
    <w:rPr>
      <w:sz w:val="20"/>
      <w:szCs w:val="20"/>
    </w:rPr>
  </w:style>
  <w:style w:type="character" w:customStyle="1" w:styleId="FootnoteTextChar">
    <w:name w:val="Footnote Text Char"/>
    <w:aliases w:val="Fußnotentextf Char,Geneva 9 Char,Font: Geneva 9 Char,Boston 10 Char,f Char,ft Char,Footnote Char,E Fußn Char,-E Fußnotentext Char,Fußnotentext Ursprung Char,Char Char,Fußnote Char,foot note text Char,Footnote Text Char2 Char"/>
    <w:basedOn w:val="DefaultParagraphFont"/>
    <w:link w:val="FootnoteText"/>
    <w:uiPriority w:val="99"/>
    <w:rsid w:val="002B6CF8"/>
    <w:rPr>
      <w:rFonts w:ascii="Tw Cen MT" w:eastAsiaTheme="minorEastAsia" w:hAnsi="Tw Cen MT"/>
      <w:sz w:val="20"/>
      <w:szCs w:val="20"/>
      <w:lang w:val="fr-FR"/>
    </w:rPr>
  </w:style>
  <w:style w:type="character" w:styleId="FootnoteReference">
    <w:name w:val="footnote reference"/>
    <w:aliases w:val="ftref,16 Point,Superscript 6 Point,Error-Fußnotenzeichen5,Error-Fußnotenzeichen6,Error-Fußnotenzeichen3,BVI fnr,BVI fnr Car Car,BVI fnr Car,BVI fnr Car Car Car Car,Superscript 6 Point + 11 pt"/>
    <w:basedOn w:val="DefaultParagraphFont"/>
    <w:uiPriority w:val="99"/>
    <w:unhideWhenUsed/>
    <w:rsid w:val="002B6CF8"/>
    <w:rPr>
      <w:vertAlign w:val="superscript"/>
    </w:rPr>
  </w:style>
  <w:style w:type="paragraph" w:customStyle="1" w:styleId="Paragraphedeliste1">
    <w:name w:val="Paragraphe de liste1"/>
    <w:basedOn w:val="Normal"/>
    <w:rsid w:val="00C27009"/>
    <w:pPr>
      <w:spacing w:after="200" w:line="276" w:lineRule="auto"/>
      <w:ind w:left="720"/>
      <w:contextualSpacing/>
      <w:jc w:val="left"/>
    </w:pPr>
    <w:rPr>
      <w:rFonts w:ascii="Calibri" w:hAnsi="Calibri" w:cs="Calibri"/>
      <w:szCs w:val="22"/>
    </w:rPr>
  </w:style>
  <w:style w:type="paragraph" w:styleId="BodyText3">
    <w:name w:val="Body Text 3"/>
    <w:basedOn w:val="Normal"/>
    <w:link w:val="BodyText3Char"/>
    <w:uiPriority w:val="99"/>
    <w:semiHidden/>
    <w:unhideWhenUsed/>
    <w:rsid w:val="00C13841"/>
    <w:rPr>
      <w:sz w:val="16"/>
      <w:szCs w:val="16"/>
    </w:rPr>
  </w:style>
  <w:style w:type="character" w:customStyle="1" w:styleId="BodyText3Char">
    <w:name w:val="Body Text 3 Char"/>
    <w:basedOn w:val="DefaultParagraphFont"/>
    <w:link w:val="BodyText3"/>
    <w:uiPriority w:val="99"/>
    <w:semiHidden/>
    <w:rsid w:val="00C13841"/>
    <w:rPr>
      <w:rFonts w:ascii="Tw Cen MT" w:eastAsiaTheme="minorEastAsia" w:hAnsi="Tw Cen MT"/>
      <w:sz w:val="16"/>
      <w:szCs w:val="16"/>
      <w:lang w:val="fr-FR"/>
    </w:rPr>
  </w:style>
  <w:style w:type="paragraph" w:customStyle="1" w:styleId="FicheRefTitreRubrique">
    <w:name w:val="FicheRefTitreRubrique"/>
    <w:basedOn w:val="Normal"/>
    <w:link w:val="FicheRefTitreRubriqueCar"/>
    <w:rsid w:val="00C13841"/>
    <w:pPr>
      <w:widowControl w:val="0"/>
      <w:adjustRightInd w:val="0"/>
      <w:spacing w:beforeLines="40" w:after="0"/>
      <w:jc w:val="left"/>
      <w:textAlignment w:val="baseline"/>
    </w:pPr>
    <w:rPr>
      <w:rFonts w:ascii="Arial" w:hAnsi="Arial" w:cs="Arial"/>
      <w:b/>
      <w:bCs/>
      <w:sz w:val="18"/>
      <w:szCs w:val="18"/>
    </w:rPr>
  </w:style>
  <w:style w:type="character" w:customStyle="1" w:styleId="FicheRefDonneGAUCHE">
    <w:name w:val="FicheRefDonnéeGAUCHE"/>
    <w:rsid w:val="00C13841"/>
    <w:rPr>
      <w:rFonts w:ascii="Arial" w:hAnsi="Arial" w:cs="Arial"/>
      <w:sz w:val="18"/>
      <w:szCs w:val="18"/>
      <w:lang w:val="fr-FR" w:eastAsia="fr-FR"/>
    </w:rPr>
  </w:style>
  <w:style w:type="paragraph" w:customStyle="1" w:styleId="FicheRefDonne">
    <w:name w:val="FicheRefDonnée"/>
    <w:basedOn w:val="Normal"/>
    <w:link w:val="FicheRefDonneCar"/>
    <w:rsid w:val="00C13841"/>
    <w:pPr>
      <w:widowControl w:val="0"/>
      <w:adjustRightInd w:val="0"/>
      <w:spacing w:after="0"/>
      <w:jc w:val="left"/>
      <w:textAlignment w:val="baseline"/>
    </w:pPr>
    <w:rPr>
      <w:rFonts w:ascii="Arial" w:hAnsi="Arial" w:cs="Arial"/>
      <w:sz w:val="20"/>
      <w:szCs w:val="20"/>
    </w:rPr>
  </w:style>
  <w:style w:type="character" w:customStyle="1" w:styleId="FicheRefTitreRubriqueCar">
    <w:name w:val="FicheRefTitreRubrique Car"/>
    <w:link w:val="FicheRefTitreRubrique"/>
    <w:locked/>
    <w:rsid w:val="00C13841"/>
    <w:rPr>
      <w:rFonts w:ascii="Arial" w:eastAsia="Times New Roman" w:hAnsi="Arial" w:cs="Arial"/>
      <w:b/>
      <w:bCs/>
      <w:sz w:val="18"/>
      <w:szCs w:val="18"/>
      <w:lang w:val="fr-FR"/>
    </w:rPr>
  </w:style>
  <w:style w:type="character" w:customStyle="1" w:styleId="FicheRefDonneCar">
    <w:name w:val="FicheRefDonnée Car"/>
    <w:link w:val="FicheRefDonne"/>
    <w:locked/>
    <w:rsid w:val="00C13841"/>
    <w:rPr>
      <w:rFonts w:ascii="Arial" w:eastAsia="Times New Roman" w:hAnsi="Arial" w:cs="Arial"/>
      <w:sz w:val="20"/>
      <w:szCs w:val="20"/>
      <w:lang w:val="fr-FR"/>
    </w:rPr>
  </w:style>
  <w:style w:type="paragraph" w:customStyle="1" w:styleId="tITREREF">
    <w:name w:val="tITRE REF"/>
    <w:basedOn w:val="Normal"/>
    <w:rsid w:val="00C13841"/>
    <w:pPr>
      <w:keepNext/>
      <w:keepLines/>
      <w:widowControl w:val="0"/>
      <w:adjustRightInd w:val="0"/>
      <w:spacing w:after="0"/>
      <w:jc w:val="left"/>
      <w:textAlignment w:val="baseline"/>
    </w:pPr>
    <w:rPr>
      <w:rFonts w:ascii="Arial Black" w:hAnsi="Arial Black" w:cs="Arial Black"/>
      <w:sz w:val="18"/>
      <w:szCs w:val="18"/>
    </w:rPr>
  </w:style>
  <w:style w:type="paragraph" w:customStyle="1" w:styleId="PAYSREF">
    <w:name w:val="PAYSREF"/>
    <w:basedOn w:val="Normal"/>
    <w:rsid w:val="00C13841"/>
    <w:pPr>
      <w:widowControl w:val="0"/>
      <w:adjustRightInd w:val="0"/>
      <w:spacing w:beforeLines="40" w:after="0"/>
      <w:jc w:val="center"/>
      <w:textAlignment w:val="baseline"/>
    </w:pPr>
    <w:rPr>
      <w:rFonts w:ascii="Arial Black" w:hAnsi="Arial Black" w:cs="Arial Black"/>
      <w:caps/>
      <w:sz w:val="18"/>
      <w:szCs w:val="18"/>
    </w:rPr>
  </w:style>
  <w:style w:type="character" w:styleId="CommentReference">
    <w:name w:val="annotation reference"/>
    <w:basedOn w:val="DefaultParagraphFont"/>
    <w:uiPriority w:val="99"/>
    <w:semiHidden/>
    <w:unhideWhenUsed/>
    <w:rsid w:val="00E31A16"/>
    <w:rPr>
      <w:sz w:val="16"/>
      <w:szCs w:val="16"/>
    </w:rPr>
  </w:style>
  <w:style w:type="paragraph" w:styleId="CommentText">
    <w:name w:val="annotation text"/>
    <w:basedOn w:val="Normal"/>
    <w:link w:val="CommentTextChar"/>
    <w:uiPriority w:val="99"/>
    <w:unhideWhenUsed/>
    <w:rsid w:val="00E31A16"/>
    <w:rPr>
      <w:sz w:val="20"/>
      <w:szCs w:val="20"/>
    </w:rPr>
  </w:style>
  <w:style w:type="character" w:customStyle="1" w:styleId="CommentTextChar">
    <w:name w:val="Comment Text Char"/>
    <w:basedOn w:val="DefaultParagraphFont"/>
    <w:link w:val="CommentText"/>
    <w:uiPriority w:val="99"/>
    <w:rsid w:val="00E31A16"/>
    <w:rPr>
      <w:rFonts w:ascii="Tw Cen MT" w:eastAsiaTheme="minorEastAsia" w:hAnsi="Tw Cen MT"/>
      <w:sz w:val="20"/>
      <w:szCs w:val="20"/>
      <w:lang w:val="fr-FR"/>
    </w:rPr>
  </w:style>
  <w:style w:type="paragraph" w:styleId="CommentSubject">
    <w:name w:val="annotation subject"/>
    <w:basedOn w:val="CommentText"/>
    <w:next w:val="CommentText"/>
    <w:link w:val="CommentSubjectChar"/>
    <w:uiPriority w:val="99"/>
    <w:semiHidden/>
    <w:unhideWhenUsed/>
    <w:rsid w:val="00E31A16"/>
    <w:rPr>
      <w:b/>
      <w:bCs/>
    </w:rPr>
  </w:style>
  <w:style w:type="character" w:customStyle="1" w:styleId="CommentSubjectChar">
    <w:name w:val="Comment Subject Char"/>
    <w:basedOn w:val="CommentTextChar"/>
    <w:link w:val="CommentSubject"/>
    <w:uiPriority w:val="99"/>
    <w:semiHidden/>
    <w:rsid w:val="00E31A16"/>
    <w:rPr>
      <w:rFonts w:ascii="Tw Cen MT" w:eastAsiaTheme="minorEastAsia" w:hAnsi="Tw Cen MT"/>
      <w:b/>
      <w:bCs/>
      <w:sz w:val="20"/>
      <w:szCs w:val="20"/>
      <w:lang w:val="fr-FR"/>
    </w:rPr>
  </w:style>
  <w:style w:type="character" w:customStyle="1" w:styleId="ListParagraphChar">
    <w:name w:val="List Paragraph Char"/>
    <w:aliases w:val="Premier Char,References Char,Liste couleur - Accent 11 Char1,Paragraphe de liste2 Char1,Liste couleur - Accent 111 Char1,Medium Grid 1 - Accent 21 Char1,Bullets Char,Paragraphe  revu Char,List Paragraph (numbered (a)) Char"/>
    <w:link w:val="ListParagraph"/>
    <w:uiPriority w:val="34"/>
    <w:locked/>
    <w:rsid w:val="00B5744C"/>
    <w:rPr>
      <w:rFonts w:ascii="Tw Cen MT" w:eastAsiaTheme="minorEastAsia" w:hAnsi="Tw Cen MT"/>
      <w:szCs w:val="23"/>
      <w:lang w:val="fr-FR"/>
    </w:rPr>
  </w:style>
  <w:style w:type="table" w:styleId="ColorfulGrid-Accent2">
    <w:name w:val="Colorful Grid Accent 2"/>
    <w:basedOn w:val="TableNormal"/>
    <w:uiPriority w:val="42"/>
    <w:rsid w:val="003F052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paragraph" w:customStyle="1" w:styleId="Normal1">
    <w:name w:val="Normal1"/>
    <w:basedOn w:val="Normal"/>
    <w:rsid w:val="00A21914"/>
    <w:pPr>
      <w:spacing w:after="0"/>
    </w:pPr>
    <w:rPr>
      <w:rFonts w:ascii="Times New Roman" w:hAnsi="Times New Roman"/>
      <w:sz w:val="24"/>
      <w:szCs w:val="20"/>
    </w:rPr>
  </w:style>
  <w:style w:type="paragraph" w:customStyle="1" w:styleId="xl65">
    <w:name w:val="xl65"/>
    <w:basedOn w:val="Normal"/>
    <w:rsid w:val="000F0BA7"/>
    <w:pPr>
      <w:spacing w:before="100" w:beforeAutospacing="1" w:after="100" w:afterAutospacing="1"/>
      <w:jc w:val="left"/>
    </w:pPr>
    <w:rPr>
      <w:rFonts w:ascii="Times New Roman" w:hAnsi="Times New Roman"/>
      <w:sz w:val="20"/>
      <w:szCs w:val="20"/>
    </w:rPr>
  </w:style>
  <w:style w:type="paragraph" w:customStyle="1" w:styleId="xl66">
    <w:name w:val="xl66"/>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7">
    <w:name w:val="xl67"/>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8">
    <w:name w:val="xl68"/>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szCs w:val="20"/>
    </w:rPr>
  </w:style>
  <w:style w:type="paragraph" w:customStyle="1" w:styleId="xl69">
    <w:name w:val="xl69"/>
    <w:basedOn w:val="Normal"/>
    <w:rsid w:val="000F0BA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ahoma" w:hAnsi="Tahoma" w:cs="Tahoma"/>
      <w:color w:val="FFFFFF"/>
      <w:sz w:val="20"/>
      <w:szCs w:val="20"/>
    </w:rPr>
  </w:style>
  <w:style w:type="paragraph" w:customStyle="1" w:styleId="xl70">
    <w:name w:val="xl70"/>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1">
    <w:name w:val="xl71"/>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normaltableau">
    <w:name w:val="normal_tableau"/>
    <w:basedOn w:val="Normal"/>
    <w:uiPriority w:val="99"/>
    <w:rsid w:val="005A44D9"/>
    <w:pPr>
      <w:spacing w:before="120"/>
    </w:pPr>
    <w:rPr>
      <w:rFonts w:ascii="Optima" w:hAnsi="Optima"/>
      <w:szCs w:val="20"/>
      <w:lang w:val="en-GB" w:eastAsia="en-GB"/>
    </w:rPr>
  </w:style>
  <w:style w:type="table" w:styleId="LightList-Accent3">
    <w:name w:val="Light List Accent 3"/>
    <w:basedOn w:val="TableNormal"/>
    <w:uiPriority w:val="61"/>
    <w:rsid w:val="006D777C"/>
    <w:pPr>
      <w:spacing w:after="0" w:line="240" w:lineRule="auto"/>
    </w:pPr>
    <w:rPr>
      <w:lang w:val="fr-FR"/>
    </w:rPr>
    <w:tblPr>
      <w:tblStyleRowBandSize w:val="1"/>
      <w:tblStyleColBandSize w:val="1"/>
      <w:tblInd w:w="0" w:type="dxa"/>
      <w:tblBorders>
        <w:top w:val="single" w:sz="8" w:space="0" w:color="A5AB81" w:themeColor="accent3"/>
        <w:left w:val="single" w:sz="8" w:space="0" w:color="A5AB81" w:themeColor="accent3"/>
        <w:bottom w:val="single" w:sz="8" w:space="0" w:color="A5AB81" w:themeColor="accent3"/>
        <w:right w:val="single" w:sz="8" w:space="0" w:color="A5AB8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paragraph" w:customStyle="1" w:styleId="Style3">
    <w:name w:val="Style3"/>
    <w:basedOn w:val="Paragraphedeliste1"/>
    <w:next w:val="Heading4"/>
    <w:uiPriority w:val="99"/>
    <w:rsid w:val="006D777C"/>
    <w:pPr>
      <w:numPr>
        <w:ilvl w:val="3"/>
        <w:numId w:val="8"/>
      </w:numPr>
    </w:pPr>
    <w:rPr>
      <w:rFonts w:ascii="Tahoma" w:hAnsi="Tahoma" w:cs="Tahoma"/>
      <w:i/>
      <w:sz w:val="28"/>
      <w:szCs w:val="28"/>
      <w:u w:val="single"/>
      <w:lang w:val="en-US"/>
    </w:rPr>
  </w:style>
  <w:style w:type="paragraph" w:customStyle="1" w:styleId="Standard">
    <w:name w:val="Standard"/>
    <w:basedOn w:val="Normal"/>
    <w:next w:val="Normal"/>
    <w:uiPriority w:val="99"/>
    <w:rsid w:val="006D777C"/>
    <w:pPr>
      <w:autoSpaceDE w:val="0"/>
      <w:autoSpaceDN w:val="0"/>
      <w:adjustRightInd w:val="0"/>
      <w:spacing w:after="0"/>
      <w:jc w:val="left"/>
    </w:pPr>
    <w:rPr>
      <w:rFonts w:ascii="Times New Roman" w:hAnsi="Times New Roman"/>
      <w:sz w:val="24"/>
    </w:rPr>
  </w:style>
  <w:style w:type="paragraph" w:customStyle="1" w:styleId="Corpsdetexte31">
    <w:name w:val="Corps de texte 31"/>
    <w:basedOn w:val="Normal"/>
    <w:rsid w:val="00B45815"/>
    <w:pPr>
      <w:widowControl w:val="0"/>
      <w:suppressAutoHyphens/>
      <w:spacing w:after="0"/>
    </w:pPr>
    <w:rPr>
      <w:rFonts w:ascii="Arial Narrow" w:eastAsia="DejaVu Sans" w:hAnsi="Arial Narrow"/>
      <w:b/>
    </w:rPr>
  </w:style>
  <w:style w:type="paragraph" w:styleId="BodyTextIndent">
    <w:name w:val="Body Text Indent"/>
    <w:basedOn w:val="Normal"/>
    <w:link w:val="BodyTextIndentChar"/>
    <w:uiPriority w:val="99"/>
    <w:unhideWhenUsed/>
    <w:rsid w:val="00B45815"/>
    <w:pPr>
      <w:widowControl w:val="0"/>
      <w:suppressAutoHyphens/>
      <w:ind w:left="283"/>
      <w:jc w:val="left"/>
    </w:pPr>
    <w:rPr>
      <w:rFonts w:ascii="DejaVu Sans" w:eastAsia="DejaVu Sans" w:hAnsi="DejaVu Sans"/>
      <w:sz w:val="24"/>
    </w:rPr>
  </w:style>
  <w:style w:type="character" w:customStyle="1" w:styleId="BodyTextIndentChar">
    <w:name w:val="Body Text Indent Char"/>
    <w:basedOn w:val="DefaultParagraphFont"/>
    <w:link w:val="BodyTextIndent"/>
    <w:uiPriority w:val="99"/>
    <w:rsid w:val="00B45815"/>
    <w:rPr>
      <w:rFonts w:ascii="DejaVu Sans" w:eastAsia="DejaVu Sans" w:hAnsi="DejaVu Sans" w:cs="Times New Roman"/>
      <w:sz w:val="24"/>
      <w:szCs w:val="24"/>
      <w:lang w:val="fr-FR"/>
    </w:rPr>
  </w:style>
  <w:style w:type="paragraph" w:styleId="BodyTextIndent2">
    <w:name w:val="Body Text Indent 2"/>
    <w:basedOn w:val="Normal"/>
    <w:link w:val="BodyTextIndent2Char"/>
    <w:uiPriority w:val="99"/>
    <w:unhideWhenUsed/>
    <w:rsid w:val="00B45815"/>
    <w:pPr>
      <w:widowControl w:val="0"/>
      <w:suppressAutoHyphens/>
      <w:spacing w:line="480" w:lineRule="auto"/>
      <w:ind w:left="283"/>
      <w:jc w:val="left"/>
    </w:pPr>
    <w:rPr>
      <w:rFonts w:ascii="DejaVu Sans" w:eastAsia="DejaVu Sans" w:hAnsi="DejaVu Sans"/>
      <w:sz w:val="24"/>
    </w:rPr>
  </w:style>
  <w:style w:type="character" w:customStyle="1" w:styleId="BodyTextIndent2Char">
    <w:name w:val="Body Text Indent 2 Char"/>
    <w:basedOn w:val="DefaultParagraphFont"/>
    <w:link w:val="BodyTextIndent2"/>
    <w:uiPriority w:val="99"/>
    <w:rsid w:val="00B45815"/>
    <w:rPr>
      <w:rFonts w:ascii="DejaVu Sans" w:eastAsia="DejaVu Sans" w:hAnsi="DejaVu Sans" w:cs="Times New Roman"/>
      <w:sz w:val="24"/>
      <w:szCs w:val="24"/>
      <w:lang w:val="fr-FR"/>
    </w:rPr>
  </w:style>
  <w:style w:type="paragraph" w:customStyle="1" w:styleId="CM79">
    <w:name w:val="CM79"/>
    <w:basedOn w:val="Normal"/>
    <w:next w:val="Normal"/>
    <w:rsid w:val="00F640B3"/>
    <w:pPr>
      <w:widowControl w:val="0"/>
      <w:autoSpaceDE w:val="0"/>
      <w:autoSpaceDN w:val="0"/>
      <w:adjustRightInd w:val="0"/>
      <w:spacing w:after="543"/>
      <w:jc w:val="left"/>
    </w:pPr>
    <w:rPr>
      <w:rFonts w:ascii="Times New Roman" w:hAnsi="Times New Roman"/>
      <w:sz w:val="24"/>
    </w:rPr>
  </w:style>
  <w:style w:type="paragraph" w:customStyle="1" w:styleId="CM1">
    <w:name w:val="CM1"/>
    <w:basedOn w:val="Normal"/>
    <w:next w:val="Normal"/>
    <w:rsid w:val="00F640B3"/>
    <w:pPr>
      <w:widowControl w:val="0"/>
      <w:autoSpaceDE w:val="0"/>
      <w:autoSpaceDN w:val="0"/>
      <w:adjustRightInd w:val="0"/>
      <w:spacing w:after="0"/>
      <w:jc w:val="left"/>
    </w:pPr>
    <w:rPr>
      <w:rFonts w:ascii="Times New Roman" w:hAnsi="Times New Roman"/>
      <w:sz w:val="24"/>
    </w:rPr>
  </w:style>
  <w:style w:type="paragraph" w:customStyle="1" w:styleId="CM76">
    <w:name w:val="CM76"/>
    <w:basedOn w:val="Normal"/>
    <w:next w:val="Normal"/>
    <w:rsid w:val="00F640B3"/>
    <w:pPr>
      <w:widowControl w:val="0"/>
      <w:autoSpaceDE w:val="0"/>
      <w:autoSpaceDN w:val="0"/>
      <w:adjustRightInd w:val="0"/>
      <w:spacing w:after="815"/>
      <w:jc w:val="left"/>
    </w:pPr>
    <w:rPr>
      <w:rFonts w:ascii="Times New Roman" w:hAnsi="Times New Roman"/>
      <w:sz w:val="24"/>
    </w:rPr>
  </w:style>
  <w:style w:type="paragraph" w:customStyle="1" w:styleId="CM77">
    <w:name w:val="CM77"/>
    <w:basedOn w:val="Normal"/>
    <w:next w:val="Normal"/>
    <w:rsid w:val="00F640B3"/>
    <w:pPr>
      <w:widowControl w:val="0"/>
      <w:autoSpaceDE w:val="0"/>
      <w:autoSpaceDN w:val="0"/>
      <w:adjustRightInd w:val="0"/>
      <w:spacing w:after="278"/>
      <w:jc w:val="left"/>
    </w:pPr>
    <w:rPr>
      <w:rFonts w:ascii="Times New Roman" w:hAnsi="Times New Roman"/>
      <w:sz w:val="24"/>
    </w:rPr>
  </w:style>
  <w:style w:type="paragraph" w:customStyle="1" w:styleId="CM37">
    <w:name w:val="CM37"/>
    <w:basedOn w:val="Normal"/>
    <w:next w:val="Normal"/>
    <w:rsid w:val="00F640B3"/>
    <w:pPr>
      <w:widowControl w:val="0"/>
      <w:autoSpaceDE w:val="0"/>
      <w:autoSpaceDN w:val="0"/>
      <w:adjustRightInd w:val="0"/>
      <w:spacing w:after="0" w:line="548" w:lineRule="atLeast"/>
      <w:jc w:val="left"/>
    </w:pPr>
    <w:rPr>
      <w:rFonts w:ascii="Times New Roman" w:hAnsi="Times New Roman"/>
      <w:sz w:val="24"/>
    </w:rPr>
  </w:style>
  <w:style w:type="paragraph" w:customStyle="1" w:styleId="CM84">
    <w:name w:val="CM84"/>
    <w:basedOn w:val="Normal"/>
    <w:next w:val="Normal"/>
    <w:rsid w:val="00F640B3"/>
    <w:pPr>
      <w:widowControl w:val="0"/>
      <w:autoSpaceDE w:val="0"/>
      <w:autoSpaceDN w:val="0"/>
      <w:adjustRightInd w:val="0"/>
      <w:spacing w:after="200"/>
      <w:jc w:val="left"/>
    </w:pPr>
    <w:rPr>
      <w:rFonts w:ascii="Times New Roman" w:hAnsi="Times New Roman"/>
      <w:sz w:val="24"/>
    </w:rPr>
  </w:style>
  <w:style w:type="paragraph" w:customStyle="1" w:styleId="Russite">
    <w:name w:val="Réussite"/>
    <w:basedOn w:val="BodyText"/>
    <w:rsid w:val="00F640B3"/>
    <w:pPr>
      <w:tabs>
        <w:tab w:val="num" w:pos="1365"/>
      </w:tabs>
      <w:spacing w:after="60" w:line="240" w:lineRule="atLeast"/>
      <w:ind w:left="1365" w:hanging="360"/>
    </w:pPr>
    <w:rPr>
      <w:rFonts w:ascii="Garamond" w:hAnsi="Garamond"/>
      <w:szCs w:val="22"/>
      <w:lang w:val="x-none"/>
    </w:rPr>
  </w:style>
  <w:style w:type="paragraph" w:customStyle="1" w:styleId="Default">
    <w:name w:val="Default"/>
    <w:rsid w:val="0088286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paragraph" w:styleId="BodyText2">
    <w:name w:val="Body Text 2"/>
    <w:basedOn w:val="Normal"/>
    <w:link w:val="BodyText2Char"/>
    <w:uiPriority w:val="99"/>
    <w:semiHidden/>
    <w:unhideWhenUsed/>
    <w:rsid w:val="00E93671"/>
    <w:pPr>
      <w:spacing w:line="480" w:lineRule="auto"/>
    </w:pPr>
  </w:style>
  <w:style w:type="character" w:customStyle="1" w:styleId="BodyText2Char">
    <w:name w:val="Body Text 2 Char"/>
    <w:basedOn w:val="DefaultParagraphFont"/>
    <w:link w:val="BodyText2"/>
    <w:uiPriority w:val="99"/>
    <w:semiHidden/>
    <w:rsid w:val="00E93671"/>
    <w:rPr>
      <w:rFonts w:ascii="Tw Cen MT" w:eastAsiaTheme="minorEastAsia" w:hAnsi="Tw Cen MT"/>
      <w:szCs w:val="23"/>
      <w:lang w:val="fr-FR"/>
    </w:rPr>
  </w:style>
  <w:style w:type="character" w:customStyle="1" w:styleId="st">
    <w:name w:val="st"/>
    <w:basedOn w:val="DefaultParagraphFont"/>
    <w:rsid w:val="00DB0DF1"/>
  </w:style>
  <w:style w:type="character" w:styleId="Emphasis">
    <w:name w:val="Emphasis"/>
    <w:basedOn w:val="DefaultParagraphFont"/>
    <w:uiPriority w:val="20"/>
    <w:qFormat/>
    <w:rsid w:val="00DB0DF1"/>
    <w:rPr>
      <w:i/>
      <w:iCs/>
    </w:rPr>
  </w:style>
  <w:style w:type="paragraph" w:styleId="NormalWeb">
    <w:name w:val="Normal (Web)"/>
    <w:basedOn w:val="Normal"/>
    <w:uiPriority w:val="99"/>
    <w:unhideWhenUsed/>
    <w:rsid w:val="00333EE4"/>
    <w:pPr>
      <w:spacing w:before="100" w:beforeAutospacing="1" w:after="100" w:afterAutospacing="1"/>
      <w:jc w:val="left"/>
    </w:pPr>
    <w:rPr>
      <w:rFonts w:ascii="Times New Roman" w:hAnsi="Times New Roman"/>
      <w:sz w:val="24"/>
    </w:rPr>
  </w:style>
  <w:style w:type="paragraph" w:customStyle="1" w:styleId="font5">
    <w:name w:val="font5"/>
    <w:basedOn w:val="Normal"/>
    <w:rsid w:val="002E2CC6"/>
    <w:pPr>
      <w:spacing w:before="100" w:beforeAutospacing="1" w:after="100" w:afterAutospacing="1"/>
      <w:jc w:val="left"/>
    </w:pPr>
    <w:rPr>
      <w:rFonts w:ascii="Calibri" w:hAnsi="Calibri"/>
      <w:b/>
      <w:bCs/>
      <w:color w:val="000000"/>
      <w:szCs w:val="22"/>
    </w:rPr>
  </w:style>
  <w:style w:type="paragraph" w:customStyle="1" w:styleId="font6">
    <w:name w:val="font6"/>
    <w:basedOn w:val="Normal"/>
    <w:rsid w:val="002E2CC6"/>
    <w:pPr>
      <w:spacing w:before="100" w:beforeAutospacing="1" w:after="100" w:afterAutospacing="1"/>
      <w:jc w:val="left"/>
    </w:pPr>
    <w:rPr>
      <w:b/>
      <w:bCs/>
      <w:color w:val="000000"/>
      <w:szCs w:val="22"/>
    </w:rPr>
  </w:style>
  <w:style w:type="paragraph" w:customStyle="1" w:styleId="font7">
    <w:name w:val="font7"/>
    <w:basedOn w:val="Normal"/>
    <w:rsid w:val="002E2CC6"/>
    <w:pPr>
      <w:spacing w:before="100" w:beforeAutospacing="1" w:after="100" w:afterAutospacing="1"/>
      <w:jc w:val="left"/>
    </w:pPr>
    <w:rPr>
      <w:color w:val="000000"/>
      <w:szCs w:val="22"/>
    </w:rPr>
  </w:style>
  <w:style w:type="paragraph" w:customStyle="1" w:styleId="font8">
    <w:name w:val="font8"/>
    <w:basedOn w:val="Normal"/>
    <w:rsid w:val="002E2CC6"/>
    <w:pPr>
      <w:spacing w:before="100" w:beforeAutospacing="1" w:after="100" w:afterAutospacing="1"/>
      <w:jc w:val="left"/>
    </w:pPr>
    <w:rPr>
      <w:b/>
      <w:bCs/>
      <w:color w:val="000000"/>
      <w:szCs w:val="22"/>
    </w:rPr>
  </w:style>
  <w:style w:type="paragraph" w:customStyle="1" w:styleId="xl72">
    <w:name w:val="xl72"/>
    <w:basedOn w:val="Normal"/>
    <w:rsid w:val="002E2CC6"/>
    <w:pPr>
      <w:shd w:val="clear" w:color="000000" w:fill="DCE6F1"/>
      <w:spacing w:before="100" w:beforeAutospacing="1" w:after="100" w:afterAutospacing="1"/>
      <w:jc w:val="left"/>
    </w:pPr>
    <w:rPr>
      <w:b/>
      <w:bCs/>
      <w:sz w:val="24"/>
    </w:rPr>
  </w:style>
  <w:style w:type="paragraph" w:customStyle="1" w:styleId="xl73">
    <w:name w:val="xl73"/>
    <w:basedOn w:val="Normal"/>
    <w:rsid w:val="002E2CC6"/>
    <w:pPr>
      <w:shd w:val="clear" w:color="000000" w:fill="DCE6F1"/>
      <w:spacing w:before="100" w:beforeAutospacing="1" w:after="100" w:afterAutospacing="1"/>
      <w:jc w:val="center"/>
    </w:pPr>
    <w:rPr>
      <w:b/>
      <w:bCs/>
      <w:sz w:val="24"/>
    </w:rPr>
  </w:style>
  <w:style w:type="paragraph" w:customStyle="1" w:styleId="xl74">
    <w:name w:val="xl74"/>
    <w:basedOn w:val="Normal"/>
    <w:rsid w:val="002E2CC6"/>
    <w:pPr>
      <w:spacing w:before="100" w:beforeAutospacing="1" w:after="100" w:afterAutospacing="1"/>
      <w:jc w:val="left"/>
    </w:pPr>
    <w:rPr>
      <w:sz w:val="24"/>
    </w:rPr>
  </w:style>
  <w:style w:type="paragraph" w:customStyle="1" w:styleId="xl75">
    <w:name w:val="xl75"/>
    <w:basedOn w:val="Normal"/>
    <w:rsid w:val="002E2CC6"/>
    <w:pPr>
      <w:spacing w:before="100" w:beforeAutospacing="1" w:after="100" w:afterAutospacing="1"/>
      <w:jc w:val="center"/>
      <w:textAlignment w:val="center"/>
    </w:pPr>
    <w:rPr>
      <w:sz w:val="24"/>
    </w:rPr>
  </w:style>
  <w:style w:type="paragraph" w:customStyle="1" w:styleId="xl76">
    <w:name w:val="xl76"/>
    <w:basedOn w:val="Normal"/>
    <w:rsid w:val="002E2CC6"/>
    <w:pPr>
      <w:spacing w:before="100" w:beforeAutospacing="1" w:after="100" w:afterAutospacing="1"/>
      <w:jc w:val="left"/>
      <w:textAlignment w:val="center"/>
    </w:pPr>
    <w:rPr>
      <w:sz w:val="24"/>
    </w:rPr>
  </w:style>
  <w:style w:type="paragraph" w:customStyle="1" w:styleId="xl77">
    <w:name w:val="xl77"/>
    <w:basedOn w:val="Normal"/>
    <w:rsid w:val="002E2CC6"/>
    <w:pPr>
      <w:spacing w:before="100" w:beforeAutospacing="1" w:after="100" w:afterAutospacing="1"/>
      <w:jc w:val="center"/>
      <w:textAlignment w:val="center"/>
    </w:pPr>
    <w:rPr>
      <w:sz w:val="24"/>
    </w:rPr>
  </w:style>
  <w:style w:type="paragraph" w:customStyle="1" w:styleId="xl78">
    <w:name w:val="xl78"/>
    <w:basedOn w:val="Normal"/>
    <w:rsid w:val="002E2CC6"/>
    <w:pPr>
      <w:spacing w:before="100" w:beforeAutospacing="1" w:after="100" w:afterAutospacing="1"/>
      <w:jc w:val="left"/>
      <w:textAlignment w:val="center"/>
    </w:pPr>
    <w:rPr>
      <w:sz w:val="24"/>
    </w:rPr>
  </w:style>
  <w:style w:type="paragraph" w:customStyle="1" w:styleId="xl79">
    <w:name w:val="xl79"/>
    <w:basedOn w:val="Normal"/>
    <w:rsid w:val="002E2CC6"/>
    <w:pPr>
      <w:spacing w:before="100" w:beforeAutospacing="1" w:after="100" w:afterAutospacing="1"/>
      <w:jc w:val="left"/>
    </w:pPr>
    <w:rPr>
      <w:i/>
      <w:iCs/>
      <w:color w:val="808080"/>
      <w:sz w:val="24"/>
    </w:rPr>
  </w:style>
  <w:style w:type="paragraph" w:customStyle="1" w:styleId="xl80">
    <w:name w:val="xl80"/>
    <w:basedOn w:val="Normal"/>
    <w:rsid w:val="002E2CC6"/>
    <w:pPr>
      <w:spacing w:before="100" w:beforeAutospacing="1" w:after="100" w:afterAutospacing="1"/>
      <w:jc w:val="center"/>
      <w:textAlignment w:val="center"/>
    </w:pPr>
    <w:rPr>
      <w:sz w:val="24"/>
    </w:rPr>
  </w:style>
  <w:style w:type="paragraph" w:customStyle="1" w:styleId="xl81">
    <w:name w:val="xl81"/>
    <w:basedOn w:val="Normal"/>
    <w:rsid w:val="002E2CC6"/>
    <w:pPr>
      <w:spacing w:before="100" w:beforeAutospacing="1" w:after="100" w:afterAutospacing="1"/>
      <w:jc w:val="left"/>
      <w:textAlignment w:val="center"/>
    </w:pPr>
    <w:rPr>
      <w:sz w:val="24"/>
    </w:rPr>
  </w:style>
  <w:style w:type="paragraph" w:customStyle="1" w:styleId="xl82">
    <w:name w:val="xl82"/>
    <w:basedOn w:val="Normal"/>
    <w:rsid w:val="002E2CC6"/>
    <w:pPr>
      <w:spacing w:before="100" w:beforeAutospacing="1" w:after="100" w:afterAutospacing="1"/>
      <w:jc w:val="left"/>
      <w:textAlignment w:val="center"/>
    </w:pPr>
    <w:rPr>
      <w:sz w:val="24"/>
    </w:rPr>
  </w:style>
  <w:style w:type="paragraph" w:customStyle="1" w:styleId="xl83">
    <w:name w:val="xl83"/>
    <w:basedOn w:val="Normal"/>
    <w:rsid w:val="002E2CC6"/>
    <w:pPr>
      <w:spacing w:before="100" w:beforeAutospacing="1" w:after="100" w:afterAutospacing="1"/>
      <w:jc w:val="left"/>
      <w:textAlignment w:val="center"/>
    </w:pPr>
    <w:rPr>
      <w:sz w:val="24"/>
    </w:rPr>
  </w:style>
  <w:style w:type="paragraph" w:customStyle="1" w:styleId="xl84">
    <w:name w:val="xl84"/>
    <w:basedOn w:val="Normal"/>
    <w:rsid w:val="002E2CC6"/>
    <w:pPr>
      <w:spacing w:before="100" w:beforeAutospacing="1" w:after="100" w:afterAutospacing="1"/>
      <w:jc w:val="center"/>
      <w:textAlignment w:val="center"/>
    </w:pPr>
    <w:rPr>
      <w:color w:val="808080"/>
      <w:sz w:val="24"/>
    </w:rPr>
  </w:style>
  <w:style w:type="paragraph" w:customStyle="1" w:styleId="xl85">
    <w:name w:val="xl85"/>
    <w:basedOn w:val="Normal"/>
    <w:rsid w:val="002E2CC6"/>
    <w:pPr>
      <w:spacing w:before="100" w:beforeAutospacing="1" w:after="100" w:afterAutospacing="1"/>
      <w:jc w:val="left"/>
      <w:textAlignment w:val="center"/>
    </w:pPr>
    <w:rPr>
      <w:color w:val="808080"/>
      <w:sz w:val="24"/>
    </w:rPr>
  </w:style>
  <w:style w:type="paragraph" w:customStyle="1" w:styleId="xl86">
    <w:name w:val="xl86"/>
    <w:basedOn w:val="Normal"/>
    <w:rsid w:val="002E2CC6"/>
    <w:pPr>
      <w:spacing w:before="100" w:beforeAutospacing="1" w:after="100" w:afterAutospacing="1"/>
      <w:jc w:val="center"/>
      <w:textAlignment w:val="center"/>
    </w:pPr>
    <w:rPr>
      <w:b/>
      <w:bCs/>
      <w:color w:val="808080"/>
      <w:sz w:val="24"/>
    </w:rPr>
  </w:style>
  <w:style w:type="paragraph" w:customStyle="1" w:styleId="xl87">
    <w:name w:val="xl87"/>
    <w:basedOn w:val="Normal"/>
    <w:rsid w:val="002E2CC6"/>
    <w:pPr>
      <w:spacing w:before="100" w:beforeAutospacing="1" w:after="100" w:afterAutospacing="1"/>
      <w:jc w:val="left"/>
      <w:textAlignment w:val="center"/>
    </w:pPr>
    <w:rPr>
      <w:sz w:val="24"/>
    </w:rPr>
  </w:style>
  <w:style w:type="paragraph" w:customStyle="1" w:styleId="xl88">
    <w:name w:val="xl88"/>
    <w:basedOn w:val="Normal"/>
    <w:rsid w:val="002E2CC6"/>
    <w:pPr>
      <w:spacing w:before="100" w:beforeAutospacing="1" w:after="100" w:afterAutospacing="1"/>
      <w:jc w:val="left"/>
    </w:pPr>
    <w:rPr>
      <w:sz w:val="24"/>
    </w:rPr>
  </w:style>
  <w:style w:type="paragraph" w:customStyle="1" w:styleId="xl89">
    <w:name w:val="xl89"/>
    <w:basedOn w:val="Normal"/>
    <w:rsid w:val="002E2CC6"/>
    <w:pPr>
      <w:spacing w:before="100" w:beforeAutospacing="1" w:after="100" w:afterAutospacing="1"/>
      <w:jc w:val="center"/>
      <w:textAlignment w:val="center"/>
    </w:pPr>
    <w:rPr>
      <w:sz w:val="24"/>
    </w:rPr>
  </w:style>
  <w:style w:type="paragraph" w:customStyle="1" w:styleId="xl90">
    <w:name w:val="xl90"/>
    <w:basedOn w:val="Normal"/>
    <w:rsid w:val="002E2CC6"/>
    <w:pPr>
      <w:spacing w:before="100" w:beforeAutospacing="1" w:after="100" w:afterAutospacing="1"/>
      <w:jc w:val="left"/>
      <w:textAlignment w:val="center"/>
    </w:pPr>
    <w:rPr>
      <w:sz w:val="24"/>
    </w:rPr>
  </w:style>
  <w:style w:type="paragraph" w:customStyle="1" w:styleId="xl91">
    <w:name w:val="xl91"/>
    <w:basedOn w:val="Normal"/>
    <w:rsid w:val="002E2CC6"/>
    <w:pPr>
      <w:spacing w:before="100" w:beforeAutospacing="1" w:after="100" w:afterAutospacing="1"/>
      <w:jc w:val="center"/>
    </w:pPr>
    <w:rPr>
      <w:sz w:val="24"/>
    </w:rPr>
  </w:style>
  <w:style w:type="paragraph" w:customStyle="1" w:styleId="xl92">
    <w:name w:val="xl92"/>
    <w:basedOn w:val="Normal"/>
    <w:rsid w:val="002E2CC6"/>
    <w:pPr>
      <w:spacing w:before="100" w:beforeAutospacing="1" w:after="100" w:afterAutospacing="1"/>
      <w:jc w:val="left"/>
    </w:pPr>
    <w:rPr>
      <w:sz w:val="24"/>
    </w:rPr>
  </w:style>
  <w:style w:type="paragraph" w:customStyle="1" w:styleId="xl93">
    <w:name w:val="xl93"/>
    <w:basedOn w:val="Normal"/>
    <w:rsid w:val="002E2CC6"/>
    <w:pPr>
      <w:spacing w:before="100" w:beforeAutospacing="1" w:after="100" w:afterAutospacing="1"/>
      <w:jc w:val="left"/>
    </w:pPr>
    <w:rPr>
      <w:b/>
      <w:bCs/>
      <w:i/>
      <w:iCs/>
      <w:sz w:val="24"/>
    </w:rPr>
  </w:style>
  <w:style w:type="paragraph" w:customStyle="1" w:styleId="xl94">
    <w:name w:val="xl94"/>
    <w:basedOn w:val="Normal"/>
    <w:rsid w:val="002E2CC6"/>
    <w:pPr>
      <w:spacing w:before="100" w:beforeAutospacing="1" w:after="100" w:afterAutospacing="1"/>
      <w:jc w:val="left"/>
    </w:pPr>
    <w:rPr>
      <w:b/>
      <w:bCs/>
      <w:i/>
      <w:iCs/>
      <w:color w:val="FFFFFF"/>
      <w:sz w:val="24"/>
    </w:rPr>
  </w:style>
  <w:style w:type="paragraph" w:customStyle="1" w:styleId="xl95">
    <w:name w:val="xl95"/>
    <w:basedOn w:val="Normal"/>
    <w:rsid w:val="002E2CC6"/>
    <w:pPr>
      <w:spacing w:before="100" w:beforeAutospacing="1" w:after="100" w:afterAutospacing="1"/>
      <w:jc w:val="center"/>
    </w:pPr>
    <w:rPr>
      <w:b/>
      <w:bCs/>
      <w:i/>
      <w:iCs/>
      <w:color w:val="FFFFFF"/>
      <w:sz w:val="24"/>
    </w:rPr>
  </w:style>
  <w:style w:type="paragraph" w:customStyle="1" w:styleId="xl96">
    <w:name w:val="xl96"/>
    <w:basedOn w:val="Normal"/>
    <w:rsid w:val="002E2CC6"/>
    <w:pPr>
      <w:spacing w:before="100" w:beforeAutospacing="1" w:after="100" w:afterAutospacing="1"/>
      <w:jc w:val="left"/>
    </w:pPr>
    <w:rPr>
      <w:b/>
      <w:bCs/>
      <w:i/>
      <w:iCs/>
      <w:color w:val="FFFFFF"/>
      <w:sz w:val="24"/>
    </w:rPr>
  </w:style>
  <w:style w:type="paragraph" w:customStyle="1" w:styleId="xl97">
    <w:name w:val="xl97"/>
    <w:basedOn w:val="Normal"/>
    <w:rsid w:val="002E2CC6"/>
    <w:pPr>
      <w:spacing w:before="100" w:beforeAutospacing="1" w:after="100" w:afterAutospacing="1"/>
      <w:jc w:val="left"/>
    </w:pPr>
    <w:rPr>
      <w:b/>
      <w:bCs/>
      <w:i/>
      <w:iCs/>
      <w:sz w:val="24"/>
    </w:rPr>
  </w:style>
  <w:style w:type="paragraph" w:customStyle="1" w:styleId="xl98">
    <w:name w:val="xl98"/>
    <w:basedOn w:val="Normal"/>
    <w:rsid w:val="002E2CC6"/>
    <w:pPr>
      <w:spacing w:before="100" w:beforeAutospacing="1" w:after="100" w:afterAutospacing="1"/>
      <w:jc w:val="center"/>
    </w:pPr>
    <w:rPr>
      <w:b/>
      <w:bCs/>
      <w:i/>
      <w:iCs/>
      <w:sz w:val="24"/>
    </w:rPr>
  </w:style>
  <w:style w:type="paragraph" w:customStyle="1" w:styleId="xl99">
    <w:name w:val="xl99"/>
    <w:basedOn w:val="Normal"/>
    <w:rsid w:val="002E2CC6"/>
    <w:pPr>
      <w:spacing w:before="100" w:beforeAutospacing="1" w:after="100" w:afterAutospacing="1"/>
      <w:jc w:val="left"/>
    </w:pPr>
    <w:rPr>
      <w:b/>
      <w:bCs/>
      <w:i/>
      <w:iCs/>
      <w:sz w:val="24"/>
    </w:rPr>
  </w:style>
  <w:style w:type="paragraph" w:customStyle="1" w:styleId="xl100">
    <w:name w:val="xl100"/>
    <w:basedOn w:val="Normal"/>
    <w:rsid w:val="002E2CC6"/>
    <w:pPr>
      <w:pBdr>
        <w:top w:val="single" w:sz="4" w:space="0" w:color="B8CCE4"/>
        <w:left w:val="single" w:sz="4" w:space="0" w:color="B8CCE4"/>
        <w:bottom w:val="single" w:sz="4" w:space="0" w:color="B8CCE4"/>
      </w:pBdr>
      <w:spacing w:before="100" w:beforeAutospacing="1" w:after="100" w:afterAutospacing="1"/>
      <w:jc w:val="center"/>
      <w:textAlignment w:val="center"/>
    </w:pPr>
    <w:rPr>
      <w:sz w:val="24"/>
    </w:rPr>
  </w:style>
  <w:style w:type="paragraph" w:customStyle="1" w:styleId="xl101">
    <w:name w:val="xl101"/>
    <w:basedOn w:val="Normal"/>
    <w:rsid w:val="002E2CC6"/>
    <w:pPr>
      <w:pBdr>
        <w:top w:val="single" w:sz="4" w:space="0" w:color="B8CCE4"/>
        <w:bottom w:val="single" w:sz="4" w:space="0" w:color="B8CCE4"/>
      </w:pBdr>
      <w:spacing w:before="100" w:beforeAutospacing="1" w:after="100" w:afterAutospacing="1"/>
      <w:jc w:val="left"/>
      <w:textAlignment w:val="center"/>
    </w:pPr>
    <w:rPr>
      <w:sz w:val="24"/>
    </w:rPr>
  </w:style>
  <w:style w:type="paragraph" w:customStyle="1" w:styleId="xl102">
    <w:name w:val="xl102"/>
    <w:basedOn w:val="Normal"/>
    <w:rsid w:val="002E2CC6"/>
    <w:pPr>
      <w:pBdr>
        <w:top w:val="single" w:sz="4" w:space="0" w:color="B8CCE4"/>
        <w:bottom w:val="single" w:sz="4" w:space="0" w:color="B8CCE4"/>
      </w:pBdr>
      <w:spacing w:before="100" w:beforeAutospacing="1" w:after="100" w:afterAutospacing="1"/>
      <w:jc w:val="left"/>
      <w:textAlignment w:val="center"/>
    </w:pPr>
    <w:rPr>
      <w:sz w:val="24"/>
    </w:rPr>
  </w:style>
  <w:style w:type="paragraph" w:customStyle="1" w:styleId="xl103">
    <w:name w:val="xl103"/>
    <w:basedOn w:val="Normal"/>
    <w:rsid w:val="002E2CC6"/>
    <w:pPr>
      <w:pBdr>
        <w:top w:val="single" w:sz="4" w:space="0" w:color="B8CCE4"/>
        <w:bottom w:val="single" w:sz="4" w:space="0" w:color="B8CCE4"/>
      </w:pBdr>
      <w:spacing w:before="100" w:beforeAutospacing="1" w:after="100" w:afterAutospacing="1"/>
      <w:jc w:val="center"/>
      <w:textAlignment w:val="center"/>
    </w:pPr>
    <w:rPr>
      <w:sz w:val="24"/>
    </w:rPr>
  </w:style>
  <w:style w:type="paragraph" w:customStyle="1" w:styleId="xl104">
    <w:name w:val="xl104"/>
    <w:basedOn w:val="Normal"/>
    <w:rsid w:val="002E2CC6"/>
    <w:pPr>
      <w:pBdr>
        <w:top w:val="single" w:sz="4" w:space="0" w:color="B8CCE4"/>
        <w:bottom w:val="single" w:sz="4" w:space="0" w:color="B8CCE4"/>
        <w:right w:val="single" w:sz="4" w:space="0" w:color="B8CCE4"/>
      </w:pBdr>
      <w:spacing w:before="100" w:beforeAutospacing="1" w:after="100" w:afterAutospacing="1"/>
      <w:jc w:val="left"/>
      <w:textAlignment w:val="center"/>
    </w:pPr>
    <w:rPr>
      <w:sz w:val="24"/>
    </w:rPr>
  </w:style>
  <w:style w:type="paragraph" w:customStyle="1" w:styleId="xl105">
    <w:name w:val="xl105"/>
    <w:basedOn w:val="Normal"/>
    <w:rsid w:val="002E2CC6"/>
    <w:pPr>
      <w:pBdr>
        <w:bottom w:val="single" w:sz="4" w:space="0" w:color="B8CCE4"/>
      </w:pBdr>
      <w:shd w:val="clear" w:color="000000" w:fill="DCE6F1"/>
      <w:spacing w:before="100" w:beforeAutospacing="1" w:after="100" w:afterAutospacing="1"/>
      <w:jc w:val="left"/>
    </w:pPr>
    <w:rPr>
      <w:b/>
      <w:bCs/>
      <w:sz w:val="24"/>
    </w:rPr>
  </w:style>
  <w:style w:type="paragraph" w:customStyle="1" w:styleId="xl106">
    <w:name w:val="xl106"/>
    <w:basedOn w:val="Normal"/>
    <w:rsid w:val="002E2CC6"/>
    <w:pPr>
      <w:pBdr>
        <w:bottom w:val="single" w:sz="4" w:space="0" w:color="B8CCE4"/>
      </w:pBdr>
      <w:shd w:val="clear" w:color="000000" w:fill="DCE6F1"/>
      <w:spacing w:before="100" w:beforeAutospacing="1" w:after="100" w:afterAutospacing="1"/>
      <w:jc w:val="center"/>
    </w:pPr>
    <w:rPr>
      <w:b/>
      <w:bCs/>
      <w:sz w:val="24"/>
    </w:rPr>
  </w:style>
  <w:style w:type="paragraph" w:customStyle="1" w:styleId="xl107">
    <w:name w:val="xl107"/>
    <w:basedOn w:val="Normal"/>
    <w:rsid w:val="002E2CC6"/>
    <w:pPr>
      <w:pBdr>
        <w:bottom w:val="single" w:sz="4" w:space="0" w:color="B8CCE4"/>
      </w:pBdr>
      <w:shd w:val="clear" w:color="000000" w:fill="DCE6F1"/>
      <w:spacing w:before="100" w:beforeAutospacing="1" w:after="100" w:afterAutospacing="1"/>
      <w:jc w:val="left"/>
    </w:pPr>
    <w:rPr>
      <w:b/>
      <w:bCs/>
      <w:sz w:val="24"/>
    </w:rPr>
  </w:style>
  <w:style w:type="paragraph" w:customStyle="1" w:styleId="xl108">
    <w:name w:val="xl108"/>
    <w:basedOn w:val="Normal"/>
    <w:rsid w:val="002E2CC6"/>
    <w:pPr>
      <w:pBdr>
        <w:top w:val="single" w:sz="4" w:space="0" w:color="B8CCE4"/>
        <w:bottom w:val="single" w:sz="4" w:space="0" w:color="B8CCE4"/>
      </w:pBdr>
      <w:spacing w:before="100" w:beforeAutospacing="1" w:after="100" w:afterAutospacing="1"/>
      <w:jc w:val="center"/>
      <w:textAlignment w:val="center"/>
    </w:pPr>
    <w:rPr>
      <w:sz w:val="24"/>
    </w:rPr>
  </w:style>
  <w:style w:type="paragraph" w:customStyle="1" w:styleId="xl109">
    <w:name w:val="xl109"/>
    <w:basedOn w:val="Normal"/>
    <w:rsid w:val="002E2CC6"/>
    <w:pPr>
      <w:pBdr>
        <w:top w:val="single" w:sz="4" w:space="0" w:color="B8CCE4"/>
        <w:bottom w:val="single" w:sz="4" w:space="0" w:color="B8CCE4"/>
      </w:pBdr>
      <w:spacing w:before="100" w:beforeAutospacing="1" w:after="100" w:afterAutospacing="1"/>
      <w:jc w:val="left"/>
      <w:textAlignment w:val="center"/>
    </w:pPr>
    <w:rPr>
      <w:sz w:val="24"/>
    </w:rPr>
  </w:style>
  <w:style w:type="paragraph" w:customStyle="1" w:styleId="xl110">
    <w:name w:val="xl110"/>
    <w:basedOn w:val="Normal"/>
    <w:rsid w:val="002E2CC6"/>
    <w:pPr>
      <w:pBdr>
        <w:top w:val="single" w:sz="4" w:space="0" w:color="B8CCE4"/>
        <w:bottom w:val="single" w:sz="4" w:space="0" w:color="B8CCE4"/>
      </w:pBdr>
      <w:spacing w:before="100" w:beforeAutospacing="1" w:after="100" w:afterAutospacing="1"/>
      <w:jc w:val="center"/>
      <w:textAlignment w:val="center"/>
    </w:pPr>
    <w:rPr>
      <w:sz w:val="24"/>
    </w:rPr>
  </w:style>
  <w:style w:type="paragraph" w:customStyle="1" w:styleId="xl111">
    <w:name w:val="xl111"/>
    <w:basedOn w:val="Normal"/>
    <w:rsid w:val="002E2CC6"/>
    <w:pPr>
      <w:pBdr>
        <w:top w:val="single" w:sz="4" w:space="0" w:color="B8CCE4"/>
        <w:bottom w:val="single" w:sz="4" w:space="0" w:color="B8CCE4"/>
      </w:pBdr>
      <w:spacing w:before="100" w:beforeAutospacing="1" w:after="100" w:afterAutospacing="1"/>
      <w:jc w:val="left"/>
      <w:textAlignment w:val="center"/>
    </w:pPr>
    <w:rPr>
      <w:sz w:val="24"/>
    </w:rPr>
  </w:style>
  <w:style w:type="paragraph" w:customStyle="1" w:styleId="xl112">
    <w:name w:val="xl112"/>
    <w:basedOn w:val="Normal"/>
    <w:rsid w:val="002E2CC6"/>
    <w:pPr>
      <w:pBdr>
        <w:top w:val="single" w:sz="4" w:space="0" w:color="B8CCE4"/>
        <w:bottom w:val="single" w:sz="4" w:space="0" w:color="B8CCE4"/>
      </w:pBdr>
      <w:spacing w:before="100" w:beforeAutospacing="1" w:after="100" w:afterAutospacing="1"/>
      <w:jc w:val="center"/>
      <w:textAlignment w:val="center"/>
    </w:pPr>
    <w:rPr>
      <w:color w:val="808080"/>
      <w:sz w:val="24"/>
    </w:rPr>
  </w:style>
  <w:style w:type="paragraph" w:customStyle="1" w:styleId="xl113">
    <w:name w:val="xl113"/>
    <w:basedOn w:val="Normal"/>
    <w:rsid w:val="002E2CC6"/>
    <w:pPr>
      <w:pBdr>
        <w:top w:val="single" w:sz="4" w:space="0" w:color="B8CCE4"/>
        <w:bottom w:val="single" w:sz="4" w:space="0" w:color="B8CCE4"/>
      </w:pBdr>
      <w:spacing w:before="100" w:beforeAutospacing="1" w:after="100" w:afterAutospacing="1"/>
      <w:jc w:val="left"/>
      <w:textAlignment w:val="center"/>
    </w:pPr>
    <w:rPr>
      <w:color w:val="808080"/>
      <w:sz w:val="24"/>
    </w:rPr>
  </w:style>
  <w:style w:type="paragraph" w:customStyle="1" w:styleId="xl114">
    <w:name w:val="xl114"/>
    <w:basedOn w:val="Normal"/>
    <w:rsid w:val="002E2CC6"/>
    <w:pPr>
      <w:pBdr>
        <w:top w:val="single" w:sz="4" w:space="0" w:color="B8CCE4"/>
        <w:bottom w:val="single" w:sz="4" w:space="0" w:color="B8CCE4"/>
      </w:pBdr>
      <w:spacing w:before="100" w:beforeAutospacing="1" w:after="100" w:afterAutospacing="1"/>
      <w:jc w:val="left"/>
    </w:pPr>
    <w:rPr>
      <w:i/>
      <w:iCs/>
      <w:color w:val="808080"/>
      <w:sz w:val="24"/>
    </w:rPr>
  </w:style>
  <w:style w:type="paragraph" w:customStyle="1" w:styleId="xl115">
    <w:name w:val="xl115"/>
    <w:basedOn w:val="Normal"/>
    <w:rsid w:val="002E2CC6"/>
    <w:pPr>
      <w:pBdr>
        <w:top w:val="single" w:sz="4" w:space="0" w:color="B8CCE4"/>
        <w:bottom w:val="single" w:sz="4" w:space="0" w:color="B8CCE4"/>
      </w:pBdr>
      <w:spacing w:before="100" w:beforeAutospacing="1" w:after="100" w:afterAutospacing="1"/>
      <w:jc w:val="center"/>
      <w:textAlignment w:val="center"/>
    </w:pPr>
    <w:rPr>
      <w:b/>
      <w:bCs/>
      <w:color w:val="808080"/>
      <w:sz w:val="24"/>
    </w:rPr>
  </w:style>
  <w:style w:type="paragraph" w:customStyle="1" w:styleId="xl116">
    <w:name w:val="xl116"/>
    <w:basedOn w:val="Normal"/>
    <w:rsid w:val="002E2CC6"/>
    <w:pPr>
      <w:pBdr>
        <w:bottom w:val="single" w:sz="4" w:space="0" w:color="B8CCE4"/>
      </w:pBdr>
      <w:spacing w:before="100" w:beforeAutospacing="1" w:after="100" w:afterAutospacing="1"/>
      <w:jc w:val="center"/>
      <w:textAlignment w:val="center"/>
    </w:pPr>
    <w:rPr>
      <w:sz w:val="24"/>
    </w:rPr>
  </w:style>
  <w:style w:type="paragraph" w:customStyle="1" w:styleId="xl117">
    <w:name w:val="xl117"/>
    <w:basedOn w:val="Normal"/>
    <w:rsid w:val="002E2CC6"/>
    <w:pPr>
      <w:pBdr>
        <w:bottom w:val="single" w:sz="4" w:space="0" w:color="B8CCE4"/>
      </w:pBdr>
      <w:spacing w:before="100" w:beforeAutospacing="1" w:after="100" w:afterAutospacing="1"/>
      <w:jc w:val="left"/>
      <w:textAlignment w:val="center"/>
    </w:pPr>
    <w:rPr>
      <w:sz w:val="24"/>
    </w:rPr>
  </w:style>
  <w:style w:type="paragraph" w:customStyle="1" w:styleId="xl118">
    <w:name w:val="xl118"/>
    <w:basedOn w:val="Normal"/>
    <w:rsid w:val="002E2CC6"/>
    <w:pPr>
      <w:pBdr>
        <w:bottom w:val="single" w:sz="4" w:space="0" w:color="B8CCE4"/>
      </w:pBdr>
      <w:spacing w:before="100" w:beforeAutospacing="1" w:after="100" w:afterAutospacing="1"/>
      <w:jc w:val="center"/>
      <w:textAlignment w:val="center"/>
    </w:pPr>
    <w:rPr>
      <w:sz w:val="24"/>
    </w:rPr>
  </w:style>
  <w:style w:type="paragraph" w:customStyle="1" w:styleId="xl119">
    <w:name w:val="xl119"/>
    <w:basedOn w:val="Normal"/>
    <w:rsid w:val="002E2CC6"/>
    <w:pPr>
      <w:pBdr>
        <w:bottom w:val="single" w:sz="4" w:space="0" w:color="B8CCE4"/>
      </w:pBdr>
      <w:spacing w:before="100" w:beforeAutospacing="1" w:after="100" w:afterAutospacing="1"/>
      <w:jc w:val="left"/>
      <w:textAlignment w:val="center"/>
    </w:pPr>
    <w:rPr>
      <w:sz w:val="24"/>
    </w:rPr>
  </w:style>
  <w:style w:type="paragraph" w:customStyle="1" w:styleId="xl120">
    <w:name w:val="xl120"/>
    <w:basedOn w:val="Normal"/>
    <w:rsid w:val="002E2CC6"/>
    <w:pPr>
      <w:pBdr>
        <w:top w:val="single" w:sz="4" w:space="0" w:color="B8CCE4"/>
        <w:left w:val="single" w:sz="4" w:space="0" w:color="B8CCE4"/>
      </w:pBdr>
      <w:spacing w:before="100" w:beforeAutospacing="1" w:after="100" w:afterAutospacing="1"/>
      <w:jc w:val="center"/>
      <w:textAlignment w:val="center"/>
    </w:pPr>
    <w:rPr>
      <w:sz w:val="24"/>
    </w:rPr>
  </w:style>
  <w:style w:type="paragraph" w:customStyle="1" w:styleId="xl121">
    <w:name w:val="xl121"/>
    <w:basedOn w:val="Normal"/>
    <w:rsid w:val="002E2CC6"/>
    <w:pPr>
      <w:pBdr>
        <w:top w:val="single" w:sz="4" w:space="0" w:color="B8CCE4"/>
      </w:pBdr>
      <w:spacing w:before="100" w:beforeAutospacing="1" w:after="100" w:afterAutospacing="1"/>
      <w:jc w:val="left"/>
      <w:textAlignment w:val="center"/>
    </w:pPr>
    <w:rPr>
      <w:sz w:val="24"/>
    </w:rPr>
  </w:style>
  <w:style w:type="paragraph" w:customStyle="1" w:styleId="xl122">
    <w:name w:val="xl122"/>
    <w:basedOn w:val="Normal"/>
    <w:rsid w:val="002E2CC6"/>
    <w:pPr>
      <w:pBdr>
        <w:top w:val="single" w:sz="4" w:space="0" w:color="B8CCE4"/>
      </w:pBdr>
      <w:spacing w:before="100" w:beforeAutospacing="1" w:after="100" w:afterAutospacing="1"/>
      <w:jc w:val="left"/>
      <w:textAlignment w:val="center"/>
    </w:pPr>
    <w:rPr>
      <w:sz w:val="24"/>
    </w:rPr>
  </w:style>
  <w:style w:type="paragraph" w:customStyle="1" w:styleId="xl123">
    <w:name w:val="xl123"/>
    <w:basedOn w:val="Normal"/>
    <w:rsid w:val="002E2CC6"/>
    <w:pPr>
      <w:pBdr>
        <w:top w:val="single" w:sz="4" w:space="0" w:color="B8CCE4"/>
        <w:right w:val="single" w:sz="4" w:space="0" w:color="B8CCE4"/>
      </w:pBdr>
      <w:spacing w:before="100" w:beforeAutospacing="1" w:after="100" w:afterAutospacing="1"/>
      <w:jc w:val="left"/>
      <w:textAlignment w:val="center"/>
    </w:pPr>
    <w:rPr>
      <w:sz w:val="24"/>
    </w:rPr>
  </w:style>
  <w:style w:type="paragraph" w:customStyle="1" w:styleId="xl124">
    <w:name w:val="xl124"/>
    <w:basedOn w:val="Normal"/>
    <w:rsid w:val="002E2CC6"/>
    <w:pPr>
      <w:pBdr>
        <w:left w:val="single" w:sz="4" w:space="0" w:color="B8CCE4"/>
      </w:pBdr>
      <w:spacing w:before="100" w:beforeAutospacing="1" w:after="100" w:afterAutospacing="1"/>
      <w:jc w:val="center"/>
      <w:textAlignment w:val="center"/>
    </w:pPr>
    <w:rPr>
      <w:sz w:val="24"/>
    </w:rPr>
  </w:style>
  <w:style w:type="paragraph" w:customStyle="1" w:styleId="xl125">
    <w:name w:val="xl125"/>
    <w:basedOn w:val="Normal"/>
    <w:rsid w:val="002E2CC6"/>
    <w:pPr>
      <w:pBdr>
        <w:right w:val="single" w:sz="4" w:space="0" w:color="B8CCE4"/>
      </w:pBdr>
      <w:spacing w:before="100" w:beforeAutospacing="1" w:after="100" w:afterAutospacing="1"/>
      <w:jc w:val="left"/>
      <w:textAlignment w:val="center"/>
    </w:pPr>
    <w:rPr>
      <w:sz w:val="24"/>
    </w:rPr>
  </w:style>
  <w:style w:type="paragraph" w:customStyle="1" w:styleId="xl126">
    <w:name w:val="xl126"/>
    <w:basedOn w:val="Normal"/>
    <w:rsid w:val="002E2CC6"/>
    <w:pPr>
      <w:pBdr>
        <w:left w:val="single" w:sz="4" w:space="0" w:color="B8CCE4"/>
        <w:bottom w:val="single" w:sz="4" w:space="0" w:color="B8CCE4"/>
      </w:pBdr>
      <w:spacing w:before="100" w:beforeAutospacing="1" w:after="100" w:afterAutospacing="1"/>
      <w:jc w:val="center"/>
      <w:textAlignment w:val="center"/>
    </w:pPr>
    <w:rPr>
      <w:sz w:val="24"/>
    </w:rPr>
  </w:style>
  <w:style w:type="paragraph" w:customStyle="1" w:styleId="xl127">
    <w:name w:val="xl127"/>
    <w:basedOn w:val="Normal"/>
    <w:rsid w:val="002E2CC6"/>
    <w:pPr>
      <w:pBdr>
        <w:bottom w:val="single" w:sz="4" w:space="0" w:color="B8CCE4"/>
      </w:pBdr>
      <w:spacing w:before="100" w:beforeAutospacing="1" w:after="100" w:afterAutospacing="1"/>
      <w:jc w:val="left"/>
      <w:textAlignment w:val="center"/>
    </w:pPr>
    <w:rPr>
      <w:sz w:val="24"/>
    </w:rPr>
  </w:style>
  <w:style w:type="paragraph" w:customStyle="1" w:styleId="xl128">
    <w:name w:val="xl128"/>
    <w:basedOn w:val="Normal"/>
    <w:rsid w:val="002E2CC6"/>
    <w:pPr>
      <w:pBdr>
        <w:bottom w:val="single" w:sz="4" w:space="0" w:color="B8CCE4"/>
        <w:right w:val="single" w:sz="4" w:space="0" w:color="B8CCE4"/>
      </w:pBdr>
      <w:spacing w:before="100" w:beforeAutospacing="1" w:after="100" w:afterAutospacing="1"/>
      <w:jc w:val="left"/>
      <w:textAlignment w:val="center"/>
    </w:pPr>
    <w:rPr>
      <w:sz w:val="24"/>
    </w:rPr>
  </w:style>
  <w:style w:type="paragraph" w:customStyle="1" w:styleId="xl129">
    <w:name w:val="xl129"/>
    <w:basedOn w:val="Normal"/>
    <w:rsid w:val="002E2CC6"/>
    <w:pPr>
      <w:pBdr>
        <w:top w:val="single" w:sz="4" w:space="0" w:color="B8CCE4"/>
        <w:left w:val="single" w:sz="4" w:space="0" w:color="B8CCE4"/>
      </w:pBdr>
      <w:spacing w:before="100" w:beforeAutospacing="1" w:after="100" w:afterAutospacing="1"/>
      <w:jc w:val="center"/>
      <w:textAlignment w:val="center"/>
    </w:pPr>
    <w:rPr>
      <w:sz w:val="24"/>
    </w:rPr>
  </w:style>
  <w:style w:type="paragraph" w:customStyle="1" w:styleId="xl130">
    <w:name w:val="xl130"/>
    <w:basedOn w:val="Normal"/>
    <w:rsid w:val="002E2CC6"/>
    <w:pPr>
      <w:pBdr>
        <w:top w:val="single" w:sz="4" w:space="0" w:color="B8CCE4"/>
      </w:pBdr>
      <w:spacing w:before="100" w:beforeAutospacing="1" w:after="100" w:afterAutospacing="1"/>
      <w:jc w:val="center"/>
      <w:textAlignment w:val="center"/>
    </w:pPr>
    <w:rPr>
      <w:sz w:val="24"/>
    </w:rPr>
  </w:style>
  <w:style w:type="paragraph" w:customStyle="1" w:styleId="xl131">
    <w:name w:val="xl131"/>
    <w:basedOn w:val="Normal"/>
    <w:rsid w:val="002E2CC6"/>
    <w:pPr>
      <w:pBdr>
        <w:top w:val="single" w:sz="4" w:space="0" w:color="B8CCE4"/>
        <w:right w:val="single" w:sz="4" w:space="0" w:color="B8CCE4"/>
      </w:pBdr>
      <w:spacing w:before="100" w:beforeAutospacing="1" w:after="100" w:afterAutospacing="1"/>
      <w:jc w:val="left"/>
      <w:textAlignment w:val="center"/>
    </w:pPr>
    <w:rPr>
      <w:sz w:val="24"/>
    </w:rPr>
  </w:style>
  <w:style w:type="paragraph" w:customStyle="1" w:styleId="xl132">
    <w:name w:val="xl132"/>
    <w:basedOn w:val="Normal"/>
    <w:rsid w:val="002E2CC6"/>
    <w:pPr>
      <w:pBdr>
        <w:left w:val="single" w:sz="4" w:space="0" w:color="B8CCE4"/>
      </w:pBdr>
      <w:spacing w:before="100" w:beforeAutospacing="1" w:after="100" w:afterAutospacing="1"/>
      <w:jc w:val="center"/>
      <w:textAlignment w:val="center"/>
    </w:pPr>
    <w:rPr>
      <w:sz w:val="24"/>
    </w:rPr>
  </w:style>
  <w:style w:type="paragraph" w:customStyle="1" w:styleId="xl133">
    <w:name w:val="xl133"/>
    <w:basedOn w:val="Normal"/>
    <w:rsid w:val="002E2CC6"/>
    <w:pPr>
      <w:pBdr>
        <w:right w:val="single" w:sz="4" w:space="0" w:color="B8CCE4"/>
      </w:pBdr>
      <w:spacing w:before="100" w:beforeAutospacing="1" w:after="100" w:afterAutospacing="1"/>
      <w:jc w:val="left"/>
      <w:textAlignment w:val="center"/>
    </w:pPr>
    <w:rPr>
      <w:sz w:val="24"/>
    </w:rPr>
  </w:style>
  <w:style w:type="paragraph" w:customStyle="1" w:styleId="xl134">
    <w:name w:val="xl134"/>
    <w:basedOn w:val="Normal"/>
    <w:rsid w:val="002E2CC6"/>
    <w:pPr>
      <w:pBdr>
        <w:left w:val="single" w:sz="4" w:space="0" w:color="B8CCE4"/>
        <w:bottom w:val="single" w:sz="4" w:space="0" w:color="B8CCE4"/>
      </w:pBdr>
      <w:spacing w:before="100" w:beforeAutospacing="1" w:after="100" w:afterAutospacing="1"/>
      <w:jc w:val="center"/>
      <w:textAlignment w:val="center"/>
    </w:pPr>
    <w:rPr>
      <w:sz w:val="24"/>
    </w:rPr>
  </w:style>
  <w:style w:type="paragraph" w:customStyle="1" w:styleId="xl135">
    <w:name w:val="xl135"/>
    <w:basedOn w:val="Normal"/>
    <w:rsid w:val="002E2CC6"/>
    <w:pPr>
      <w:pBdr>
        <w:bottom w:val="single" w:sz="4" w:space="0" w:color="B8CCE4"/>
      </w:pBdr>
      <w:spacing w:before="100" w:beforeAutospacing="1" w:after="100" w:afterAutospacing="1"/>
      <w:jc w:val="center"/>
      <w:textAlignment w:val="center"/>
    </w:pPr>
    <w:rPr>
      <w:sz w:val="24"/>
    </w:rPr>
  </w:style>
  <w:style w:type="paragraph" w:customStyle="1" w:styleId="xl136">
    <w:name w:val="xl136"/>
    <w:basedOn w:val="Normal"/>
    <w:rsid w:val="002E2CC6"/>
    <w:pPr>
      <w:pBdr>
        <w:bottom w:val="single" w:sz="4" w:space="0" w:color="B8CCE4"/>
        <w:right w:val="single" w:sz="4" w:space="0" w:color="B8CCE4"/>
      </w:pBdr>
      <w:spacing w:before="100" w:beforeAutospacing="1" w:after="100" w:afterAutospacing="1"/>
      <w:jc w:val="left"/>
      <w:textAlignment w:val="center"/>
    </w:pPr>
    <w:rPr>
      <w:sz w:val="24"/>
    </w:rPr>
  </w:style>
  <w:style w:type="paragraph" w:customStyle="1" w:styleId="xl137">
    <w:name w:val="xl137"/>
    <w:basedOn w:val="Normal"/>
    <w:rsid w:val="002E2CC6"/>
    <w:pPr>
      <w:pBdr>
        <w:left w:val="single" w:sz="4" w:space="0" w:color="B8CCE4"/>
        <w:bottom w:val="single" w:sz="4" w:space="0" w:color="B8CCE4"/>
      </w:pBdr>
      <w:spacing w:before="100" w:beforeAutospacing="1" w:after="100" w:afterAutospacing="1"/>
      <w:jc w:val="left"/>
    </w:pPr>
    <w:rPr>
      <w:sz w:val="24"/>
    </w:rPr>
  </w:style>
  <w:style w:type="paragraph" w:customStyle="1" w:styleId="xl138">
    <w:name w:val="xl138"/>
    <w:basedOn w:val="Normal"/>
    <w:rsid w:val="002E2CC6"/>
    <w:pPr>
      <w:pBdr>
        <w:bottom w:val="single" w:sz="4" w:space="0" w:color="B8CCE4"/>
      </w:pBdr>
      <w:spacing w:before="100" w:beforeAutospacing="1" w:after="100" w:afterAutospacing="1"/>
      <w:jc w:val="left"/>
    </w:pPr>
    <w:rPr>
      <w:sz w:val="24"/>
    </w:rPr>
  </w:style>
  <w:style w:type="paragraph" w:customStyle="1" w:styleId="xl139">
    <w:name w:val="xl139"/>
    <w:basedOn w:val="Normal"/>
    <w:rsid w:val="002E2CC6"/>
    <w:pPr>
      <w:pBdr>
        <w:bottom w:val="single" w:sz="4" w:space="0" w:color="B8CCE4"/>
      </w:pBdr>
      <w:spacing w:before="100" w:beforeAutospacing="1" w:after="100" w:afterAutospacing="1"/>
      <w:ind w:firstLineChars="300" w:firstLine="300"/>
      <w:jc w:val="left"/>
      <w:textAlignment w:val="center"/>
    </w:pPr>
    <w:rPr>
      <w:color w:val="FF0000"/>
      <w:sz w:val="24"/>
    </w:rPr>
  </w:style>
  <w:style w:type="paragraph" w:customStyle="1" w:styleId="xl140">
    <w:name w:val="xl140"/>
    <w:basedOn w:val="Normal"/>
    <w:rsid w:val="002E2CC6"/>
    <w:pPr>
      <w:pBdr>
        <w:bottom w:val="single" w:sz="4" w:space="0" w:color="B8CCE4"/>
      </w:pBdr>
      <w:spacing w:before="100" w:beforeAutospacing="1" w:after="100" w:afterAutospacing="1"/>
      <w:jc w:val="center"/>
    </w:pPr>
    <w:rPr>
      <w:sz w:val="24"/>
    </w:rPr>
  </w:style>
  <w:style w:type="paragraph" w:customStyle="1" w:styleId="xl141">
    <w:name w:val="xl141"/>
    <w:basedOn w:val="Normal"/>
    <w:rsid w:val="002E2CC6"/>
    <w:pPr>
      <w:pBdr>
        <w:bottom w:val="single" w:sz="4" w:space="0" w:color="B8CCE4"/>
        <w:right w:val="single" w:sz="4" w:space="0" w:color="B8CCE4"/>
      </w:pBdr>
      <w:spacing w:before="100" w:beforeAutospacing="1" w:after="100" w:afterAutospacing="1"/>
      <w:jc w:val="left"/>
    </w:pPr>
    <w:rPr>
      <w:sz w:val="24"/>
    </w:rPr>
  </w:style>
  <w:style w:type="paragraph" w:customStyle="1" w:styleId="xl142">
    <w:name w:val="xl142"/>
    <w:basedOn w:val="Normal"/>
    <w:rsid w:val="002E2CC6"/>
    <w:pPr>
      <w:pBdr>
        <w:top w:val="single" w:sz="4" w:space="0" w:color="B8CCE4"/>
      </w:pBdr>
      <w:spacing w:before="100" w:beforeAutospacing="1" w:after="100" w:afterAutospacing="1"/>
      <w:jc w:val="center"/>
      <w:textAlignment w:val="center"/>
    </w:pPr>
    <w:rPr>
      <w:sz w:val="24"/>
    </w:rPr>
  </w:style>
  <w:style w:type="paragraph" w:customStyle="1" w:styleId="xl143">
    <w:name w:val="xl143"/>
    <w:basedOn w:val="Normal"/>
    <w:rsid w:val="002E2CC6"/>
    <w:pPr>
      <w:shd w:val="clear" w:color="000000" w:fill="F79646"/>
      <w:spacing w:before="100" w:beforeAutospacing="1" w:after="100" w:afterAutospacing="1"/>
      <w:jc w:val="left"/>
    </w:pPr>
    <w:rPr>
      <w:b/>
      <w:bCs/>
      <w:sz w:val="24"/>
    </w:rPr>
  </w:style>
  <w:style w:type="paragraph" w:customStyle="1" w:styleId="xl144">
    <w:name w:val="xl144"/>
    <w:basedOn w:val="Normal"/>
    <w:rsid w:val="002E2CC6"/>
    <w:pPr>
      <w:shd w:val="clear" w:color="000000" w:fill="F79646"/>
      <w:spacing w:before="100" w:beforeAutospacing="1" w:after="100" w:afterAutospacing="1"/>
      <w:jc w:val="left"/>
    </w:pPr>
    <w:rPr>
      <w:b/>
      <w:bCs/>
      <w:i/>
      <w:iCs/>
      <w:sz w:val="24"/>
    </w:rPr>
  </w:style>
  <w:style w:type="paragraph" w:customStyle="1" w:styleId="xl145">
    <w:name w:val="xl145"/>
    <w:basedOn w:val="Normal"/>
    <w:rsid w:val="002E2CC6"/>
    <w:pPr>
      <w:shd w:val="clear" w:color="000000" w:fill="F79646"/>
      <w:spacing w:before="100" w:beforeAutospacing="1" w:after="100" w:afterAutospacing="1"/>
      <w:jc w:val="left"/>
      <w:textAlignment w:val="top"/>
    </w:pPr>
    <w:rPr>
      <w:b/>
      <w:bCs/>
      <w:i/>
      <w:iCs/>
      <w:sz w:val="24"/>
    </w:rPr>
  </w:style>
  <w:style w:type="paragraph" w:customStyle="1" w:styleId="xl146">
    <w:name w:val="xl146"/>
    <w:basedOn w:val="Normal"/>
    <w:rsid w:val="002E2CC6"/>
    <w:pPr>
      <w:shd w:val="clear" w:color="000000" w:fill="95B3D7"/>
      <w:spacing w:before="100" w:beforeAutospacing="1" w:after="100" w:afterAutospacing="1"/>
      <w:jc w:val="center"/>
      <w:textAlignment w:val="center"/>
    </w:pPr>
    <w:rPr>
      <w:sz w:val="24"/>
    </w:rPr>
  </w:style>
  <w:style w:type="paragraph" w:customStyle="1" w:styleId="xl147">
    <w:name w:val="xl147"/>
    <w:basedOn w:val="Normal"/>
    <w:rsid w:val="002E2CC6"/>
    <w:pPr>
      <w:shd w:val="clear" w:color="000000" w:fill="95B3D7"/>
      <w:spacing w:before="100" w:beforeAutospacing="1" w:after="100" w:afterAutospacing="1"/>
      <w:jc w:val="left"/>
      <w:textAlignment w:val="center"/>
    </w:pPr>
    <w:rPr>
      <w:sz w:val="24"/>
    </w:rPr>
  </w:style>
  <w:style w:type="paragraph" w:customStyle="1" w:styleId="xl148">
    <w:name w:val="xl148"/>
    <w:basedOn w:val="Normal"/>
    <w:rsid w:val="002E2CC6"/>
    <w:pPr>
      <w:shd w:val="clear" w:color="000000" w:fill="95B3D7"/>
      <w:spacing w:before="100" w:beforeAutospacing="1" w:after="100" w:afterAutospacing="1"/>
      <w:jc w:val="left"/>
      <w:textAlignment w:val="center"/>
    </w:pPr>
    <w:rPr>
      <w:sz w:val="24"/>
    </w:rPr>
  </w:style>
  <w:style w:type="paragraph" w:customStyle="1" w:styleId="xl149">
    <w:name w:val="xl149"/>
    <w:basedOn w:val="Normal"/>
    <w:rsid w:val="002E2CC6"/>
    <w:pPr>
      <w:shd w:val="clear" w:color="000000" w:fill="95B3D7"/>
      <w:spacing w:before="100" w:beforeAutospacing="1" w:after="100" w:afterAutospacing="1"/>
      <w:jc w:val="center"/>
      <w:textAlignment w:val="center"/>
    </w:pPr>
    <w:rPr>
      <w:sz w:val="24"/>
    </w:rPr>
  </w:style>
  <w:style w:type="paragraph" w:customStyle="1" w:styleId="xl150">
    <w:name w:val="xl150"/>
    <w:basedOn w:val="Normal"/>
    <w:rsid w:val="002E2CC6"/>
    <w:pPr>
      <w:spacing w:before="100" w:beforeAutospacing="1" w:after="100" w:afterAutospacing="1"/>
      <w:jc w:val="center"/>
      <w:textAlignment w:val="center"/>
    </w:pPr>
    <w:rPr>
      <w:sz w:val="24"/>
    </w:rPr>
  </w:style>
  <w:style w:type="paragraph" w:customStyle="1" w:styleId="xl151">
    <w:name w:val="xl151"/>
    <w:basedOn w:val="Normal"/>
    <w:rsid w:val="002E2CC6"/>
    <w:pPr>
      <w:shd w:val="clear" w:color="000000" w:fill="95B3D7"/>
      <w:spacing w:before="100" w:beforeAutospacing="1" w:after="100" w:afterAutospacing="1"/>
      <w:jc w:val="center"/>
      <w:textAlignment w:val="center"/>
    </w:pPr>
    <w:rPr>
      <w:color w:val="808080"/>
      <w:sz w:val="24"/>
    </w:rPr>
  </w:style>
  <w:style w:type="paragraph" w:customStyle="1" w:styleId="xl152">
    <w:name w:val="xl152"/>
    <w:basedOn w:val="Normal"/>
    <w:rsid w:val="002E2CC6"/>
    <w:pPr>
      <w:shd w:val="clear" w:color="000000" w:fill="95B3D7"/>
      <w:spacing w:before="100" w:beforeAutospacing="1" w:after="100" w:afterAutospacing="1"/>
      <w:jc w:val="left"/>
      <w:textAlignment w:val="center"/>
    </w:pPr>
    <w:rPr>
      <w:color w:val="808080"/>
      <w:sz w:val="24"/>
    </w:rPr>
  </w:style>
  <w:style w:type="paragraph" w:customStyle="1" w:styleId="xl153">
    <w:name w:val="xl153"/>
    <w:basedOn w:val="Normal"/>
    <w:rsid w:val="002E2CC6"/>
    <w:pPr>
      <w:shd w:val="clear" w:color="000000" w:fill="95B3D7"/>
      <w:spacing w:before="100" w:beforeAutospacing="1" w:after="100" w:afterAutospacing="1"/>
      <w:jc w:val="left"/>
      <w:textAlignment w:val="center"/>
    </w:pPr>
    <w:rPr>
      <w:color w:val="808080"/>
      <w:sz w:val="24"/>
    </w:rPr>
  </w:style>
  <w:style w:type="paragraph" w:customStyle="1" w:styleId="xl154">
    <w:name w:val="xl154"/>
    <w:basedOn w:val="Normal"/>
    <w:rsid w:val="002E2CC6"/>
    <w:pPr>
      <w:spacing w:before="100" w:beforeAutospacing="1" w:after="100" w:afterAutospacing="1"/>
      <w:jc w:val="center"/>
      <w:textAlignment w:val="center"/>
    </w:pPr>
    <w:rPr>
      <w:sz w:val="24"/>
    </w:rPr>
  </w:style>
  <w:style w:type="paragraph" w:customStyle="1" w:styleId="xl155">
    <w:name w:val="xl155"/>
    <w:basedOn w:val="Normal"/>
    <w:rsid w:val="002E2CC6"/>
    <w:pPr>
      <w:spacing w:before="100" w:beforeAutospacing="1" w:after="100" w:afterAutospacing="1"/>
      <w:jc w:val="left"/>
      <w:textAlignment w:val="center"/>
    </w:pPr>
    <w:rPr>
      <w:color w:val="808080"/>
      <w:sz w:val="24"/>
    </w:rPr>
  </w:style>
  <w:style w:type="paragraph" w:customStyle="1" w:styleId="xl156">
    <w:name w:val="xl156"/>
    <w:basedOn w:val="Normal"/>
    <w:rsid w:val="002E2CC6"/>
    <w:pPr>
      <w:spacing w:before="100" w:beforeAutospacing="1" w:after="100" w:afterAutospacing="1"/>
      <w:jc w:val="left"/>
      <w:textAlignment w:val="center"/>
    </w:pPr>
    <w:rPr>
      <w:color w:val="808080"/>
      <w:sz w:val="24"/>
    </w:rPr>
  </w:style>
  <w:style w:type="paragraph" w:customStyle="1" w:styleId="xl157">
    <w:name w:val="xl157"/>
    <w:basedOn w:val="Normal"/>
    <w:rsid w:val="002E2CC6"/>
    <w:pPr>
      <w:shd w:val="clear" w:color="000000" w:fill="95B3D7"/>
      <w:spacing w:before="100" w:beforeAutospacing="1" w:after="100" w:afterAutospacing="1"/>
      <w:jc w:val="center"/>
      <w:textAlignment w:val="center"/>
    </w:pPr>
    <w:rPr>
      <w:sz w:val="24"/>
    </w:rPr>
  </w:style>
  <w:style w:type="paragraph" w:customStyle="1" w:styleId="xl158">
    <w:name w:val="xl158"/>
    <w:basedOn w:val="Normal"/>
    <w:rsid w:val="002E2CC6"/>
    <w:pPr>
      <w:shd w:val="clear" w:color="000000" w:fill="95B3D7"/>
      <w:spacing w:before="100" w:beforeAutospacing="1" w:after="100" w:afterAutospacing="1"/>
      <w:jc w:val="left"/>
      <w:textAlignment w:val="center"/>
    </w:pPr>
    <w:rPr>
      <w:sz w:val="24"/>
    </w:rPr>
  </w:style>
  <w:style w:type="paragraph" w:customStyle="1" w:styleId="xl159">
    <w:name w:val="xl159"/>
    <w:basedOn w:val="Normal"/>
    <w:rsid w:val="002E2CC6"/>
    <w:pPr>
      <w:shd w:val="clear" w:color="000000" w:fill="95B3D7"/>
      <w:spacing w:before="100" w:beforeAutospacing="1" w:after="100" w:afterAutospacing="1"/>
      <w:jc w:val="left"/>
    </w:pPr>
    <w:rPr>
      <w:sz w:val="24"/>
    </w:rPr>
  </w:style>
  <w:style w:type="paragraph" w:customStyle="1" w:styleId="xl160">
    <w:name w:val="xl160"/>
    <w:basedOn w:val="Normal"/>
    <w:rsid w:val="002E2CC6"/>
    <w:pPr>
      <w:shd w:val="clear" w:color="000000" w:fill="95B3D7"/>
      <w:spacing w:before="100" w:beforeAutospacing="1" w:after="100" w:afterAutospacing="1"/>
      <w:jc w:val="center"/>
      <w:textAlignment w:val="center"/>
    </w:pPr>
    <w:rPr>
      <w:sz w:val="24"/>
    </w:rPr>
  </w:style>
  <w:style w:type="paragraph" w:customStyle="1" w:styleId="xl161">
    <w:name w:val="xl161"/>
    <w:basedOn w:val="Normal"/>
    <w:rsid w:val="002E2CC6"/>
    <w:pPr>
      <w:shd w:val="clear" w:color="000000" w:fill="95B3D7"/>
      <w:spacing w:before="100" w:beforeAutospacing="1" w:after="100" w:afterAutospacing="1"/>
      <w:jc w:val="left"/>
      <w:textAlignment w:val="center"/>
    </w:pPr>
    <w:rPr>
      <w:sz w:val="24"/>
    </w:rPr>
  </w:style>
  <w:style w:type="paragraph" w:customStyle="1" w:styleId="xl162">
    <w:name w:val="xl162"/>
    <w:basedOn w:val="Normal"/>
    <w:rsid w:val="002E2CC6"/>
    <w:pPr>
      <w:shd w:val="clear" w:color="000000" w:fill="95B3D7"/>
      <w:spacing w:before="100" w:beforeAutospacing="1" w:after="100" w:afterAutospacing="1"/>
      <w:jc w:val="left"/>
      <w:textAlignment w:val="center"/>
    </w:pPr>
    <w:rPr>
      <w:color w:val="000000"/>
      <w:sz w:val="24"/>
    </w:rPr>
  </w:style>
  <w:style w:type="paragraph" w:customStyle="1" w:styleId="xl163">
    <w:name w:val="xl163"/>
    <w:basedOn w:val="Normal"/>
    <w:rsid w:val="002E2CC6"/>
    <w:pPr>
      <w:shd w:val="clear" w:color="000000" w:fill="95B3D7"/>
      <w:spacing w:before="100" w:beforeAutospacing="1" w:after="100" w:afterAutospacing="1"/>
      <w:jc w:val="center"/>
      <w:textAlignment w:val="center"/>
    </w:pPr>
    <w:rPr>
      <w:sz w:val="24"/>
    </w:rPr>
  </w:style>
  <w:style w:type="paragraph" w:customStyle="1" w:styleId="xl164">
    <w:name w:val="xl164"/>
    <w:basedOn w:val="Normal"/>
    <w:rsid w:val="002E2CC6"/>
    <w:pPr>
      <w:shd w:val="clear" w:color="000000" w:fill="95B3D7"/>
      <w:spacing w:before="100" w:beforeAutospacing="1" w:after="100" w:afterAutospacing="1"/>
      <w:jc w:val="left"/>
    </w:pPr>
    <w:rPr>
      <w:color w:val="808080"/>
      <w:sz w:val="24"/>
    </w:rPr>
  </w:style>
  <w:style w:type="paragraph" w:customStyle="1" w:styleId="xl165">
    <w:name w:val="xl165"/>
    <w:basedOn w:val="Normal"/>
    <w:rsid w:val="002E2CC6"/>
    <w:pPr>
      <w:shd w:val="clear" w:color="000000" w:fill="95B3D7"/>
      <w:spacing w:before="100" w:beforeAutospacing="1" w:after="100" w:afterAutospacing="1"/>
      <w:jc w:val="left"/>
      <w:textAlignment w:val="center"/>
    </w:pPr>
    <w:rPr>
      <w:color w:val="808080"/>
      <w:sz w:val="24"/>
    </w:rPr>
  </w:style>
  <w:style w:type="paragraph" w:customStyle="1" w:styleId="xl166">
    <w:name w:val="xl166"/>
    <w:basedOn w:val="Normal"/>
    <w:rsid w:val="002E2CC6"/>
    <w:pPr>
      <w:shd w:val="clear" w:color="000000" w:fill="95B3D7"/>
      <w:spacing w:before="100" w:beforeAutospacing="1" w:after="100" w:afterAutospacing="1"/>
      <w:jc w:val="left"/>
      <w:textAlignment w:val="center"/>
    </w:pPr>
    <w:rPr>
      <w:color w:val="808080"/>
      <w:sz w:val="24"/>
    </w:rPr>
  </w:style>
  <w:style w:type="paragraph" w:customStyle="1" w:styleId="xl167">
    <w:name w:val="xl167"/>
    <w:basedOn w:val="Normal"/>
    <w:rsid w:val="002E2CC6"/>
    <w:pPr>
      <w:shd w:val="clear" w:color="000000" w:fill="95B3D7"/>
      <w:spacing w:before="100" w:beforeAutospacing="1" w:after="100" w:afterAutospacing="1"/>
      <w:jc w:val="center"/>
      <w:textAlignment w:val="center"/>
    </w:pPr>
    <w:rPr>
      <w:color w:val="808080"/>
      <w:sz w:val="24"/>
    </w:rPr>
  </w:style>
  <w:style w:type="paragraph" w:customStyle="1" w:styleId="xl168">
    <w:name w:val="xl168"/>
    <w:basedOn w:val="Normal"/>
    <w:rsid w:val="002E2CC6"/>
    <w:pPr>
      <w:shd w:val="clear" w:color="000000" w:fill="95B3D7"/>
      <w:spacing w:before="100" w:beforeAutospacing="1" w:after="100" w:afterAutospacing="1"/>
      <w:jc w:val="center"/>
      <w:textAlignment w:val="center"/>
    </w:pPr>
    <w:rPr>
      <w:color w:val="808080"/>
      <w:sz w:val="24"/>
    </w:rPr>
  </w:style>
  <w:style w:type="paragraph" w:customStyle="1" w:styleId="xl169">
    <w:name w:val="xl169"/>
    <w:basedOn w:val="Normal"/>
    <w:rsid w:val="002E2CC6"/>
    <w:pPr>
      <w:shd w:val="clear" w:color="000000" w:fill="95B3D7"/>
      <w:spacing w:before="100" w:beforeAutospacing="1" w:after="100" w:afterAutospacing="1"/>
      <w:jc w:val="left"/>
    </w:pPr>
    <w:rPr>
      <w:sz w:val="24"/>
    </w:rPr>
  </w:style>
  <w:style w:type="paragraph" w:customStyle="1" w:styleId="xl170">
    <w:name w:val="xl170"/>
    <w:basedOn w:val="Normal"/>
    <w:rsid w:val="002E2CC6"/>
    <w:pPr>
      <w:shd w:val="clear" w:color="000000" w:fill="95B3D7"/>
      <w:spacing w:before="100" w:beforeAutospacing="1" w:after="100" w:afterAutospacing="1"/>
      <w:jc w:val="left"/>
      <w:textAlignment w:val="center"/>
    </w:pPr>
    <w:rPr>
      <w:sz w:val="24"/>
    </w:rPr>
  </w:style>
  <w:style w:type="paragraph" w:customStyle="1" w:styleId="xl171">
    <w:name w:val="xl171"/>
    <w:basedOn w:val="Normal"/>
    <w:rsid w:val="002E2CC6"/>
    <w:pPr>
      <w:spacing w:before="100" w:beforeAutospacing="1" w:after="100" w:afterAutospacing="1"/>
      <w:jc w:val="left"/>
      <w:textAlignment w:val="center"/>
    </w:pPr>
    <w:rPr>
      <w:sz w:val="24"/>
    </w:rPr>
  </w:style>
  <w:style w:type="paragraph" w:customStyle="1" w:styleId="xl172">
    <w:name w:val="xl172"/>
    <w:basedOn w:val="Normal"/>
    <w:rsid w:val="002E2CC6"/>
    <w:pPr>
      <w:shd w:val="clear" w:color="000000" w:fill="95B3D7"/>
      <w:spacing w:before="100" w:beforeAutospacing="1" w:after="100" w:afterAutospacing="1"/>
      <w:jc w:val="left"/>
      <w:textAlignment w:val="center"/>
    </w:pPr>
    <w:rPr>
      <w:sz w:val="24"/>
    </w:rPr>
  </w:style>
  <w:style w:type="paragraph" w:customStyle="1" w:styleId="xl173">
    <w:name w:val="xl173"/>
    <w:basedOn w:val="Normal"/>
    <w:rsid w:val="002E2CC6"/>
    <w:pPr>
      <w:shd w:val="clear" w:color="000000" w:fill="95B3D7"/>
      <w:spacing w:before="100" w:beforeAutospacing="1" w:after="100" w:afterAutospacing="1"/>
      <w:jc w:val="left"/>
      <w:textAlignment w:val="center"/>
    </w:pPr>
    <w:rPr>
      <w:sz w:val="24"/>
    </w:rPr>
  </w:style>
  <w:style w:type="paragraph" w:customStyle="1" w:styleId="xl174">
    <w:name w:val="xl174"/>
    <w:basedOn w:val="Normal"/>
    <w:rsid w:val="002E2CC6"/>
    <w:pPr>
      <w:spacing w:before="100" w:beforeAutospacing="1" w:after="100" w:afterAutospacing="1"/>
      <w:jc w:val="center"/>
      <w:textAlignment w:val="center"/>
    </w:pPr>
    <w:rPr>
      <w:color w:val="808080"/>
      <w:sz w:val="24"/>
    </w:rPr>
  </w:style>
  <w:style w:type="paragraph" w:customStyle="1" w:styleId="xl175">
    <w:name w:val="xl175"/>
    <w:basedOn w:val="Normal"/>
    <w:rsid w:val="002E2CC6"/>
    <w:pPr>
      <w:spacing w:before="100" w:beforeAutospacing="1" w:after="100" w:afterAutospacing="1"/>
      <w:jc w:val="left"/>
      <w:textAlignment w:val="center"/>
    </w:pPr>
    <w:rPr>
      <w:color w:val="808080"/>
      <w:sz w:val="24"/>
    </w:rPr>
  </w:style>
  <w:style w:type="paragraph" w:customStyle="1" w:styleId="xl176">
    <w:name w:val="xl176"/>
    <w:basedOn w:val="Normal"/>
    <w:rsid w:val="002E2CC6"/>
    <w:pPr>
      <w:shd w:val="clear" w:color="000000" w:fill="95B3D7"/>
      <w:spacing w:before="100" w:beforeAutospacing="1" w:after="100" w:afterAutospacing="1"/>
      <w:jc w:val="center"/>
      <w:textAlignment w:val="center"/>
    </w:pPr>
    <w:rPr>
      <w:sz w:val="24"/>
    </w:rPr>
  </w:style>
  <w:style w:type="paragraph" w:customStyle="1" w:styleId="xl177">
    <w:name w:val="xl177"/>
    <w:basedOn w:val="Normal"/>
    <w:rsid w:val="002E2CC6"/>
    <w:pPr>
      <w:shd w:val="clear" w:color="000000" w:fill="95B3D7"/>
      <w:spacing w:before="100" w:beforeAutospacing="1" w:after="100" w:afterAutospacing="1"/>
      <w:jc w:val="left"/>
      <w:textAlignment w:val="center"/>
    </w:pPr>
    <w:rPr>
      <w:sz w:val="24"/>
    </w:rPr>
  </w:style>
  <w:style w:type="paragraph" w:customStyle="1" w:styleId="xl178">
    <w:name w:val="xl178"/>
    <w:basedOn w:val="Normal"/>
    <w:rsid w:val="002E2CC6"/>
    <w:pPr>
      <w:shd w:val="clear" w:color="000000" w:fill="95B3D7"/>
      <w:spacing w:before="100" w:beforeAutospacing="1" w:after="100" w:afterAutospacing="1"/>
      <w:jc w:val="left"/>
    </w:pPr>
    <w:rPr>
      <w:sz w:val="24"/>
    </w:rPr>
  </w:style>
  <w:style w:type="paragraph" w:customStyle="1" w:styleId="xl179">
    <w:name w:val="xl179"/>
    <w:basedOn w:val="Normal"/>
    <w:rsid w:val="002E2CC6"/>
    <w:pPr>
      <w:spacing w:before="100" w:beforeAutospacing="1" w:after="100" w:afterAutospacing="1"/>
      <w:jc w:val="left"/>
    </w:pPr>
    <w:rPr>
      <w:color w:val="808080"/>
      <w:sz w:val="24"/>
    </w:rPr>
  </w:style>
  <w:style w:type="paragraph" w:customStyle="1" w:styleId="xl180">
    <w:name w:val="xl180"/>
    <w:basedOn w:val="Normal"/>
    <w:rsid w:val="002E2CC6"/>
    <w:pPr>
      <w:shd w:val="clear" w:color="000000" w:fill="F79646"/>
      <w:spacing w:before="100" w:beforeAutospacing="1" w:after="100" w:afterAutospacing="1"/>
      <w:jc w:val="left"/>
    </w:pPr>
    <w:rPr>
      <w:b/>
      <w:bCs/>
      <w:i/>
      <w:iCs/>
      <w:sz w:val="24"/>
    </w:rPr>
  </w:style>
  <w:style w:type="paragraph" w:customStyle="1" w:styleId="xl181">
    <w:name w:val="xl181"/>
    <w:basedOn w:val="Normal"/>
    <w:rsid w:val="002E2CC6"/>
    <w:pPr>
      <w:shd w:val="clear" w:color="000000" w:fill="F79646"/>
      <w:spacing w:before="100" w:beforeAutospacing="1" w:after="100" w:afterAutospacing="1"/>
      <w:jc w:val="left"/>
    </w:pPr>
    <w:rPr>
      <w:b/>
      <w:bCs/>
      <w:sz w:val="24"/>
    </w:rPr>
  </w:style>
  <w:style w:type="paragraph" w:customStyle="1" w:styleId="xl182">
    <w:name w:val="xl182"/>
    <w:basedOn w:val="Normal"/>
    <w:rsid w:val="002E2CC6"/>
    <w:pPr>
      <w:spacing w:before="100" w:beforeAutospacing="1" w:after="100" w:afterAutospacing="1"/>
      <w:jc w:val="left"/>
    </w:pPr>
    <w:rPr>
      <w:sz w:val="24"/>
    </w:rPr>
  </w:style>
  <w:style w:type="paragraph" w:customStyle="1" w:styleId="xl183">
    <w:name w:val="xl183"/>
    <w:basedOn w:val="Normal"/>
    <w:rsid w:val="002E2CC6"/>
    <w:pPr>
      <w:spacing w:before="100" w:beforeAutospacing="1" w:after="100" w:afterAutospacing="1"/>
      <w:jc w:val="left"/>
      <w:textAlignment w:val="center"/>
    </w:pPr>
    <w:rPr>
      <w:b/>
      <w:bCs/>
      <w:i/>
      <w:iCs/>
      <w:sz w:val="24"/>
    </w:rPr>
  </w:style>
  <w:style w:type="paragraph" w:customStyle="1" w:styleId="xl184">
    <w:name w:val="xl184"/>
    <w:basedOn w:val="Normal"/>
    <w:rsid w:val="002E2CC6"/>
    <w:pPr>
      <w:shd w:val="clear" w:color="000000" w:fill="F79646"/>
      <w:spacing w:before="100" w:beforeAutospacing="1" w:after="100" w:afterAutospacing="1"/>
      <w:jc w:val="center"/>
    </w:pPr>
    <w:rPr>
      <w:b/>
      <w:bCs/>
      <w:sz w:val="24"/>
    </w:rPr>
  </w:style>
  <w:style w:type="paragraph" w:customStyle="1" w:styleId="xl185">
    <w:name w:val="xl185"/>
    <w:basedOn w:val="Normal"/>
    <w:rsid w:val="002E2CC6"/>
    <w:pPr>
      <w:shd w:val="clear" w:color="000000" w:fill="F79646"/>
      <w:spacing w:before="100" w:beforeAutospacing="1" w:after="100" w:afterAutospacing="1"/>
      <w:jc w:val="center"/>
    </w:pPr>
    <w:rPr>
      <w:b/>
      <w:bCs/>
      <w:i/>
      <w:iCs/>
      <w:sz w:val="24"/>
    </w:rPr>
  </w:style>
  <w:style w:type="paragraph" w:customStyle="1" w:styleId="xl186">
    <w:name w:val="xl186"/>
    <w:basedOn w:val="Normal"/>
    <w:rsid w:val="002E2CC6"/>
    <w:pPr>
      <w:shd w:val="clear" w:color="000000" w:fill="0070C0"/>
      <w:spacing w:before="100" w:beforeAutospacing="1" w:after="100" w:afterAutospacing="1"/>
      <w:jc w:val="center"/>
    </w:pPr>
    <w:rPr>
      <w:b/>
      <w:bCs/>
      <w:color w:val="FFFFFF"/>
      <w:sz w:val="24"/>
    </w:rPr>
  </w:style>
  <w:style w:type="paragraph" w:customStyle="1" w:styleId="xl187">
    <w:name w:val="xl187"/>
    <w:basedOn w:val="Normal"/>
    <w:rsid w:val="002E2CC6"/>
    <w:pPr>
      <w:spacing w:before="100" w:beforeAutospacing="1" w:after="100" w:afterAutospacing="1"/>
      <w:jc w:val="center"/>
    </w:pPr>
    <w:rPr>
      <w:b/>
      <w:bCs/>
      <w:i/>
      <w:iCs/>
      <w:sz w:val="24"/>
    </w:rPr>
  </w:style>
  <w:style w:type="paragraph" w:customStyle="1" w:styleId="xl188">
    <w:name w:val="xl188"/>
    <w:basedOn w:val="Normal"/>
    <w:rsid w:val="002E2CC6"/>
    <w:pPr>
      <w:spacing w:before="100" w:beforeAutospacing="1" w:after="100" w:afterAutospacing="1"/>
      <w:jc w:val="center"/>
    </w:pPr>
    <w:rPr>
      <w:sz w:val="24"/>
    </w:rPr>
  </w:style>
  <w:style w:type="paragraph" w:customStyle="1" w:styleId="xl189">
    <w:name w:val="xl189"/>
    <w:basedOn w:val="Normal"/>
    <w:rsid w:val="002E2CC6"/>
    <w:pPr>
      <w:shd w:val="clear" w:color="000000" w:fill="95B3D7"/>
      <w:spacing w:before="100" w:beforeAutospacing="1" w:after="100" w:afterAutospacing="1"/>
      <w:jc w:val="center"/>
      <w:textAlignment w:val="center"/>
    </w:pPr>
    <w:rPr>
      <w:sz w:val="24"/>
    </w:rPr>
  </w:style>
  <w:style w:type="paragraph" w:customStyle="1" w:styleId="xl190">
    <w:name w:val="xl190"/>
    <w:basedOn w:val="Normal"/>
    <w:rsid w:val="002E2CC6"/>
    <w:pPr>
      <w:spacing w:before="100" w:beforeAutospacing="1" w:after="100" w:afterAutospacing="1"/>
      <w:jc w:val="center"/>
      <w:textAlignment w:val="center"/>
    </w:pPr>
    <w:rPr>
      <w:color w:val="808080"/>
      <w:sz w:val="24"/>
    </w:rPr>
  </w:style>
  <w:style w:type="paragraph" w:customStyle="1" w:styleId="xl191">
    <w:name w:val="xl191"/>
    <w:basedOn w:val="Normal"/>
    <w:rsid w:val="002E2CC6"/>
    <w:pPr>
      <w:spacing w:before="100" w:beforeAutospacing="1" w:after="100" w:afterAutospacing="1"/>
      <w:jc w:val="left"/>
      <w:textAlignment w:val="center"/>
    </w:pPr>
    <w:rPr>
      <w:b/>
      <w:bCs/>
      <w:color w:val="808080"/>
      <w:sz w:val="24"/>
    </w:rPr>
  </w:style>
  <w:style w:type="paragraph" w:customStyle="1" w:styleId="xl192">
    <w:name w:val="xl192"/>
    <w:basedOn w:val="Normal"/>
    <w:rsid w:val="002E2CC6"/>
    <w:pPr>
      <w:spacing w:before="100" w:beforeAutospacing="1" w:after="100" w:afterAutospacing="1"/>
      <w:jc w:val="left"/>
    </w:pPr>
    <w:rPr>
      <w:sz w:val="24"/>
    </w:rPr>
  </w:style>
  <w:style w:type="paragraph" w:customStyle="1" w:styleId="xl193">
    <w:name w:val="xl193"/>
    <w:basedOn w:val="Normal"/>
    <w:rsid w:val="002E2CC6"/>
    <w:pPr>
      <w:shd w:val="clear" w:color="000000" w:fill="B8CCE4"/>
      <w:spacing w:before="100" w:beforeAutospacing="1" w:after="100" w:afterAutospacing="1"/>
      <w:jc w:val="center"/>
      <w:textAlignment w:val="center"/>
    </w:pPr>
    <w:rPr>
      <w:sz w:val="24"/>
    </w:rPr>
  </w:style>
  <w:style w:type="paragraph" w:customStyle="1" w:styleId="xl194">
    <w:name w:val="xl194"/>
    <w:basedOn w:val="Normal"/>
    <w:rsid w:val="002E2CC6"/>
    <w:pPr>
      <w:shd w:val="clear" w:color="000000" w:fill="B8CCE4"/>
      <w:spacing w:before="100" w:beforeAutospacing="1" w:after="100" w:afterAutospacing="1"/>
      <w:jc w:val="left"/>
      <w:textAlignment w:val="center"/>
    </w:pPr>
    <w:rPr>
      <w:sz w:val="24"/>
    </w:rPr>
  </w:style>
  <w:style w:type="paragraph" w:customStyle="1" w:styleId="xl195">
    <w:name w:val="xl195"/>
    <w:basedOn w:val="Normal"/>
    <w:rsid w:val="002E2CC6"/>
    <w:pPr>
      <w:shd w:val="clear" w:color="000000" w:fill="B8CCE4"/>
      <w:spacing w:before="100" w:beforeAutospacing="1" w:after="100" w:afterAutospacing="1"/>
      <w:jc w:val="center"/>
      <w:textAlignment w:val="center"/>
    </w:pPr>
    <w:rPr>
      <w:sz w:val="24"/>
    </w:rPr>
  </w:style>
  <w:style w:type="paragraph" w:customStyle="1" w:styleId="xl196">
    <w:name w:val="xl196"/>
    <w:basedOn w:val="Normal"/>
    <w:rsid w:val="002E2CC6"/>
    <w:pPr>
      <w:shd w:val="clear" w:color="000000" w:fill="B8CCE4"/>
      <w:spacing w:before="100" w:beforeAutospacing="1" w:after="100" w:afterAutospacing="1"/>
      <w:jc w:val="left"/>
      <w:textAlignment w:val="center"/>
    </w:pPr>
    <w:rPr>
      <w:sz w:val="24"/>
    </w:rPr>
  </w:style>
  <w:style w:type="paragraph" w:customStyle="1" w:styleId="xl197">
    <w:name w:val="xl197"/>
    <w:basedOn w:val="Normal"/>
    <w:rsid w:val="002E2CC6"/>
    <w:pPr>
      <w:shd w:val="clear" w:color="000000" w:fill="B8CCE4"/>
      <w:spacing w:before="100" w:beforeAutospacing="1" w:after="100" w:afterAutospacing="1"/>
      <w:jc w:val="left"/>
    </w:pPr>
    <w:rPr>
      <w:sz w:val="24"/>
    </w:rPr>
  </w:style>
  <w:style w:type="paragraph" w:customStyle="1" w:styleId="xl198">
    <w:name w:val="xl198"/>
    <w:basedOn w:val="Normal"/>
    <w:rsid w:val="002E2CC6"/>
    <w:pPr>
      <w:spacing w:before="100" w:beforeAutospacing="1" w:after="100" w:afterAutospacing="1"/>
      <w:jc w:val="left"/>
      <w:textAlignment w:val="center"/>
    </w:pPr>
    <w:rPr>
      <w:i/>
      <w:iCs/>
      <w:color w:val="808080"/>
      <w:sz w:val="24"/>
    </w:rPr>
  </w:style>
  <w:style w:type="paragraph" w:customStyle="1" w:styleId="xl199">
    <w:name w:val="xl199"/>
    <w:basedOn w:val="Normal"/>
    <w:rsid w:val="002E2CC6"/>
    <w:pPr>
      <w:spacing w:before="100" w:beforeAutospacing="1" w:after="100" w:afterAutospacing="1"/>
      <w:jc w:val="center"/>
      <w:textAlignment w:val="center"/>
    </w:pPr>
    <w:rPr>
      <w:b/>
      <w:bCs/>
      <w:sz w:val="24"/>
    </w:rPr>
  </w:style>
  <w:style w:type="paragraph" w:customStyle="1" w:styleId="xl200">
    <w:name w:val="xl200"/>
    <w:basedOn w:val="Normal"/>
    <w:rsid w:val="002E2CC6"/>
    <w:pPr>
      <w:spacing w:before="100" w:beforeAutospacing="1" w:after="100" w:afterAutospacing="1"/>
      <w:jc w:val="center"/>
      <w:textAlignment w:val="center"/>
    </w:pPr>
    <w:rPr>
      <w:sz w:val="24"/>
    </w:rPr>
  </w:style>
  <w:style w:type="paragraph" w:customStyle="1" w:styleId="xl201">
    <w:name w:val="xl201"/>
    <w:basedOn w:val="Normal"/>
    <w:rsid w:val="002E2CC6"/>
    <w:pPr>
      <w:spacing w:before="100" w:beforeAutospacing="1" w:after="100" w:afterAutospacing="1"/>
      <w:jc w:val="center"/>
      <w:textAlignment w:val="center"/>
    </w:pPr>
    <w:rPr>
      <w:i/>
      <w:iCs/>
      <w:color w:val="808080"/>
      <w:sz w:val="24"/>
    </w:rPr>
  </w:style>
  <w:style w:type="paragraph" w:customStyle="1" w:styleId="xl202">
    <w:name w:val="xl202"/>
    <w:basedOn w:val="Normal"/>
    <w:rsid w:val="002E2CC6"/>
    <w:pPr>
      <w:spacing w:before="100" w:beforeAutospacing="1" w:after="100" w:afterAutospacing="1"/>
      <w:jc w:val="left"/>
    </w:pPr>
    <w:rPr>
      <w:b/>
      <w:bCs/>
      <w:i/>
      <w:iCs/>
      <w:sz w:val="24"/>
    </w:rPr>
  </w:style>
  <w:style w:type="paragraph" w:customStyle="1" w:styleId="xl203">
    <w:name w:val="xl203"/>
    <w:basedOn w:val="Normal"/>
    <w:rsid w:val="002E2CC6"/>
    <w:pPr>
      <w:spacing w:before="100" w:beforeAutospacing="1" w:after="100" w:afterAutospacing="1"/>
      <w:jc w:val="left"/>
    </w:pPr>
    <w:rPr>
      <w:b/>
      <w:bCs/>
      <w:i/>
      <w:iCs/>
      <w:sz w:val="24"/>
    </w:rPr>
  </w:style>
  <w:style w:type="paragraph" w:styleId="Title">
    <w:name w:val="Title"/>
    <w:basedOn w:val="Normal"/>
    <w:next w:val="Normal"/>
    <w:link w:val="TitleChar"/>
    <w:uiPriority w:val="10"/>
    <w:qFormat/>
    <w:locked/>
    <w:rsid w:val="00A41692"/>
    <w:pPr>
      <w:shd w:val="clear" w:color="auto" w:fill="94B6D2" w:themeFill="accent1"/>
      <w:spacing w:after="200" w:line="276" w:lineRule="auto"/>
      <w:jc w:val="left"/>
    </w:pPr>
    <w:rPr>
      <w:rFonts w:eastAsiaTheme="minorHAnsi"/>
      <w:b/>
      <w:color w:val="FFFFFF" w:themeColor="background1"/>
      <w:sz w:val="24"/>
      <w:szCs w:val="22"/>
    </w:rPr>
  </w:style>
  <w:style w:type="character" w:customStyle="1" w:styleId="TitleChar">
    <w:name w:val="Title Char"/>
    <w:basedOn w:val="DefaultParagraphFont"/>
    <w:link w:val="Title"/>
    <w:uiPriority w:val="10"/>
    <w:rsid w:val="00A41692"/>
    <w:rPr>
      <w:b/>
      <w:color w:val="FFFFFF" w:themeColor="background1"/>
      <w:sz w:val="24"/>
      <w:shd w:val="clear" w:color="auto" w:fill="94B6D2" w:themeFill="accent1"/>
      <w:lang w:val="fr-FR"/>
    </w:rPr>
  </w:style>
  <w:style w:type="table" w:styleId="LightShading-Accent1">
    <w:name w:val="Light Shading Accent 1"/>
    <w:basedOn w:val="TableNormal"/>
    <w:uiPriority w:val="60"/>
    <w:rsid w:val="00A41692"/>
    <w:pPr>
      <w:spacing w:after="0" w:line="240" w:lineRule="auto"/>
    </w:pPr>
    <w:rPr>
      <w:color w:val="548AB7" w:themeColor="accent1" w:themeShade="BF"/>
      <w:lang w:val="fr-FR"/>
    </w:rPr>
    <w:tblPr>
      <w:tblStyleRowBandSize w:val="1"/>
      <w:tblStyleColBandSize w:val="1"/>
      <w:tblInd w:w="0" w:type="dxa"/>
      <w:tblBorders>
        <w:top w:val="single" w:sz="8" w:space="0" w:color="94B6D2" w:themeColor="accent1"/>
        <w:bottom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character" w:customStyle="1" w:styleId="apple-converted-space">
    <w:name w:val="apple-converted-space"/>
    <w:basedOn w:val="DefaultParagraphFont"/>
    <w:rsid w:val="008F0D21"/>
  </w:style>
  <w:style w:type="table" w:customStyle="1" w:styleId="TableauGrille4-Accentuation11">
    <w:name w:val="Tableau Grille 4 - Accentuation 11"/>
    <w:basedOn w:val="TableNormal"/>
    <w:uiPriority w:val="49"/>
    <w:rsid w:val="00CC639A"/>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character" w:styleId="Strong">
    <w:name w:val="Strong"/>
    <w:basedOn w:val="DefaultParagraphFont"/>
    <w:uiPriority w:val="22"/>
    <w:qFormat/>
    <w:rsid w:val="002616FF"/>
    <w:rPr>
      <w:b/>
      <w:bCs/>
    </w:rPr>
  </w:style>
  <w:style w:type="character" w:customStyle="1" w:styleId="lang-en">
    <w:name w:val="lang-en"/>
    <w:basedOn w:val="DefaultParagraphFont"/>
    <w:rsid w:val="001A2044"/>
  </w:style>
  <w:style w:type="paragraph" w:styleId="Revision">
    <w:name w:val="Revision"/>
    <w:hidden/>
    <w:uiPriority w:val="99"/>
    <w:semiHidden/>
    <w:rsid w:val="00B95B2D"/>
    <w:pPr>
      <w:spacing w:after="0" w:line="240" w:lineRule="auto"/>
    </w:pPr>
    <w:rPr>
      <w:rFonts w:ascii="Tw Cen MT" w:eastAsiaTheme="minorEastAsia" w:hAnsi="Tw Cen MT"/>
      <w:szCs w:val="23"/>
      <w:lang w:val="fr-FR"/>
    </w:rPr>
  </w:style>
  <w:style w:type="table" w:customStyle="1" w:styleId="TableauGrille4-Accentuation12">
    <w:name w:val="Tableau Grille 4 - Accentuation 12"/>
    <w:basedOn w:val="TableNormal"/>
    <w:uiPriority w:val="49"/>
    <w:rsid w:val="001779D3"/>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styleId="PlainText">
    <w:name w:val="Plain Text"/>
    <w:basedOn w:val="Normal"/>
    <w:link w:val="PlainTextChar"/>
    <w:uiPriority w:val="99"/>
    <w:unhideWhenUsed/>
    <w:rsid w:val="009F05AB"/>
    <w:pPr>
      <w:spacing w:after="0"/>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9F05AB"/>
    <w:rPr>
      <w:rFonts w:ascii="Consolas" w:eastAsia="Calibri" w:hAnsi="Consolas" w:cs="Times New Roman"/>
      <w:sz w:val="21"/>
      <w:szCs w:val="21"/>
      <w:lang w:val="fr-FR"/>
    </w:rPr>
  </w:style>
  <w:style w:type="character" w:customStyle="1" w:styleId="tagtrans">
    <w:name w:val="tag_trans"/>
    <w:basedOn w:val="DefaultParagraphFont"/>
    <w:rsid w:val="002F0DF4"/>
  </w:style>
  <w:style w:type="table" w:customStyle="1" w:styleId="TableauGrille5Fonc-Accentuation11">
    <w:name w:val="Tableau Grille 5 Foncé - Accentuation 11"/>
    <w:basedOn w:val="TableNormal"/>
    <w:uiPriority w:val="50"/>
    <w:rsid w:val="004A015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TableauListe4-Accentuation11">
    <w:name w:val="Tableau Liste 4 - Accentuation 11"/>
    <w:basedOn w:val="TableNormal"/>
    <w:uiPriority w:val="49"/>
    <w:rsid w:val="004A0153"/>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numbering" w:customStyle="1" w:styleId="NoList1">
    <w:name w:val="No List1"/>
    <w:next w:val="NoList"/>
    <w:uiPriority w:val="99"/>
    <w:semiHidden/>
    <w:unhideWhenUsed/>
    <w:rsid w:val="005C066A"/>
  </w:style>
  <w:style w:type="table" w:customStyle="1" w:styleId="TableGrid1">
    <w:name w:val="Table Grid1"/>
    <w:basedOn w:val="TableNormal"/>
    <w:next w:val="TableGrid"/>
    <w:uiPriority w:val="59"/>
    <w:rsid w:val="005C06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Grid3-Accent41">
    <w:name w:val="Medium Grid 3 - Accent 41"/>
    <w:basedOn w:val="TableNormal"/>
    <w:next w:val="MediumGrid3-Accent4"/>
    <w:uiPriority w:val="44"/>
    <w:rsid w:val="005C06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customStyle="1" w:styleId="ColorfulShading-Accent11">
    <w:name w:val="Colorful Shading - Accent 11"/>
    <w:basedOn w:val="TableNormal"/>
    <w:next w:val="ColorfulShading-Accent1"/>
    <w:uiPriority w:val="41"/>
    <w:rsid w:val="005C066A"/>
    <w:pPr>
      <w:spacing w:after="0" w:line="240" w:lineRule="auto"/>
    </w:pPr>
    <w:rPr>
      <w:color w:val="000000" w:themeColor="text1"/>
    </w:rPr>
    <w:tblPr>
      <w:tblStyleRowBandSize w:val="1"/>
      <w:tblStyleColBandSize w:val="1"/>
      <w:tblInd w:w="0" w:type="dxa"/>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customStyle="1" w:styleId="DarkList-Accent11">
    <w:name w:val="Dark List - Accent 11"/>
    <w:basedOn w:val="TableNormal"/>
    <w:next w:val="DarkList-Accent1"/>
    <w:uiPriority w:val="41"/>
    <w:rsid w:val="005C06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customStyle="1" w:styleId="Grillemoyenne211">
    <w:name w:val="Grille moyenne 211"/>
    <w:basedOn w:val="TableNormal"/>
    <w:uiPriority w:val="40"/>
    <w:rsid w:val="005C06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claire11">
    <w:name w:val="Grille claire11"/>
    <w:basedOn w:val="TableNormal"/>
    <w:uiPriority w:val="40"/>
    <w:rsid w:val="005C066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ouleur11">
    <w:name w:val="Grille couleur11"/>
    <w:basedOn w:val="TableNormal"/>
    <w:uiPriority w:val="40"/>
    <w:rsid w:val="005C06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Shading2-Accent61">
    <w:name w:val="Medium Shading 2 - Accent 61"/>
    <w:basedOn w:val="TableNormal"/>
    <w:next w:val="MediumShading2-Accent6"/>
    <w:uiPriority w:val="46"/>
    <w:rsid w:val="005C06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DarkList-Accent31">
    <w:name w:val="Dark List - Accent 31"/>
    <w:basedOn w:val="TableNormal"/>
    <w:next w:val="DarkList-Accent3"/>
    <w:uiPriority w:val="43"/>
    <w:rsid w:val="005C06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customStyle="1" w:styleId="Listeclaire-Accent111">
    <w:name w:val="Liste claire - Accent 111"/>
    <w:basedOn w:val="TableNormal"/>
    <w:uiPriority w:val="41"/>
    <w:rsid w:val="005C066A"/>
    <w:pPr>
      <w:spacing w:after="0" w:line="240" w:lineRule="auto"/>
    </w:pPr>
    <w:tblPr>
      <w:tblStyleRowBandSize w:val="1"/>
      <w:tblStyleColBandSize w:val="1"/>
      <w:tblInd w:w="0" w:type="dxa"/>
      <w:tblBorders>
        <w:top w:val="single" w:sz="8" w:space="0" w:color="94B6D2" w:themeColor="accent1"/>
        <w:left w:val="single" w:sz="8" w:space="0" w:color="94B6D2" w:themeColor="accent1"/>
        <w:bottom w:val="single" w:sz="8" w:space="0" w:color="94B6D2" w:themeColor="accent1"/>
        <w:right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customStyle="1" w:styleId="ColorfulGrid-Accent11">
    <w:name w:val="Colorful Grid - Accent 11"/>
    <w:basedOn w:val="TableNormal"/>
    <w:next w:val="ColorfulGrid-Accent1"/>
    <w:uiPriority w:val="41"/>
    <w:rsid w:val="005C06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customStyle="1" w:styleId="ColorfulGrid-Accent21">
    <w:name w:val="Colorful Grid - Accent 21"/>
    <w:basedOn w:val="TableNormal"/>
    <w:next w:val="ColorfulGrid-Accent2"/>
    <w:uiPriority w:val="42"/>
    <w:rsid w:val="005C06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customStyle="1" w:styleId="LightList-Accent31">
    <w:name w:val="Light List - Accent 31"/>
    <w:basedOn w:val="TableNormal"/>
    <w:next w:val="LightList-Accent3"/>
    <w:uiPriority w:val="61"/>
    <w:rsid w:val="005C066A"/>
    <w:pPr>
      <w:spacing w:after="0" w:line="240" w:lineRule="auto"/>
    </w:pPr>
    <w:rPr>
      <w:lang w:val="fr-FR"/>
    </w:rPr>
    <w:tblPr>
      <w:tblStyleRowBandSize w:val="1"/>
      <w:tblStyleColBandSize w:val="1"/>
      <w:tblInd w:w="0" w:type="dxa"/>
      <w:tblBorders>
        <w:top w:val="single" w:sz="8" w:space="0" w:color="A5AB81" w:themeColor="accent3"/>
        <w:left w:val="single" w:sz="8" w:space="0" w:color="A5AB81" w:themeColor="accent3"/>
        <w:bottom w:val="single" w:sz="8" w:space="0" w:color="A5AB81" w:themeColor="accent3"/>
        <w:right w:val="single" w:sz="8" w:space="0" w:color="A5AB8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customStyle="1" w:styleId="LightShading-Accent11">
    <w:name w:val="Light Shading - Accent 11"/>
    <w:basedOn w:val="TableNormal"/>
    <w:next w:val="LightShading-Accent1"/>
    <w:uiPriority w:val="60"/>
    <w:rsid w:val="005C066A"/>
    <w:pPr>
      <w:spacing w:after="0" w:line="240" w:lineRule="auto"/>
    </w:pPr>
    <w:rPr>
      <w:color w:val="548AB7" w:themeColor="accent1" w:themeShade="BF"/>
      <w:lang w:val="fr-FR"/>
    </w:rPr>
    <w:tblPr>
      <w:tblStyleRowBandSize w:val="1"/>
      <w:tblStyleColBandSize w:val="1"/>
      <w:tblInd w:w="0" w:type="dxa"/>
      <w:tblBorders>
        <w:top w:val="single" w:sz="8" w:space="0" w:color="94B6D2" w:themeColor="accent1"/>
        <w:bottom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customStyle="1" w:styleId="TableauGrille4-Accentuation111">
    <w:name w:val="Tableau Grille 4 - Accentuation 111"/>
    <w:basedOn w:val="TableNormal"/>
    <w:uiPriority w:val="49"/>
    <w:rsid w:val="005C066A"/>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11">
    <w:name w:val="Grid Table 4 - Accent 11"/>
    <w:basedOn w:val="TableNormal"/>
    <w:uiPriority w:val="49"/>
    <w:rsid w:val="005C066A"/>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styleId="HTMLPreformatted">
    <w:name w:val="HTML Preformatted"/>
    <w:basedOn w:val="Normal"/>
    <w:link w:val="HTMLPreformattedChar"/>
    <w:uiPriority w:val="99"/>
    <w:unhideWhenUsed/>
    <w:rsid w:val="001F1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1F102E"/>
    <w:rPr>
      <w:rFonts w:ascii="Courier New" w:eastAsia="Times New Roman" w:hAnsi="Courier New" w:cs="Courier New"/>
      <w:sz w:val="20"/>
      <w:szCs w:val="20"/>
      <w:lang w:val="en-GB" w:eastAsia="en-GB"/>
    </w:rPr>
  </w:style>
  <w:style w:type="character" w:customStyle="1" w:styleId="citation">
    <w:name w:val="citation"/>
    <w:basedOn w:val="DefaultParagraphFont"/>
    <w:rsid w:val="00A005AE"/>
  </w:style>
  <w:style w:type="character" w:customStyle="1" w:styleId="ListParagraphChar1">
    <w:name w:val="List Paragraph Char1"/>
    <w:aliases w:val="References Char1,Liste couleur - Accent 11 Char,Paragraphe de liste2 Char,Liste couleur - Accent 111 Char,Medium Grid 1 - Accent 21 Char,Bullets Char1,Paragraphe  revu Char1,List Paragraph (numbered (a)) Char1,Liste 1 Char1"/>
    <w:basedOn w:val="DefaultParagraphFont"/>
    <w:locked/>
    <w:rsid w:val="00547C9B"/>
    <w:rPr>
      <w:rFonts w:ascii="SimSun" w:eastAsiaTheme="minorEastAsia" w:hAnsi="SimSun"/>
      <w:lang w:eastAsia="fr-FR"/>
    </w:rPr>
  </w:style>
  <w:style w:type="paragraph" w:customStyle="1" w:styleId="Pa7">
    <w:name w:val="Pa7"/>
    <w:basedOn w:val="Normal"/>
    <w:next w:val="Normal"/>
    <w:rsid w:val="00547C9B"/>
    <w:pPr>
      <w:autoSpaceDE w:val="0"/>
      <w:autoSpaceDN w:val="0"/>
      <w:adjustRightInd w:val="0"/>
      <w:spacing w:after="0" w:line="241" w:lineRule="atLeast"/>
    </w:pPr>
    <w:rPr>
      <w:rFonts w:ascii="Frutiger LT Std 45 Light" w:eastAsiaTheme="minorHAnsi" w:hAnsi="Frutiger LT Std 45 Light"/>
      <w:sz w:val="24"/>
    </w:rPr>
  </w:style>
  <w:style w:type="table" w:customStyle="1" w:styleId="TableauGrille4-Accentuation13">
    <w:name w:val="Tableau Grille 4 - Accentuation 13"/>
    <w:basedOn w:val="TableNormal"/>
    <w:uiPriority w:val="49"/>
    <w:rsid w:val="00635695"/>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eauGrille5Fonc-Accentuation12">
    <w:name w:val="Tableau Grille 5 Foncé - Accentuation 12"/>
    <w:basedOn w:val="TableNormal"/>
    <w:uiPriority w:val="50"/>
    <w:rsid w:val="0063569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TableauListe4-Accentuation12">
    <w:name w:val="Tableau Liste 4 - Accentuation 12"/>
    <w:basedOn w:val="TableNormal"/>
    <w:uiPriority w:val="49"/>
    <w:rsid w:val="00635695"/>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character" w:customStyle="1" w:styleId="mainsitecolor">
    <w:name w:val="main_site_color"/>
    <w:basedOn w:val="DefaultParagraphFont"/>
    <w:rsid w:val="00F90E53"/>
  </w:style>
  <w:style w:type="character" w:customStyle="1" w:styleId="texto1">
    <w:name w:val="texto1"/>
    <w:basedOn w:val="DefaultParagraphFont"/>
    <w:rsid w:val="00B10D38"/>
  </w:style>
  <w:style w:type="character" w:styleId="HTMLCite">
    <w:name w:val="HTML Cite"/>
    <w:basedOn w:val="DefaultParagraphFont"/>
    <w:uiPriority w:val="99"/>
    <w:semiHidden/>
    <w:unhideWhenUsed/>
    <w:rsid w:val="003416C6"/>
    <w:rPr>
      <w:i/>
      <w:iCs/>
    </w:rPr>
  </w:style>
  <w:style w:type="character" w:customStyle="1" w:styleId="texttaille10">
    <w:name w:val="text_taille_10"/>
    <w:basedOn w:val="DefaultParagraphFont"/>
    <w:rsid w:val="00485B0C"/>
  </w:style>
  <w:style w:type="character" w:customStyle="1" w:styleId="texttaille11">
    <w:name w:val="text_taille_11"/>
    <w:basedOn w:val="DefaultParagraphFont"/>
    <w:rsid w:val="002B1BC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header" w:uiPriority="0"/>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locked="1" w:semiHidden="0" w:uiPriority="10" w:unhideWhenUsed="0" w:qFormat="1"/>
    <w:lsdException w:name="Default Paragraph Font" w:uiPriority="1"/>
    <w:lsdException w:name="Subtitle" w:locked="1"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locked="1" w:uiPriority="1" w:unhideWhenUsed="0"/>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60"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61"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4C5"/>
    <w:pPr>
      <w:spacing w:after="120" w:line="240" w:lineRule="auto"/>
      <w:jc w:val="both"/>
    </w:pPr>
    <w:rPr>
      <w:rFonts w:eastAsia="Times New Roman" w:cs="Times New Roman"/>
      <w:szCs w:val="24"/>
      <w:lang w:val="fr-FR" w:eastAsia="fr-FR"/>
    </w:rPr>
  </w:style>
  <w:style w:type="paragraph" w:styleId="Heading1">
    <w:name w:val="heading 1"/>
    <w:basedOn w:val="Normal"/>
    <w:next w:val="Normal"/>
    <w:link w:val="Heading1Char"/>
    <w:uiPriority w:val="9"/>
    <w:unhideWhenUsed/>
    <w:qFormat/>
    <w:rsid w:val="00FB4D8F"/>
    <w:pPr>
      <w:pageBreakBefore/>
      <w:pBdr>
        <w:bottom w:val="single" w:sz="4" w:space="1" w:color="404040" w:themeColor="text1" w:themeTint="BF"/>
      </w:pBdr>
      <w:spacing w:before="240" w:after="300"/>
      <w:ind w:left="357" w:hanging="357"/>
      <w:outlineLvl w:val="0"/>
    </w:pPr>
    <w:rPr>
      <w:rFonts w:eastAsiaTheme="majorEastAsia" w:cstheme="majorBidi"/>
      <w:b/>
      <w:smallCaps/>
      <w:color w:val="775F55" w:themeColor="text2"/>
      <w:sz w:val="40"/>
      <w:szCs w:val="48"/>
    </w:rPr>
  </w:style>
  <w:style w:type="paragraph" w:styleId="Heading2">
    <w:name w:val="heading 2"/>
    <w:basedOn w:val="Normal"/>
    <w:next w:val="Normal"/>
    <w:link w:val="Heading2Char"/>
    <w:uiPriority w:val="9"/>
    <w:unhideWhenUsed/>
    <w:qFormat/>
    <w:rsid w:val="00B67EFD"/>
    <w:pPr>
      <w:numPr>
        <w:numId w:val="26"/>
      </w:numPr>
      <w:spacing w:before="240" w:after="240"/>
      <w:outlineLvl w:val="1"/>
    </w:pPr>
    <w:rPr>
      <w:b/>
      <w:bCs/>
      <w:color w:val="548AB7" w:themeColor="accent1" w:themeShade="BF"/>
      <w:sz w:val="32"/>
      <w:szCs w:val="28"/>
    </w:rPr>
  </w:style>
  <w:style w:type="paragraph" w:styleId="Heading3">
    <w:name w:val="heading 3"/>
    <w:basedOn w:val="Normal"/>
    <w:next w:val="Normal"/>
    <w:link w:val="Heading3Char"/>
    <w:uiPriority w:val="9"/>
    <w:unhideWhenUsed/>
    <w:qFormat/>
    <w:rsid w:val="00B67EFD"/>
    <w:pPr>
      <w:numPr>
        <w:ilvl w:val="1"/>
        <w:numId w:val="13"/>
      </w:numPr>
      <w:spacing w:before="200" w:after="200"/>
      <w:outlineLvl w:val="2"/>
    </w:pPr>
    <w:rPr>
      <w:b/>
      <w:bCs/>
      <w:color w:val="DD8047" w:themeColor="accent2"/>
      <w:sz w:val="28"/>
    </w:rPr>
  </w:style>
  <w:style w:type="paragraph" w:styleId="Heading4">
    <w:name w:val="heading 4"/>
    <w:basedOn w:val="Normal"/>
    <w:next w:val="Normal"/>
    <w:link w:val="Heading4Char"/>
    <w:autoRedefine/>
    <w:uiPriority w:val="9"/>
    <w:unhideWhenUsed/>
    <w:qFormat/>
    <w:rsid w:val="00B67EFD"/>
    <w:pPr>
      <w:numPr>
        <w:ilvl w:val="2"/>
        <w:numId w:val="26"/>
      </w:numPr>
      <w:spacing w:before="160" w:after="160"/>
      <w:outlineLvl w:val="3"/>
    </w:pPr>
    <w:rPr>
      <w:rFonts w:eastAsiaTheme="minorHAnsi"/>
      <w:b/>
      <w:sz w:val="24"/>
      <w:szCs w:val="22"/>
      <w:lang w:val="en-US" w:eastAsia="en-US"/>
    </w:rPr>
  </w:style>
  <w:style w:type="paragraph" w:styleId="Heading5">
    <w:name w:val="heading 5"/>
    <w:next w:val="Normal"/>
    <w:link w:val="Heading5Char"/>
    <w:uiPriority w:val="9"/>
    <w:qFormat/>
    <w:rsid w:val="00DF187B"/>
    <w:pPr>
      <w:numPr>
        <w:numId w:val="11"/>
      </w:numPr>
      <w:spacing w:after="120"/>
      <w:outlineLvl w:val="4"/>
    </w:pPr>
    <w:rPr>
      <w:rFonts w:eastAsia="Times New Roman" w:cs="Times New Roman"/>
      <w:bCs/>
      <w:spacing w:val="10"/>
      <w:szCs w:val="24"/>
      <w:u w:val="single"/>
      <w:lang w:val="fr-FR" w:eastAsia="fr-FR"/>
    </w:rPr>
  </w:style>
  <w:style w:type="paragraph" w:styleId="Heading6">
    <w:name w:val="heading 6"/>
    <w:basedOn w:val="Normal"/>
    <w:next w:val="Normal"/>
    <w:link w:val="Heading6Char"/>
    <w:uiPriority w:val="9"/>
    <w:unhideWhenUsed/>
    <w:qFormat/>
    <w:locked/>
    <w:rsid w:val="006123CA"/>
    <w:pPr>
      <w:numPr>
        <w:numId w:val="9"/>
      </w:numPr>
      <w:outlineLvl w:val="5"/>
    </w:pPr>
    <w:rPr>
      <w:b/>
      <w:bCs/>
      <w:color w:val="DD8047" w:themeColor="accent2"/>
      <w:spacing w:val="10"/>
    </w:rPr>
  </w:style>
  <w:style w:type="paragraph" w:styleId="Heading7">
    <w:name w:val="heading 7"/>
    <w:basedOn w:val="Normal"/>
    <w:next w:val="Normal"/>
    <w:link w:val="Heading7Char"/>
    <w:uiPriority w:val="9"/>
    <w:unhideWhenUsed/>
    <w:qFormat/>
    <w:locked/>
    <w:rsid w:val="005A5297"/>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locked/>
    <w:rsid w:val="005A5297"/>
    <w:pPr>
      <w:spacing w:after="0"/>
      <w:outlineLvl w:val="7"/>
    </w:pPr>
    <w:rPr>
      <w:b/>
      <w:bCs/>
      <w:i/>
      <w:iCs/>
      <w:color w:val="94B6D2" w:themeColor="accent1"/>
      <w:spacing w:val="10"/>
      <w:sz w:val="24"/>
    </w:rPr>
  </w:style>
  <w:style w:type="paragraph" w:styleId="Heading9">
    <w:name w:val="heading 9"/>
    <w:basedOn w:val="Normal"/>
    <w:next w:val="Normal"/>
    <w:link w:val="Heading9Char"/>
    <w:uiPriority w:val="9"/>
    <w:semiHidden/>
    <w:unhideWhenUsed/>
    <w:qFormat/>
    <w:locked/>
    <w:rsid w:val="005A5297"/>
    <w:pPr>
      <w:spacing w:after="0"/>
      <w:outlineLvl w:val="8"/>
    </w:pPr>
    <w:rPr>
      <w:b/>
      <w:bCs/>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D8F"/>
    <w:rPr>
      <w:rFonts w:ascii="Tw Cen MT" w:eastAsiaTheme="majorEastAsia" w:hAnsi="Tw Cen MT" w:cstheme="majorBidi"/>
      <w:b/>
      <w:smallCaps/>
      <w:color w:val="775F55" w:themeColor="text2"/>
      <w:sz w:val="40"/>
      <w:szCs w:val="48"/>
      <w:lang w:val="fr-FR"/>
    </w:rPr>
  </w:style>
  <w:style w:type="character" w:customStyle="1" w:styleId="Heading2Char">
    <w:name w:val="Heading 2 Char"/>
    <w:basedOn w:val="DefaultParagraphFont"/>
    <w:link w:val="Heading2"/>
    <w:uiPriority w:val="9"/>
    <w:rsid w:val="00B67EFD"/>
    <w:rPr>
      <w:rFonts w:eastAsia="Times New Roman" w:cs="Times New Roman"/>
      <w:b/>
      <w:bCs/>
      <w:color w:val="548AB7" w:themeColor="accent1" w:themeShade="BF"/>
      <w:sz w:val="32"/>
      <w:szCs w:val="28"/>
      <w:lang w:val="fr-FR" w:eastAsia="fr-FR"/>
    </w:rPr>
  </w:style>
  <w:style w:type="character" w:customStyle="1" w:styleId="Heading3Char">
    <w:name w:val="Heading 3 Char"/>
    <w:basedOn w:val="DefaultParagraphFont"/>
    <w:link w:val="Heading3"/>
    <w:uiPriority w:val="9"/>
    <w:rsid w:val="00B67EFD"/>
    <w:rPr>
      <w:rFonts w:eastAsia="Times New Roman" w:cs="Times New Roman"/>
      <w:b/>
      <w:bCs/>
      <w:color w:val="DD8047" w:themeColor="accent2"/>
      <w:sz w:val="28"/>
      <w:szCs w:val="24"/>
      <w:lang w:val="fr-FR" w:eastAsia="fr-FR"/>
    </w:rPr>
  </w:style>
  <w:style w:type="paragraph" w:styleId="Footer">
    <w:name w:val="footer"/>
    <w:basedOn w:val="Normal"/>
    <w:link w:val="FooterChar"/>
    <w:uiPriority w:val="99"/>
    <w:unhideWhenUsed/>
    <w:rsid w:val="00865FCD"/>
    <w:pPr>
      <w:pBdr>
        <w:top w:val="single" w:sz="4" w:space="1" w:color="94B6D2" w:themeColor="accent1"/>
      </w:pBdr>
      <w:tabs>
        <w:tab w:val="center" w:pos="4320"/>
        <w:tab w:val="right" w:pos="9498"/>
      </w:tabs>
      <w:jc w:val="right"/>
    </w:pPr>
    <w:rPr>
      <w:b/>
      <w:color w:val="548AB7" w:themeColor="accent1" w:themeShade="BF"/>
      <w:sz w:val="20"/>
    </w:rPr>
  </w:style>
  <w:style w:type="character" w:customStyle="1" w:styleId="FooterChar">
    <w:name w:val="Footer Char"/>
    <w:basedOn w:val="DefaultParagraphFont"/>
    <w:link w:val="Footer"/>
    <w:uiPriority w:val="99"/>
    <w:rsid w:val="00865FCD"/>
    <w:rPr>
      <w:rFonts w:ascii="Toga Serif" w:eastAsiaTheme="minorEastAsia" w:hAnsi="Toga Serif"/>
      <w:b/>
      <w:color w:val="548AB7" w:themeColor="accent1" w:themeShade="BF"/>
      <w:sz w:val="20"/>
      <w:szCs w:val="23"/>
      <w:lang w:val="fr-FR"/>
    </w:rPr>
  </w:style>
  <w:style w:type="paragraph" w:styleId="Header">
    <w:name w:val="header"/>
    <w:basedOn w:val="Normal"/>
    <w:link w:val="HeaderChar"/>
    <w:unhideWhenUsed/>
    <w:rsid w:val="00865FCD"/>
    <w:pPr>
      <w:tabs>
        <w:tab w:val="center" w:pos="4320"/>
        <w:tab w:val="right" w:pos="8640"/>
      </w:tabs>
    </w:pPr>
    <w:rPr>
      <w:color w:val="548AB7" w:themeColor="accent1" w:themeShade="BF"/>
    </w:rPr>
  </w:style>
  <w:style w:type="character" w:customStyle="1" w:styleId="HeaderChar">
    <w:name w:val="Header Char"/>
    <w:basedOn w:val="DefaultParagraphFont"/>
    <w:link w:val="Header"/>
    <w:rsid w:val="00865FCD"/>
    <w:rPr>
      <w:rFonts w:ascii="Toga Serif" w:eastAsiaTheme="minorEastAsia" w:hAnsi="Toga Serif"/>
      <w:color w:val="548AB7" w:themeColor="accent1" w:themeShade="BF"/>
      <w:szCs w:val="23"/>
      <w:lang w:val="fr-FR"/>
    </w:rPr>
  </w:style>
  <w:style w:type="paragraph" w:styleId="Subtitle">
    <w:name w:val="Subtitle"/>
    <w:basedOn w:val="Normal"/>
    <w:link w:val="SubtitleChar"/>
    <w:uiPriority w:val="11"/>
    <w:qFormat/>
    <w:locked/>
    <w:rsid w:val="005A5297"/>
    <w:pPr>
      <w:spacing w:after="720"/>
    </w:pPr>
    <w:rPr>
      <w:rFonts w:asciiTheme="majorHAnsi" w:eastAsiaTheme="majorEastAsia" w:hAnsiTheme="majorHAnsi" w:cstheme="majorBidi"/>
      <w:b/>
      <w:bCs/>
      <w:caps/>
      <w:color w:val="DD8047" w:themeColor="accent2"/>
      <w:spacing w:val="50"/>
      <w:sz w:val="24"/>
    </w:rPr>
  </w:style>
  <w:style w:type="character" w:customStyle="1" w:styleId="SubtitleChar">
    <w:name w:val="Subtitle Char"/>
    <w:basedOn w:val="DefaultParagraphFont"/>
    <w:link w:val="Subtitle"/>
    <w:uiPriority w:val="11"/>
    <w:rsid w:val="00DF0A97"/>
    <w:rPr>
      <w:rFonts w:asciiTheme="majorHAnsi" w:eastAsiaTheme="majorEastAsia" w:hAnsiTheme="majorHAnsi" w:cstheme="majorBidi"/>
      <w:b/>
      <w:bCs/>
      <w:caps/>
      <w:color w:val="DD8047" w:themeColor="accent2"/>
      <w:spacing w:val="50"/>
      <w:sz w:val="24"/>
      <w:szCs w:val="24"/>
      <w:lang w:val="fr-FR"/>
    </w:rPr>
  </w:style>
  <w:style w:type="paragraph" w:styleId="BalloonText">
    <w:name w:val="Balloon Text"/>
    <w:basedOn w:val="Normal"/>
    <w:link w:val="BalloonTextChar"/>
    <w:uiPriority w:val="99"/>
    <w:semiHidden/>
    <w:unhideWhenUsed/>
    <w:rsid w:val="005A5297"/>
    <w:rPr>
      <w:rFonts w:hAnsi="Tahoma"/>
      <w:sz w:val="16"/>
      <w:szCs w:val="16"/>
    </w:rPr>
  </w:style>
  <w:style w:type="character" w:customStyle="1" w:styleId="BalloonTextChar">
    <w:name w:val="Balloon Text Char"/>
    <w:basedOn w:val="DefaultParagraphFont"/>
    <w:link w:val="BalloonText"/>
    <w:uiPriority w:val="99"/>
    <w:semiHidden/>
    <w:rsid w:val="005A5297"/>
    <w:rPr>
      <w:rFonts w:eastAsiaTheme="minorEastAsia" w:hAnsi="Tahoma"/>
      <w:sz w:val="16"/>
      <w:szCs w:val="16"/>
      <w:lang w:val="fr-FR"/>
    </w:rPr>
  </w:style>
  <w:style w:type="paragraph" w:styleId="Caption">
    <w:name w:val="caption"/>
    <w:aliases w:val="LEGENDE,Map,figura,Table/Figure Heading,Caption- Figure,Caption- Figure1,Caption- Figure2,AGT ESIA,Figure Headings,Annexe,Caption Char,Caption Char Char Char Char,Caption Char Char Char,Table,headings,CPR Caption,Legenda Char,Didascalia SIA"/>
    <w:basedOn w:val="Normal"/>
    <w:next w:val="Normal"/>
    <w:link w:val="CaptionChar1"/>
    <w:uiPriority w:val="35"/>
    <w:unhideWhenUsed/>
    <w:qFormat/>
    <w:rsid w:val="00187D3C"/>
    <w:pPr>
      <w:jc w:val="center"/>
    </w:pPr>
    <w:rPr>
      <w:b/>
      <w:bCs/>
      <w:sz w:val="18"/>
      <w:szCs w:val="16"/>
    </w:rPr>
  </w:style>
  <w:style w:type="character" w:customStyle="1" w:styleId="Heading4Char">
    <w:name w:val="Heading 4 Char"/>
    <w:basedOn w:val="DefaultParagraphFont"/>
    <w:link w:val="Heading4"/>
    <w:uiPriority w:val="9"/>
    <w:rsid w:val="00B67EFD"/>
    <w:rPr>
      <w:rFonts w:cs="Times New Roman"/>
      <w:b/>
      <w:sz w:val="24"/>
    </w:rPr>
  </w:style>
  <w:style w:type="character" w:customStyle="1" w:styleId="Heading5Char">
    <w:name w:val="Heading 5 Char"/>
    <w:basedOn w:val="DefaultParagraphFont"/>
    <w:link w:val="Heading5"/>
    <w:uiPriority w:val="9"/>
    <w:rsid w:val="00DF187B"/>
    <w:rPr>
      <w:rFonts w:eastAsia="Times New Roman" w:cs="Times New Roman"/>
      <w:bCs/>
      <w:spacing w:val="10"/>
      <w:szCs w:val="24"/>
      <w:u w:val="single"/>
      <w:lang w:val="fr-FR" w:eastAsia="fr-FR"/>
    </w:rPr>
  </w:style>
  <w:style w:type="character" w:customStyle="1" w:styleId="Heading6Char">
    <w:name w:val="Heading 6 Char"/>
    <w:basedOn w:val="DefaultParagraphFont"/>
    <w:link w:val="Heading6"/>
    <w:uiPriority w:val="9"/>
    <w:rsid w:val="00A41692"/>
    <w:rPr>
      <w:rFonts w:eastAsia="Times New Roman" w:cs="Times New Roman"/>
      <w:b/>
      <w:bCs/>
      <w:color w:val="DD8047" w:themeColor="accent2"/>
      <w:spacing w:val="10"/>
      <w:szCs w:val="24"/>
      <w:lang w:val="fr-FR" w:eastAsia="fr-FR"/>
    </w:rPr>
  </w:style>
  <w:style w:type="character" w:customStyle="1" w:styleId="Heading7Char">
    <w:name w:val="Heading 7 Char"/>
    <w:basedOn w:val="DefaultParagraphFont"/>
    <w:link w:val="Heading7"/>
    <w:uiPriority w:val="9"/>
    <w:rsid w:val="005A5297"/>
    <w:rPr>
      <w:rFonts w:ascii="Tw Cen MT" w:eastAsiaTheme="minorEastAsia" w:hAnsi="Tw Cen MT"/>
      <w:smallCaps/>
      <w:color w:val="000000" w:themeColor="text1"/>
      <w:spacing w:val="10"/>
      <w:szCs w:val="23"/>
      <w:lang w:val="fr-FR"/>
    </w:rPr>
  </w:style>
  <w:style w:type="character" w:customStyle="1" w:styleId="Heading8Char">
    <w:name w:val="Heading 8 Char"/>
    <w:basedOn w:val="DefaultParagraphFont"/>
    <w:link w:val="Heading8"/>
    <w:uiPriority w:val="9"/>
    <w:semiHidden/>
    <w:rsid w:val="005A5297"/>
    <w:rPr>
      <w:rFonts w:ascii="Tw Cen MT" w:eastAsiaTheme="minorEastAsia" w:hAnsi="Tw Cen MT"/>
      <w:b/>
      <w:bCs/>
      <w:i/>
      <w:iCs/>
      <w:color w:val="94B6D2" w:themeColor="accent1"/>
      <w:spacing w:val="10"/>
      <w:sz w:val="24"/>
      <w:szCs w:val="24"/>
      <w:lang w:val="fr-FR"/>
    </w:rPr>
  </w:style>
  <w:style w:type="character" w:customStyle="1" w:styleId="Heading9Char">
    <w:name w:val="Heading 9 Char"/>
    <w:basedOn w:val="DefaultParagraphFont"/>
    <w:link w:val="Heading9"/>
    <w:uiPriority w:val="9"/>
    <w:semiHidden/>
    <w:rsid w:val="005A5297"/>
    <w:rPr>
      <w:rFonts w:ascii="Tw Cen MT" w:eastAsiaTheme="minorEastAsia" w:hAnsi="Tw Cen MT"/>
      <w:b/>
      <w:bCs/>
      <w:caps/>
      <w:color w:val="A5AB81" w:themeColor="accent3"/>
      <w:spacing w:val="40"/>
      <w:sz w:val="20"/>
      <w:szCs w:val="23"/>
      <w:lang w:val="fr-FR"/>
    </w:rPr>
  </w:style>
  <w:style w:type="character" w:styleId="Hyperlink">
    <w:name w:val="Hyperlink"/>
    <w:basedOn w:val="DefaultParagraphFont"/>
    <w:uiPriority w:val="99"/>
    <w:rsid w:val="005A5297"/>
    <w:rPr>
      <w:color w:val="F7B615" w:themeColor="hyperlink"/>
      <w:u w:val="single"/>
    </w:rPr>
  </w:style>
  <w:style w:type="character" w:styleId="IntenseEmphasis">
    <w:name w:val="Intense Emphasis"/>
    <w:basedOn w:val="DefaultParagraphFont"/>
    <w:uiPriority w:val="21"/>
    <w:semiHidden/>
    <w:qFormat/>
    <w:rsid w:val="005A5297"/>
    <w:rPr>
      <w:rFonts w:asciiTheme="minorHAnsi" w:hAnsiTheme="minorHAnsi"/>
      <w:b/>
      <w:bCs/>
      <w:dstrike w:val="0"/>
      <w:color w:val="DD8047" w:themeColor="accent2"/>
      <w:spacing w:val="10"/>
      <w:w w:val="100"/>
      <w:kern w:val="0"/>
      <w:position w:val="0"/>
      <w:sz w:val="23"/>
      <w:vertAlign w:val="baseline"/>
    </w:rPr>
  </w:style>
  <w:style w:type="paragraph" w:styleId="List">
    <w:name w:val="List"/>
    <w:basedOn w:val="Normal"/>
    <w:uiPriority w:val="99"/>
    <w:semiHidden/>
    <w:unhideWhenUsed/>
    <w:rsid w:val="005A5297"/>
    <w:pPr>
      <w:ind w:left="360" w:hanging="360"/>
    </w:pPr>
  </w:style>
  <w:style w:type="paragraph" w:styleId="List2">
    <w:name w:val="List 2"/>
    <w:basedOn w:val="Normal"/>
    <w:uiPriority w:val="99"/>
    <w:semiHidden/>
    <w:unhideWhenUsed/>
    <w:rsid w:val="005A5297"/>
    <w:pPr>
      <w:ind w:left="720" w:hanging="360"/>
    </w:pPr>
  </w:style>
  <w:style w:type="paragraph" w:styleId="ListBullet">
    <w:name w:val="List Bullet"/>
    <w:basedOn w:val="Normal"/>
    <w:uiPriority w:val="36"/>
    <w:semiHidden/>
    <w:qFormat/>
    <w:rsid w:val="005A5297"/>
    <w:pPr>
      <w:numPr>
        <w:numId w:val="2"/>
      </w:numPr>
    </w:pPr>
    <w:rPr>
      <w:sz w:val="24"/>
    </w:rPr>
  </w:style>
  <w:style w:type="paragraph" w:styleId="ListBullet2">
    <w:name w:val="List Bullet 2"/>
    <w:basedOn w:val="Normal"/>
    <w:uiPriority w:val="36"/>
    <w:semiHidden/>
    <w:qFormat/>
    <w:rsid w:val="005A5297"/>
    <w:pPr>
      <w:numPr>
        <w:numId w:val="3"/>
      </w:numPr>
    </w:pPr>
    <w:rPr>
      <w:color w:val="94B6D2" w:themeColor="accent1"/>
    </w:rPr>
  </w:style>
  <w:style w:type="paragraph" w:styleId="ListBullet3">
    <w:name w:val="List Bullet 3"/>
    <w:basedOn w:val="Normal"/>
    <w:uiPriority w:val="36"/>
    <w:semiHidden/>
    <w:qFormat/>
    <w:rsid w:val="005A5297"/>
    <w:pPr>
      <w:numPr>
        <w:numId w:val="4"/>
      </w:numPr>
    </w:pPr>
    <w:rPr>
      <w:color w:val="DD8047" w:themeColor="accent2"/>
    </w:rPr>
  </w:style>
  <w:style w:type="paragraph" w:styleId="ListBullet4">
    <w:name w:val="List Bullet 4"/>
    <w:basedOn w:val="Normal"/>
    <w:uiPriority w:val="36"/>
    <w:semiHidden/>
    <w:qFormat/>
    <w:rsid w:val="005A5297"/>
    <w:pPr>
      <w:numPr>
        <w:numId w:val="5"/>
      </w:numPr>
    </w:pPr>
    <w:rPr>
      <w:caps/>
      <w:spacing w:val="4"/>
    </w:rPr>
  </w:style>
  <w:style w:type="paragraph" w:styleId="ListBullet5">
    <w:name w:val="List Bullet 5"/>
    <w:basedOn w:val="Normal"/>
    <w:uiPriority w:val="36"/>
    <w:semiHidden/>
    <w:qFormat/>
    <w:rsid w:val="005A5297"/>
    <w:pPr>
      <w:numPr>
        <w:numId w:val="6"/>
      </w:numPr>
    </w:pPr>
  </w:style>
  <w:style w:type="paragraph" w:styleId="ListParagraph">
    <w:name w:val="List Paragraph"/>
    <w:aliases w:val="Premier,References,Liste couleur - Accent 11,Paragraphe de liste2,Liste couleur - Accent 111,Medium Grid 1 - Accent 21,Bullets,Paragraphe  revu,List Paragraph (numbered (a)),Numbered List Paragraph,Liste 1,List Bullet Mary"/>
    <w:basedOn w:val="Normal"/>
    <w:link w:val="ListParagraphChar"/>
    <w:uiPriority w:val="34"/>
    <w:qFormat/>
    <w:rsid w:val="005A5297"/>
    <w:pPr>
      <w:ind w:left="720"/>
      <w:contextualSpacing/>
    </w:pPr>
  </w:style>
  <w:style w:type="numbering" w:customStyle="1" w:styleId="Styledelistecentral">
    <w:name w:val="Style de liste central"/>
    <w:uiPriority w:val="99"/>
    <w:rsid w:val="005A5297"/>
    <w:pPr>
      <w:numPr>
        <w:numId w:val="1"/>
      </w:numPr>
    </w:pPr>
  </w:style>
  <w:style w:type="table" w:styleId="TableGrid">
    <w:name w:val="Table Grid"/>
    <w:basedOn w:val="TableNormal"/>
    <w:uiPriority w:val="59"/>
    <w:rsid w:val="00C50D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5A5297"/>
    <w:pPr>
      <w:ind w:left="220" w:hanging="220"/>
    </w:pPr>
  </w:style>
  <w:style w:type="paragraph" w:styleId="TOC1">
    <w:name w:val="toc 1"/>
    <w:basedOn w:val="Normal"/>
    <w:next w:val="Normal"/>
    <w:autoRedefine/>
    <w:uiPriority w:val="39"/>
    <w:rsid w:val="00A924DF"/>
    <w:pPr>
      <w:tabs>
        <w:tab w:val="right" w:leader="dot" w:pos="9072"/>
      </w:tabs>
      <w:spacing w:before="180" w:after="80"/>
    </w:pPr>
    <w:rPr>
      <w:b/>
      <w:bCs/>
      <w:caps/>
      <w:color w:val="775F55" w:themeColor="text2"/>
      <w:sz w:val="24"/>
      <w:szCs w:val="22"/>
    </w:rPr>
  </w:style>
  <w:style w:type="paragraph" w:styleId="TOC2">
    <w:name w:val="toc 2"/>
    <w:basedOn w:val="Normal"/>
    <w:next w:val="Normal"/>
    <w:autoRedefine/>
    <w:uiPriority w:val="39"/>
    <w:rsid w:val="00A924DF"/>
    <w:pPr>
      <w:tabs>
        <w:tab w:val="left" w:pos="511"/>
        <w:tab w:val="right" w:leader="dot" w:pos="9072"/>
      </w:tabs>
      <w:spacing w:after="40"/>
    </w:pPr>
    <w:rPr>
      <w:b/>
      <w:bCs/>
      <w:noProof/>
      <w:color w:val="548AB7" w:themeColor="accent1" w:themeShade="BF"/>
      <w:szCs w:val="22"/>
    </w:rPr>
  </w:style>
  <w:style w:type="paragraph" w:styleId="TOC3">
    <w:name w:val="toc 3"/>
    <w:basedOn w:val="Normal"/>
    <w:next w:val="Normal"/>
    <w:autoRedefine/>
    <w:uiPriority w:val="39"/>
    <w:qFormat/>
    <w:rsid w:val="00D45A89"/>
    <w:pPr>
      <w:tabs>
        <w:tab w:val="left" w:pos="639"/>
        <w:tab w:val="right" w:leader="dot" w:pos="8505"/>
      </w:tabs>
      <w:spacing w:after="40"/>
    </w:pPr>
    <w:rPr>
      <w:b/>
      <w:noProof/>
      <w:color w:val="DD8047" w:themeColor="accent2"/>
      <w:sz w:val="20"/>
      <w:szCs w:val="22"/>
    </w:rPr>
  </w:style>
  <w:style w:type="paragraph" w:styleId="TOC4">
    <w:name w:val="toc 4"/>
    <w:basedOn w:val="Normal"/>
    <w:next w:val="Normal"/>
    <w:autoRedefine/>
    <w:uiPriority w:val="39"/>
    <w:qFormat/>
    <w:rsid w:val="00D36020"/>
    <w:pPr>
      <w:tabs>
        <w:tab w:val="left" w:pos="736"/>
        <w:tab w:val="right" w:leader="dot" w:pos="8505"/>
      </w:tabs>
      <w:spacing w:after="40"/>
    </w:pPr>
    <w:rPr>
      <w:b/>
      <w:noProof/>
      <w:sz w:val="18"/>
      <w:szCs w:val="22"/>
    </w:rPr>
  </w:style>
  <w:style w:type="paragraph" w:styleId="TOC5">
    <w:name w:val="toc 5"/>
    <w:basedOn w:val="Normal"/>
    <w:next w:val="Normal"/>
    <w:autoRedefine/>
    <w:uiPriority w:val="99"/>
    <w:semiHidden/>
    <w:qFormat/>
    <w:rsid w:val="005A5297"/>
    <w:pPr>
      <w:spacing w:after="0"/>
    </w:pPr>
    <w:rPr>
      <w:szCs w:val="22"/>
    </w:rPr>
  </w:style>
  <w:style w:type="paragraph" w:styleId="TOC6">
    <w:name w:val="toc 6"/>
    <w:basedOn w:val="Normal"/>
    <w:next w:val="Normal"/>
    <w:autoRedefine/>
    <w:uiPriority w:val="99"/>
    <w:semiHidden/>
    <w:qFormat/>
    <w:rsid w:val="005A5297"/>
    <w:pPr>
      <w:spacing w:after="0"/>
    </w:pPr>
    <w:rPr>
      <w:szCs w:val="22"/>
    </w:rPr>
  </w:style>
  <w:style w:type="paragraph" w:styleId="TOC7">
    <w:name w:val="toc 7"/>
    <w:basedOn w:val="Normal"/>
    <w:next w:val="Normal"/>
    <w:autoRedefine/>
    <w:uiPriority w:val="99"/>
    <w:semiHidden/>
    <w:qFormat/>
    <w:rsid w:val="005A5297"/>
    <w:pPr>
      <w:spacing w:after="0"/>
    </w:pPr>
    <w:rPr>
      <w:szCs w:val="22"/>
    </w:rPr>
  </w:style>
  <w:style w:type="paragraph" w:styleId="TOC8">
    <w:name w:val="toc 8"/>
    <w:basedOn w:val="Normal"/>
    <w:next w:val="Normal"/>
    <w:autoRedefine/>
    <w:uiPriority w:val="99"/>
    <w:semiHidden/>
    <w:qFormat/>
    <w:rsid w:val="005A5297"/>
    <w:pPr>
      <w:spacing w:after="0"/>
    </w:pPr>
    <w:rPr>
      <w:szCs w:val="22"/>
    </w:rPr>
  </w:style>
  <w:style w:type="paragraph" w:styleId="TOC9">
    <w:name w:val="toc 9"/>
    <w:basedOn w:val="Normal"/>
    <w:next w:val="Normal"/>
    <w:autoRedefine/>
    <w:uiPriority w:val="99"/>
    <w:semiHidden/>
    <w:qFormat/>
    <w:rsid w:val="005A5297"/>
    <w:pPr>
      <w:spacing w:after="0"/>
    </w:pPr>
    <w:rPr>
      <w:szCs w:val="22"/>
    </w:rPr>
  </w:style>
  <w:style w:type="paragraph" w:customStyle="1" w:styleId="En-ttedepagepaire">
    <w:name w:val="En-tête de page paire"/>
    <w:basedOn w:val="Normal"/>
    <w:uiPriority w:val="39"/>
    <w:unhideWhenUsed/>
    <w:qFormat/>
    <w:rsid w:val="005A5297"/>
    <w:pPr>
      <w:pBdr>
        <w:bottom w:val="single" w:sz="4" w:space="1" w:color="94B6D2" w:themeColor="accent1"/>
      </w:pBdr>
      <w:spacing w:after="0"/>
    </w:pPr>
    <w:rPr>
      <w:b/>
      <w:bCs/>
      <w:color w:val="775F55" w:themeColor="text2"/>
      <w:sz w:val="20"/>
    </w:rPr>
  </w:style>
  <w:style w:type="paragraph" w:customStyle="1" w:styleId="Pieddepagepaire">
    <w:name w:val="Pied de page paire"/>
    <w:basedOn w:val="Normal"/>
    <w:uiPriority w:val="49"/>
    <w:unhideWhenUsed/>
    <w:rsid w:val="005A5297"/>
    <w:pPr>
      <w:pBdr>
        <w:top w:val="single" w:sz="4" w:space="1" w:color="94B6D2" w:themeColor="accent1"/>
      </w:pBdr>
    </w:pPr>
    <w:rPr>
      <w:color w:val="775F55" w:themeColor="text2"/>
      <w:sz w:val="20"/>
      <w:szCs w:val="20"/>
    </w:rPr>
  </w:style>
  <w:style w:type="paragraph" w:customStyle="1" w:styleId="En-ttedepageimpaire">
    <w:name w:val="En-tête de page impaire"/>
    <w:basedOn w:val="Normal"/>
    <w:uiPriority w:val="39"/>
    <w:unhideWhenUsed/>
    <w:qFormat/>
    <w:rsid w:val="005A5297"/>
    <w:pPr>
      <w:pBdr>
        <w:bottom w:val="single" w:sz="4" w:space="1" w:color="94B6D2" w:themeColor="accent1"/>
      </w:pBdr>
      <w:spacing w:after="0"/>
      <w:jc w:val="right"/>
    </w:pPr>
    <w:rPr>
      <w:b/>
      <w:bCs/>
      <w:color w:val="775F55" w:themeColor="text2"/>
      <w:sz w:val="20"/>
    </w:rPr>
  </w:style>
  <w:style w:type="paragraph" w:customStyle="1" w:styleId="Pieddepageimpaire">
    <w:name w:val="Pied de page impaire"/>
    <w:basedOn w:val="Normal"/>
    <w:uiPriority w:val="39"/>
    <w:unhideWhenUsed/>
    <w:qFormat/>
    <w:rsid w:val="005A5297"/>
    <w:pPr>
      <w:pBdr>
        <w:top w:val="single" w:sz="4" w:space="1" w:color="94B6D2" w:themeColor="accent1"/>
      </w:pBdr>
      <w:jc w:val="right"/>
    </w:pPr>
    <w:rPr>
      <w:color w:val="775F55" w:themeColor="text2"/>
      <w:sz w:val="20"/>
      <w:szCs w:val="20"/>
    </w:rPr>
  </w:style>
  <w:style w:type="character" w:styleId="PlaceholderText">
    <w:name w:val="Placeholder Text"/>
    <w:basedOn w:val="DefaultParagraphFont"/>
    <w:uiPriority w:val="99"/>
    <w:semiHidden/>
    <w:rsid w:val="005A5297"/>
    <w:rPr>
      <w:color w:val="808080"/>
    </w:rPr>
  </w:style>
  <w:style w:type="paragraph" w:styleId="BodyText">
    <w:name w:val="Body Text"/>
    <w:basedOn w:val="Normal"/>
    <w:link w:val="BodyTextChar"/>
    <w:uiPriority w:val="99"/>
    <w:rsid w:val="006D3D73"/>
  </w:style>
  <w:style w:type="character" w:customStyle="1" w:styleId="BodyTextChar">
    <w:name w:val="Body Text Char"/>
    <w:basedOn w:val="DefaultParagraphFont"/>
    <w:link w:val="BodyText"/>
    <w:uiPriority w:val="99"/>
    <w:rsid w:val="006D3D73"/>
    <w:rPr>
      <w:rFonts w:ascii="Calibri" w:eastAsiaTheme="minorEastAsia" w:hAnsi="Calibri"/>
      <w:szCs w:val="23"/>
      <w:lang w:val="fr-FR"/>
    </w:rPr>
  </w:style>
  <w:style w:type="paragraph" w:customStyle="1" w:styleId="Paragrapheliste1TEREA">
    <w:name w:val="Paragraphe liste1 TEREA"/>
    <w:basedOn w:val="Normal"/>
    <w:qFormat/>
    <w:rsid w:val="00851418"/>
    <w:pPr>
      <w:numPr>
        <w:numId w:val="7"/>
      </w:numPr>
      <w:tabs>
        <w:tab w:val="left" w:pos="567"/>
      </w:tabs>
      <w:spacing w:before="240" w:after="240"/>
      <w:ind w:left="1135" w:hanging="284"/>
      <w:contextualSpacing/>
    </w:pPr>
    <w:rPr>
      <w:rFonts w:eastAsiaTheme="minorHAnsi"/>
      <w:szCs w:val="22"/>
    </w:rPr>
  </w:style>
  <w:style w:type="paragraph" w:styleId="TOCHeading">
    <w:name w:val="TOC Heading"/>
    <w:basedOn w:val="Heading1"/>
    <w:next w:val="Normal"/>
    <w:uiPriority w:val="39"/>
    <w:unhideWhenUsed/>
    <w:qFormat/>
    <w:rsid w:val="00256993"/>
    <w:pPr>
      <w:keepNext/>
      <w:keepLines/>
      <w:pageBreakBefore w:val="0"/>
      <w:spacing w:before="480" w:after="240" w:line="276" w:lineRule="auto"/>
      <w:ind w:left="0" w:firstLine="0"/>
      <w:outlineLvl w:val="9"/>
    </w:pPr>
    <w:rPr>
      <w:bCs/>
      <w:color w:val="548AB7" w:themeColor="accent1" w:themeShade="BF"/>
      <w:szCs w:val="28"/>
    </w:rPr>
  </w:style>
  <w:style w:type="character" w:styleId="PageNumber">
    <w:name w:val="page number"/>
    <w:basedOn w:val="DefaultParagraphFont"/>
    <w:uiPriority w:val="99"/>
    <w:semiHidden/>
    <w:rsid w:val="008928F9"/>
    <w:rPr>
      <w:rFonts w:eastAsiaTheme="minorEastAsia" w:cstheme="minorBidi"/>
      <w:bCs w:val="0"/>
      <w:iCs w:val="0"/>
      <w:szCs w:val="22"/>
      <w:lang w:val="fr-FR"/>
    </w:rPr>
  </w:style>
  <w:style w:type="paragraph" w:styleId="TableofFigures">
    <w:name w:val="table of figures"/>
    <w:basedOn w:val="Normal"/>
    <w:next w:val="Normal"/>
    <w:uiPriority w:val="99"/>
    <w:unhideWhenUsed/>
    <w:rsid w:val="002502D8"/>
    <w:pPr>
      <w:spacing w:after="0"/>
    </w:pPr>
  </w:style>
  <w:style w:type="table" w:styleId="MediumGrid3-Accent4">
    <w:name w:val="Medium Grid 3 Accent 4"/>
    <w:basedOn w:val="TableNormal"/>
    <w:uiPriority w:val="44"/>
    <w:rsid w:val="00E9308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ColorfulShading-Accent1">
    <w:name w:val="Colorful Shading Accent 1"/>
    <w:basedOn w:val="TableNormal"/>
    <w:uiPriority w:val="41"/>
    <w:rsid w:val="00E9308A"/>
    <w:pPr>
      <w:spacing w:after="0" w:line="240" w:lineRule="auto"/>
    </w:pPr>
    <w:rPr>
      <w:color w:val="000000" w:themeColor="text1"/>
    </w:rPr>
    <w:tblPr>
      <w:tblStyleRowBandSize w:val="1"/>
      <w:tblStyleColBandSize w:val="1"/>
      <w:tblInd w:w="0" w:type="dxa"/>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DarkList-Accent1">
    <w:name w:val="Dark List Accent 1"/>
    <w:basedOn w:val="TableNormal"/>
    <w:uiPriority w:val="41"/>
    <w:rsid w:val="00E9308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customStyle="1" w:styleId="Grillemoyenne21">
    <w:name w:val="Grille moyenne 21"/>
    <w:basedOn w:val="TableNormal"/>
    <w:uiPriority w:val="40"/>
    <w:rsid w:val="00523DF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claire1">
    <w:name w:val="Grille claire1"/>
    <w:basedOn w:val="TableNormal"/>
    <w:uiPriority w:val="40"/>
    <w:rsid w:val="00523D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ouleur1">
    <w:name w:val="Grille couleur1"/>
    <w:basedOn w:val="TableNormal"/>
    <w:uiPriority w:val="40"/>
    <w:rsid w:val="00523DF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Shading2-Accent6">
    <w:name w:val="Medium Shading 2 Accent 6"/>
    <w:basedOn w:val="TableNormal"/>
    <w:uiPriority w:val="46"/>
    <w:rsid w:val="00523DF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43"/>
    <w:rsid w:val="00523DF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customStyle="1" w:styleId="Listeclaire-Accent11">
    <w:name w:val="Liste claire - Accent 11"/>
    <w:basedOn w:val="TableNormal"/>
    <w:uiPriority w:val="41"/>
    <w:rsid w:val="00EC0204"/>
    <w:pPr>
      <w:spacing w:after="0" w:line="240" w:lineRule="auto"/>
    </w:pPr>
    <w:tblPr>
      <w:tblStyleRowBandSize w:val="1"/>
      <w:tblStyleColBandSize w:val="1"/>
      <w:tblInd w:w="0" w:type="dxa"/>
      <w:tblBorders>
        <w:top w:val="single" w:sz="8" w:space="0" w:color="94B6D2" w:themeColor="accent1"/>
        <w:left w:val="single" w:sz="8" w:space="0" w:color="94B6D2" w:themeColor="accent1"/>
        <w:bottom w:val="single" w:sz="8" w:space="0" w:color="94B6D2" w:themeColor="accent1"/>
        <w:right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character" w:customStyle="1" w:styleId="CaptionChar1">
    <w:name w:val="Caption Char1"/>
    <w:aliases w:val="LEGENDE Char,Map Char,figura Char,Table/Figure Heading Char,Caption- Figure Char,Caption- Figure1 Char,Caption- Figure2 Char,AGT ESIA Char,Figure Headings Char,Annexe Char,Caption Char Char,Caption Char Char Char Char Char,Table Char"/>
    <w:basedOn w:val="DefaultParagraphFont"/>
    <w:link w:val="Caption"/>
    <w:uiPriority w:val="35"/>
    <w:rsid w:val="00187D3C"/>
    <w:rPr>
      <w:rFonts w:eastAsia="Times New Roman" w:cs="Times New Roman"/>
      <w:b/>
      <w:bCs/>
      <w:sz w:val="18"/>
      <w:szCs w:val="16"/>
      <w:lang w:val="fr-FR" w:eastAsia="fr-FR"/>
    </w:rPr>
  </w:style>
  <w:style w:type="paragraph" w:styleId="Index1">
    <w:name w:val="index 1"/>
    <w:basedOn w:val="Normal"/>
    <w:next w:val="Normal"/>
    <w:autoRedefine/>
    <w:uiPriority w:val="99"/>
    <w:semiHidden/>
    <w:rsid w:val="009525A7"/>
    <w:pPr>
      <w:spacing w:after="0"/>
      <w:ind w:left="220" w:hanging="220"/>
      <w:jc w:val="left"/>
    </w:pPr>
    <w:rPr>
      <w:sz w:val="18"/>
      <w:szCs w:val="18"/>
    </w:rPr>
  </w:style>
  <w:style w:type="paragraph" w:styleId="Index2">
    <w:name w:val="index 2"/>
    <w:basedOn w:val="Normal"/>
    <w:next w:val="Normal"/>
    <w:autoRedefine/>
    <w:uiPriority w:val="99"/>
    <w:semiHidden/>
    <w:rsid w:val="00ED59BE"/>
    <w:pPr>
      <w:spacing w:after="0"/>
      <w:ind w:left="440" w:hanging="220"/>
      <w:jc w:val="left"/>
    </w:pPr>
    <w:rPr>
      <w:sz w:val="18"/>
      <w:szCs w:val="18"/>
    </w:rPr>
  </w:style>
  <w:style w:type="paragraph" w:styleId="Index3">
    <w:name w:val="index 3"/>
    <w:basedOn w:val="Normal"/>
    <w:next w:val="Normal"/>
    <w:autoRedefine/>
    <w:uiPriority w:val="99"/>
    <w:semiHidden/>
    <w:rsid w:val="00ED59BE"/>
    <w:pPr>
      <w:spacing w:after="0"/>
      <w:ind w:left="660" w:hanging="220"/>
      <w:jc w:val="left"/>
    </w:pPr>
    <w:rPr>
      <w:sz w:val="18"/>
      <w:szCs w:val="18"/>
    </w:rPr>
  </w:style>
  <w:style w:type="paragraph" w:styleId="Index4">
    <w:name w:val="index 4"/>
    <w:basedOn w:val="Normal"/>
    <w:next w:val="Normal"/>
    <w:autoRedefine/>
    <w:uiPriority w:val="99"/>
    <w:semiHidden/>
    <w:rsid w:val="00ED59BE"/>
    <w:pPr>
      <w:spacing w:after="0"/>
      <w:ind w:left="880" w:hanging="220"/>
      <w:jc w:val="left"/>
    </w:pPr>
    <w:rPr>
      <w:sz w:val="18"/>
      <w:szCs w:val="18"/>
    </w:rPr>
  </w:style>
  <w:style w:type="paragraph" w:styleId="Index5">
    <w:name w:val="index 5"/>
    <w:basedOn w:val="Normal"/>
    <w:next w:val="Normal"/>
    <w:autoRedefine/>
    <w:uiPriority w:val="99"/>
    <w:semiHidden/>
    <w:rsid w:val="00ED59BE"/>
    <w:pPr>
      <w:spacing w:after="0"/>
      <w:ind w:left="1100" w:hanging="220"/>
      <w:jc w:val="left"/>
    </w:pPr>
    <w:rPr>
      <w:sz w:val="18"/>
      <w:szCs w:val="18"/>
    </w:rPr>
  </w:style>
  <w:style w:type="paragraph" w:styleId="Index6">
    <w:name w:val="index 6"/>
    <w:basedOn w:val="Normal"/>
    <w:next w:val="Normal"/>
    <w:autoRedefine/>
    <w:uiPriority w:val="99"/>
    <w:semiHidden/>
    <w:rsid w:val="00ED59BE"/>
    <w:pPr>
      <w:spacing w:after="0"/>
      <w:ind w:left="1320" w:hanging="220"/>
      <w:jc w:val="left"/>
    </w:pPr>
    <w:rPr>
      <w:sz w:val="18"/>
      <w:szCs w:val="18"/>
    </w:rPr>
  </w:style>
  <w:style w:type="paragraph" w:styleId="Index7">
    <w:name w:val="index 7"/>
    <w:basedOn w:val="Normal"/>
    <w:next w:val="Normal"/>
    <w:autoRedefine/>
    <w:uiPriority w:val="99"/>
    <w:semiHidden/>
    <w:rsid w:val="00ED59BE"/>
    <w:pPr>
      <w:spacing w:after="0"/>
      <w:ind w:left="1540" w:hanging="220"/>
      <w:jc w:val="left"/>
    </w:pPr>
    <w:rPr>
      <w:sz w:val="18"/>
      <w:szCs w:val="18"/>
    </w:rPr>
  </w:style>
  <w:style w:type="paragraph" w:styleId="Index8">
    <w:name w:val="index 8"/>
    <w:basedOn w:val="Normal"/>
    <w:next w:val="Normal"/>
    <w:autoRedefine/>
    <w:uiPriority w:val="99"/>
    <w:semiHidden/>
    <w:rsid w:val="00ED59BE"/>
    <w:pPr>
      <w:spacing w:after="0"/>
      <w:ind w:left="1760" w:hanging="220"/>
      <w:jc w:val="left"/>
    </w:pPr>
    <w:rPr>
      <w:sz w:val="18"/>
      <w:szCs w:val="18"/>
    </w:rPr>
  </w:style>
  <w:style w:type="paragraph" w:styleId="Index9">
    <w:name w:val="index 9"/>
    <w:basedOn w:val="Normal"/>
    <w:next w:val="Normal"/>
    <w:autoRedefine/>
    <w:uiPriority w:val="99"/>
    <w:semiHidden/>
    <w:rsid w:val="00ED59BE"/>
    <w:pPr>
      <w:spacing w:after="0"/>
      <w:ind w:left="1980" w:hanging="220"/>
      <w:jc w:val="left"/>
    </w:pPr>
    <w:rPr>
      <w:sz w:val="18"/>
      <w:szCs w:val="18"/>
    </w:rPr>
  </w:style>
  <w:style w:type="paragraph" w:styleId="IndexHeading">
    <w:name w:val="index heading"/>
    <w:basedOn w:val="Normal"/>
    <w:next w:val="Index1"/>
    <w:uiPriority w:val="99"/>
    <w:semiHidden/>
    <w:rsid w:val="00ED59BE"/>
    <w:pPr>
      <w:pBdr>
        <w:top w:val="single" w:sz="12" w:space="0" w:color="auto"/>
      </w:pBdr>
      <w:spacing w:before="360" w:after="240"/>
      <w:jc w:val="left"/>
    </w:pPr>
    <w:rPr>
      <w:b/>
      <w:bCs/>
      <w:i/>
      <w:iCs/>
      <w:sz w:val="26"/>
      <w:szCs w:val="26"/>
    </w:rPr>
  </w:style>
  <w:style w:type="paragraph" w:customStyle="1" w:styleId="ANNEXE">
    <w:name w:val="ANNEXE"/>
    <w:basedOn w:val="Normal"/>
    <w:qFormat/>
    <w:rsid w:val="009A16B2"/>
    <w:pPr>
      <w:keepNext/>
      <w:pageBreakBefore/>
      <w:widowControl w:val="0"/>
      <w:spacing w:before="6000" w:after="6000" w:line="360" w:lineRule="auto"/>
      <w:jc w:val="center"/>
    </w:pPr>
    <w:rPr>
      <w:b/>
      <w:color w:val="775F55" w:themeColor="text2"/>
      <w:sz w:val="52"/>
      <w:szCs w:val="40"/>
      <w:u w:val="single"/>
    </w:rPr>
  </w:style>
  <w:style w:type="table" w:styleId="ColorfulGrid-Accent1">
    <w:name w:val="Colorful Grid Accent 1"/>
    <w:basedOn w:val="TableNormal"/>
    <w:uiPriority w:val="41"/>
    <w:rsid w:val="008C58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character" w:customStyle="1" w:styleId="LgendeCar1">
    <w:name w:val="Légende Car1"/>
    <w:aliases w:val="Légende Car Car,Map Car,figura Car,Table/Figure Heading Car,Caption- Figure Car,Caption- Figure1 Car,Caption- Figure2 Car,AGT ESIA Car,Figure Headings Car,Annexe Car,Caption Char Car,Caption Char Char Char Char Car,Table Car,headings Car"/>
    <w:uiPriority w:val="35"/>
    <w:locked/>
    <w:rsid w:val="00A56440"/>
    <w:rPr>
      <w:rFonts w:ascii="Calibri" w:hAnsi="Calibri"/>
      <w:b/>
      <w:bCs/>
      <w:sz w:val="20"/>
      <w:szCs w:val="16"/>
      <w:lang w:val="fr-FR"/>
    </w:rPr>
  </w:style>
  <w:style w:type="character" w:styleId="FollowedHyperlink">
    <w:name w:val="FollowedHyperlink"/>
    <w:basedOn w:val="DefaultParagraphFont"/>
    <w:uiPriority w:val="99"/>
    <w:semiHidden/>
    <w:unhideWhenUsed/>
    <w:rsid w:val="004231FE"/>
    <w:rPr>
      <w:color w:val="704404" w:themeColor="followedHyperlink"/>
      <w:u w:val="single"/>
    </w:rPr>
  </w:style>
  <w:style w:type="paragraph" w:styleId="FootnoteText">
    <w:name w:val="footnote text"/>
    <w:aliases w:val="Fußnotentextf,Geneva 9,Font: Geneva 9,Boston 10,f,ft,Footnote,E Fußn,-E Fußnotentext,Fußnotentext Ursprung,Char,Fußnote,foot note text,Footnote Text Char2,Footnote Text Char1 Char,Footnote Text Char Char Char"/>
    <w:basedOn w:val="Normal"/>
    <w:link w:val="FootnoteTextChar"/>
    <w:uiPriority w:val="99"/>
    <w:unhideWhenUsed/>
    <w:rsid w:val="002B6CF8"/>
    <w:pPr>
      <w:spacing w:after="0"/>
    </w:pPr>
    <w:rPr>
      <w:sz w:val="20"/>
      <w:szCs w:val="20"/>
    </w:rPr>
  </w:style>
  <w:style w:type="character" w:customStyle="1" w:styleId="FootnoteTextChar">
    <w:name w:val="Footnote Text Char"/>
    <w:aliases w:val="Fußnotentextf Char,Geneva 9 Char,Font: Geneva 9 Char,Boston 10 Char,f Char,ft Char,Footnote Char,E Fußn Char,-E Fußnotentext Char,Fußnotentext Ursprung Char,Char Char,Fußnote Char,foot note text Char,Footnote Text Char2 Char"/>
    <w:basedOn w:val="DefaultParagraphFont"/>
    <w:link w:val="FootnoteText"/>
    <w:uiPriority w:val="99"/>
    <w:rsid w:val="002B6CF8"/>
    <w:rPr>
      <w:rFonts w:ascii="Tw Cen MT" w:eastAsiaTheme="minorEastAsia" w:hAnsi="Tw Cen MT"/>
      <w:sz w:val="20"/>
      <w:szCs w:val="20"/>
      <w:lang w:val="fr-FR"/>
    </w:rPr>
  </w:style>
  <w:style w:type="character" w:styleId="FootnoteReference">
    <w:name w:val="footnote reference"/>
    <w:aliases w:val="ftref,16 Point,Superscript 6 Point,Error-Fußnotenzeichen5,Error-Fußnotenzeichen6,Error-Fußnotenzeichen3,BVI fnr,BVI fnr Car Car,BVI fnr Car,BVI fnr Car Car Car Car,Superscript 6 Point + 11 pt"/>
    <w:basedOn w:val="DefaultParagraphFont"/>
    <w:uiPriority w:val="99"/>
    <w:unhideWhenUsed/>
    <w:rsid w:val="002B6CF8"/>
    <w:rPr>
      <w:vertAlign w:val="superscript"/>
    </w:rPr>
  </w:style>
  <w:style w:type="paragraph" w:customStyle="1" w:styleId="Paragraphedeliste1">
    <w:name w:val="Paragraphe de liste1"/>
    <w:basedOn w:val="Normal"/>
    <w:rsid w:val="00C27009"/>
    <w:pPr>
      <w:spacing w:after="200" w:line="276" w:lineRule="auto"/>
      <w:ind w:left="720"/>
      <w:contextualSpacing/>
      <w:jc w:val="left"/>
    </w:pPr>
    <w:rPr>
      <w:rFonts w:ascii="Calibri" w:hAnsi="Calibri" w:cs="Calibri"/>
      <w:szCs w:val="22"/>
    </w:rPr>
  </w:style>
  <w:style w:type="paragraph" w:styleId="BodyText3">
    <w:name w:val="Body Text 3"/>
    <w:basedOn w:val="Normal"/>
    <w:link w:val="BodyText3Char"/>
    <w:uiPriority w:val="99"/>
    <w:semiHidden/>
    <w:unhideWhenUsed/>
    <w:rsid w:val="00C13841"/>
    <w:rPr>
      <w:sz w:val="16"/>
      <w:szCs w:val="16"/>
    </w:rPr>
  </w:style>
  <w:style w:type="character" w:customStyle="1" w:styleId="BodyText3Char">
    <w:name w:val="Body Text 3 Char"/>
    <w:basedOn w:val="DefaultParagraphFont"/>
    <w:link w:val="BodyText3"/>
    <w:uiPriority w:val="99"/>
    <w:semiHidden/>
    <w:rsid w:val="00C13841"/>
    <w:rPr>
      <w:rFonts w:ascii="Tw Cen MT" w:eastAsiaTheme="minorEastAsia" w:hAnsi="Tw Cen MT"/>
      <w:sz w:val="16"/>
      <w:szCs w:val="16"/>
      <w:lang w:val="fr-FR"/>
    </w:rPr>
  </w:style>
  <w:style w:type="paragraph" w:customStyle="1" w:styleId="FicheRefTitreRubrique">
    <w:name w:val="FicheRefTitreRubrique"/>
    <w:basedOn w:val="Normal"/>
    <w:link w:val="FicheRefTitreRubriqueCar"/>
    <w:rsid w:val="00C13841"/>
    <w:pPr>
      <w:widowControl w:val="0"/>
      <w:adjustRightInd w:val="0"/>
      <w:spacing w:beforeLines="40" w:after="0"/>
      <w:jc w:val="left"/>
      <w:textAlignment w:val="baseline"/>
    </w:pPr>
    <w:rPr>
      <w:rFonts w:ascii="Arial" w:hAnsi="Arial" w:cs="Arial"/>
      <w:b/>
      <w:bCs/>
      <w:sz w:val="18"/>
      <w:szCs w:val="18"/>
    </w:rPr>
  </w:style>
  <w:style w:type="character" w:customStyle="1" w:styleId="FicheRefDonneGAUCHE">
    <w:name w:val="FicheRefDonnéeGAUCHE"/>
    <w:rsid w:val="00C13841"/>
    <w:rPr>
      <w:rFonts w:ascii="Arial" w:hAnsi="Arial" w:cs="Arial"/>
      <w:sz w:val="18"/>
      <w:szCs w:val="18"/>
      <w:lang w:val="fr-FR" w:eastAsia="fr-FR"/>
    </w:rPr>
  </w:style>
  <w:style w:type="paragraph" w:customStyle="1" w:styleId="FicheRefDonne">
    <w:name w:val="FicheRefDonnée"/>
    <w:basedOn w:val="Normal"/>
    <w:link w:val="FicheRefDonneCar"/>
    <w:rsid w:val="00C13841"/>
    <w:pPr>
      <w:widowControl w:val="0"/>
      <w:adjustRightInd w:val="0"/>
      <w:spacing w:after="0"/>
      <w:jc w:val="left"/>
      <w:textAlignment w:val="baseline"/>
    </w:pPr>
    <w:rPr>
      <w:rFonts w:ascii="Arial" w:hAnsi="Arial" w:cs="Arial"/>
      <w:sz w:val="20"/>
      <w:szCs w:val="20"/>
    </w:rPr>
  </w:style>
  <w:style w:type="character" w:customStyle="1" w:styleId="FicheRefTitreRubriqueCar">
    <w:name w:val="FicheRefTitreRubrique Car"/>
    <w:link w:val="FicheRefTitreRubrique"/>
    <w:locked/>
    <w:rsid w:val="00C13841"/>
    <w:rPr>
      <w:rFonts w:ascii="Arial" w:eastAsia="Times New Roman" w:hAnsi="Arial" w:cs="Arial"/>
      <w:b/>
      <w:bCs/>
      <w:sz w:val="18"/>
      <w:szCs w:val="18"/>
      <w:lang w:val="fr-FR"/>
    </w:rPr>
  </w:style>
  <w:style w:type="character" w:customStyle="1" w:styleId="FicheRefDonneCar">
    <w:name w:val="FicheRefDonnée Car"/>
    <w:link w:val="FicheRefDonne"/>
    <w:locked/>
    <w:rsid w:val="00C13841"/>
    <w:rPr>
      <w:rFonts w:ascii="Arial" w:eastAsia="Times New Roman" w:hAnsi="Arial" w:cs="Arial"/>
      <w:sz w:val="20"/>
      <w:szCs w:val="20"/>
      <w:lang w:val="fr-FR"/>
    </w:rPr>
  </w:style>
  <w:style w:type="paragraph" w:customStyle="1" w:styleId="tITREREF">
    <w:name w:val="tITRE REF"/>
    <w:basedOn w:val="Normal"/>
    <w:rsid w:val="00C13841"/>
    <w:pPr>
      <w:keepNext/>
      <w:keepLines/>
      <w:widowControl w:val="0"/>
      <w:adjustRightInd w:val="0"/>
      <w:spacing w:after="0"/>
      <w:jc w:val="left"/>
      <w:textAlignment w:val="baseline"/>
    </w:pPr>
    <w:rPr>
      <w:rFonts w:ascii="Arial Black" w:hAnsi="Arial Black" w:cs="Arial Black"/>
      <w:sz w:val="18"/>
      <w:szCs w:val="18"/>
    </w:rPr>
  </w:style>
  <w:style w:type="paragraph" w:customStyle="1" w:styleId="PAYSREF">
    <w:name w:val="PAYSREF"/>
    <w:basedOn w:val="Normal"/>
    <w:rsid w:val="00C13841"/>
    <w:pPr>
      <w:widowControl w:val="0"/>
      <w:adjustRightInd w:val="0"/>
      <w:spacing w:beforeLines="40" w:after="0"/>
      <w:jc w:val="center"/>
      <w:textAlignment w:val="baseline"/>
    </w:pPr>
    <w:rPr>
      <w:rFonts w:ascii="Arial Black" w:hAnsi="Arial Black" w:cs="Arial Black"/>
      <w:caps/>
      <w:sz w:val="18"/>
      <w:szCs w:val="18"/>
    </w:rPr>
  </w:style>
  <w:style w:type="character" w:styleId="CommentReference">
    <w:name w:val="annotation reference"/>
    <w:basedOn w:val="DefaultParagraphFont"/>
    <w:uiPriority w:val="99"/>
    <w:semiHidden/>
    <w:unhideWhenUsed/>
    <w:rsid w:val="00E31A16"/>
    <w:rPr>
      <w:sz w:val="16"/>
      <w:szCs w:val="16"/>
    </w:rPr>
  </w:style>
  <w:style w:type="paragraph" w:styleId="CommentText">
    <w:name w:val="annotation text"/>
    <w:basedOn w:val="Normal"/>
    <w:link w:val="CommentTextChar"/>
    <w:uiPriority w:val="99"/>
    <w:unhideWhenUsed/>
    <w:rsid w:val="00E31A16"/>
    <w:rPr>
      <w:sz w:val="20"/>
      <w:szCs w:val="20"/>
    </w:rPr>
  </w:style>
  <w:style w:type="character" w:customStyle="1" w:styleId="CommentTextChar">
    <w:name w:val="Comment Text Char"/>
    <w:basedOn w:val="DefaultParagraphFont"/>
    <w:link w:val="CommentText"/>
    <w:uiPriority w:val="99"/>
    <w:rsid w:val="00E31A16"/>
    <w:rPr>
      <w:rFonts w:ascii="Tw Cen MT" w:eastAsiaTheme="minorEastAsia" w:hAnsi="Tw Cen MT"/>
      <w:sz w:val="20"/>
      <w:szCs w:val="20"/>
      <w:lang w:val="fr-FR"/>
    </w:rPr>
  </w:style>
  <w:style w:type="paragraph" w:styleId="CommentSubject">
    <w:name w:val="annotation subject"/>
    <w:basedOn w:val="CommentText"/>
    <w:next w:val="CommentText"/>
    <w:link w:val="CommentSubjectChar"/>
    <w:uiPriority w:val="99"/>
    <w:semiHidden/>
    <w:unhideWhenUsed/>
    <w:rsid w:val="00E31A16"/>
    <w:rPr>
      <w:b/>
      <w:bCs/>
    </w:rPr>
  </w:style>
  <w:style w:type="character" w:customStyle="1" w:styleId="CommentSubjectChar">
    <w:name w:val="Comment Subject Char"/>
    <w:basedOn w:val="CommentTextChar"/>
    <w:link w:val="CommentSubject"/>
    <w:uiPriority w:val="99"/>
    <w:semiHidden/>
    <w:rsid w:val="00E31A16"/>
    <w:rPr>
      <w:rFonts w:ascii="Tw Cen MT" w:eastAsiaTheme="minorEastAsia" w:hAnsi="Tw Cen MT"/>
      <w:b/>
      <w:bCs/>
      <w:sz w:val="20"/>
      <w:szCs w:val="20"/>
      <w:lang w:val="fr-FR"/>
    </w:rPr>
  </w:style>
  <w:style w:type="character" w:customStyle="1" w:styleId="ListParagraphChar">
    <w:name w:val="List Paragraph Char"/>
    <w:aliases w:val="Premier Char,References Char,Liste couleur - Accent 11 Char1,Paragraphe de liste2 Char1,Liste couleur - Accent 111 Char1,Medium Grid 1 - Accent 21 Char1,Bullets Char,Paragraphe  revu Char,List Paragraph (numbered (a)) Char"/>
    <w:link w:val="ListParagraph"/>
    <w:uiPriority w:val="34"/>
    <w:locked/>
    <w:rsid w:val="00B5744C"/>
    <w:rPr>
      <w:rFonts w:ascii="Tw Cen MT" w:eastAsiaTheme="minorEastAsia" w:hAnsi="Tw Cen MT"/>
      <w:szCs w:val="23"/>
      <w:lang w:val="fr-FR"/>
    </w:rPr>
  </w:style>
  <w:style w:type="table" w:styleId="ColorfulGrid-Accent2">
    <w:name w:val="Colorful Grid Accent 2"/>
    <w:basedOn w:val="TableNormal"/>
    <w:uiPriority w:val="42"/>
    <w:rsid w:val="003F052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paragraph" w:customStyle="1" w:styleId="Normal1">
    <w:name w:val="Normal1"/>
    <w:basedOn w:val="Normal"/>
    <w:rsid w:val="00A21914"/>
    <w:pPr>
      <w:spacing w:after="0"/>
    </w:pPr>
    <w:rPr>
      <w:rFonts w:ascii="Times New Roman" w:hAnsi="Times New Roman"/>
      <w:sz w:val="24"/>
      <w:szCs w:val="20"/>
    </w:rPr>
  </w:style>
  <w:style w:type="paragraph" w:customStyle="1" w:styleId="xl65">
    <w:name w:val="xl65"/>
    <w:basedOn w:val="Normal"/>
    <w:rsid w:val="000F0BA7"/>
    <w:pPr>
      <w:spacing w:before="100" w:beforeAutospacing="1" w:after="100" w:afterAutospacing="1"/>
      <w:jc w:val="left"/>
    </w:pPr>
    <w:rPr>
      <w:rFonts w:ascii="Times New Roman" w:hAnsi="Times New Roman"/>
      <w:sz w:val="20"/>
      <w:szCs w:val="20"/>
    </w:rPr>
  </w:style>
  <w:style w:type="paragraph" w:customStyle="1" w:styleId="xl66">
    <w:name w:val="xl66"/>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7">
    <w:name w:val="xl67"/>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8">
    <w:name w:val="xl68"/>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szCs w:val="20"/>
    </w:rPr>
  </w:style>
  <w:style w:type="paragraph" w:customStyle="1" w:styleId="xl69">
    <w:name w:val="xl69"/>
    <w:basedOn w:val="Normal"/>
    <w:rsid w:val="000F0BA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ahoma" w:hAnsi="Tahoma" w:cs="Tahoma"/>
      <w:color w:val="FFFFFF"/>
      <w:sz w:val="20"/>
      <w:szCs w:val="20"/>
    </w:rPr>
  </w:style>
  <w:style w:type="paragraph" w:customStyle="1" w:styleId="xl70">
    <w:name w:val="xl70"/>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1">
    <w:name w:val="xl71"/>
    <w:basedOn w:val="Normal"/>
    <w:rsid w:val="000F0B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normaltableau">
    <w:name w:val="normal_tableau"/>
    <w:basedOn w:val="Normal"/>
    <w:uiPriority w:val="99"/>
    <w:rsid w:val="005A44D9"/>
    <w:pPr>
      <w:spacing w:before="120"/>
    </w:pPr>
    <w:rPr>
      <w:rFonts w:ascii="Optima" w:hAnsi="Optima"/>
      <w:szCs w:val="20"/>
      <w:lang w:val="en-GB" w:eastAsia="en-GB"/>
    </w:rPr>
  </w:style>
  <w:style w:type="table" w:styleId="LightList-Accent3">
    <w:name w:val="Light List Accent 3"/>
    <w:basedOn w:val="TableNormal"/>
    <w:uiPriority w:val="61"/>
    <w:rsid w:val="006D777C"/>
    <w:pPr>
      <w:spacing w:after="0" w:line="240" w:lineRule="auto"/>
    </w:pPr>
    <w:rPr>
      <w:lang w:val="fr-FR"/>
    </w:rPr>
    <w:tblPr>
      <w:tblStyleRowBandSize w:val="1"/>
      <w:tblStyleColBandSize w:val="1"/>
      <w:tblInd w:w="0" w:type="dxa"/>
      <w:tblBorders>
        <w:top w:val="single" w:sz="8" w:space="0" w:color="A5AB81" w:themeColor="accent3"/>
        <w:left w:val="single" w:sz="8" w:space="0" w:color="A5AB81" w:themeColor="accent3"/>
        <w:bottom w:val="single" w:sz="8" w:space="0" w:color="A5AB81" w:themeColor="accent3"/>
        <w:right w:val="single" w:sz="8" w:space="0" w:color="A5AB8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paragraph" w:customStyle="1" w:styleId="Style3">
    <w:name w:val="Style3"/>
    <w:basedOn w:val="Paragraphedeliste1"/>
    <w:next w:val="Heading4"/>
    <w:uiPriority w:val="99"/>
    <w:rsid w:val="006D777C"/>
    <w:pPr>
      <w:numPr>
        <w:ilvl w:val="3"/>
        <w:numId w:val="8"/>
      </w:numPr>
    </w:pPr>
    <w:rPr>
      <w:rFonts w:ascii="Tahoma" w:hAnsi="Tahoma" w:cs="Tahoma"/>
      <w:i/>
      <w:sz w:val="28"/>
      <w:szCs w:val="28"/>
      <w:u w:val="single"/>
      <w:lang w:val="en-US"/>
    </w:rPr>
  </w:style>
  <w:style w:type="paragraph" w:customStyle="1" w:styleId="Standard">
    <w:name w:val="Standard"/>
    <w:basedOn w:val="Normal"/>
    <w:next w:val="Normal"/>
    <w:uiPriority w:val="99"/>
    <w:rsid w:val="006D777C"/>
    <w:pPr>
      <w:autoSpaceDE w:val="0"/>
      <w:autoSpaceDN w:val="0"/>
      <w:adjustRightInd w:val="0"/>
      <w:spacing w:after="0"/>
      <w:jc w:val="left"/>
    </w:pPr>
    <w:rPr>
      <w:rFonts w:ascii="Times New Roman" w:hAnsi="Times New Roman"/>
      <w:sz w:val="24"/>
    </w:rPr>
  </w:style>
  <w:style w:type="paragraph" w:customStyle="1" w:styleId="Corpsdetexte31">
    <w:name w:val="Corps de texte 31"/>
    <w:basedOn w:val="Normal"/>
    <w:rsid w:val="00B45815"/>
    <w:pPr>
      <w:widowControl w:val="0"/>
      <w:suppressAutoHyphens/>
      <w:spacing w:after="0"/>
    </w:pPr>
    <w:rPr>
      <w:rFonts w:ascii="Arial Narrow" w:eastAsia="DejaVu Sans" w:hAnsi="Arial Narrow"/>
      <w:b/>
    </w:rPr>
  </w:style>
  <w:style w:type="paragraph" w:styleId="BodyTextIndent">
    <w:name w:val="Body Text Indent"/>
    <w:basedOn w:val="Normal"/>
    <w:link w:val="BodyTextIndentChar"/>
    <w:uiPriority w:val="99"/>
    <w:unhideWhenUsed/>
    <w:rsid w:val="00B45815"/>
    <w:pPr>
      <w:widowControl w:val="0"/>
      <w:suppressAutoHyphens/>
      <w:ind w:left="283"/>
      <w:jc w:val="left"/>
    </w:pPr>
    <w:rPr>
      <w:rFonts w:ascii="DejaVu Sans" w:eastAsia="DejaVu Sans" w:hAnsi="DejaVu Sans"/>
      <w:sz w:val="24"/>
    </w:rPr>
  </w:style>
  <w:style w:type="character" w:customStyle="1" w:styleId="BodyTextIndentChar">
    <w:name w:val="Body Text Indent Char"/>
    <w:basedOn w:val="DefaultParagraphFont"/>
    <w:link w:val="BodyTextIndent"/>
    <w:uiPriority w:val="99"/>
    <w:rsid w:val="00B45815"/>
    <w:rPr>
      <w:rFonts w:ascii="DejaVu Sans" w:eastAsia="DejaVu Sans" w:hAnsi="DejaVu Sans" w:cs="Times New Roman"/>
      <w:sz w:val="24"/>
      <w:szCs w:val="24"/>
      <w:lang w:val="fr-FR"/>
    </w:rPr>
  </w:style>
  <w:style w:type="paragraph" w:styleId="BodyTextIndent2">
    <w:name w:val="Body Text Indent 2"/>
    <w:basedOn w:val="Normal"/>
    <w:link w:val="BodyTextIndent2Char"/>
    <w:uiPriority w:val="99"/>
    <w:unhideWhenUsed/>
    <w:rsid w:val="00B45815"/>
    <w:pPr>
      <w:widowControl w:val="0"/>
      <w:suppressAutoHyphens/>
      <w:spacing w:line="480" w:lineRule="auto"/>
      <w:ind w:left="283"/>
      <w:jc w:val="left"/>
    </w:pPr>
    <w:rPr>
      <w:rFonts w:ascii="DejaVu Sans" w:eastAsia="DejaVu Sans" w:hAnsi="DejaVu Sans"/>
      <w:sz w:val="24"/>
    </w:rPr>
  </w:style>
  <w:style w:type="character" w:customStyle="1" w:styleId="BodyTextIndent2Char">
    <w:name w:val="Body Text Indent 2 Char"/>
    <w:basedOn w:val="DefaultParagraphFont"/>
    <w:link w:val="BodyTextIndent2"/>
    <w:uiPriority w:val="99"/>
    <w:rsid w:val="00B45815"/>
    <w:rPr>
      <w:rFonts w:ascii="DejaVu Sans" w:eastAsia="DejaVu Sans" w:hAnsi="DejaVu Sans" w:cs="Times New Roman"/>
      <w:sz w:val="24"/>
      <w:szCs w:val="24"/>
      <w:lang w:val="fr-FR"/>
    </w:rPr>
  </w:style>
  <w:style w:type="paragraph" w:customStyle="1" w:styleId="CM79">
    <w:name w:val="CM79"/>
    <w:basedOn w:val="Normal"/>
    <w:next w:val="Normal"/>
    <w:rsid w:val="00F640B3"/>
    <w:pPr>
      <w:widowControl w:val="0"/>
      <w:autoSpaceDE w:val="0"/>
      <w:autoSpaceDN w:val="0"/>
      <w:adjustRightInd w:val="0"/>
      <w:spacing w:after="543"/>
      <w:jc w:val="left"/>
    </w:pPr>
    <w:rPr>
      <w:rFonts w:ascii="Times New Roman" w:hAnsi="Times New Roman"/>
      <w:sz w:val="24"/>
    </w:rPr>
  </w:style>
  <w:style w:type="paragraph" w:customStyle="1" w:styleId="CM1">
    <w:name w:val="CM1"/>
    <w:basedOn w:val="Normal"/>
    <w:next w:val="Normal"/>
    <w:rsid w:val="00F640B3"/>
    <w:pPr>
      <w:widowControl w:val="0"/>
      <w:autoSpaceDE w:val="0"/>
      <w:autoSpaceDN w:val="0"/>
      <w:adjustRightInd w:val="0"/>
      <w:spacing w:after="0"/>
      <w:jc w:val="left"/>
    </w:pPr>
    <w:rPr>
      <w:rFonts w:ascii="Times New Roman" w:hAnsi="Times New Roman"/>
      <w:sz w:val="24"/>
    </w:rPr>
  </w:style>
  <w:style w:type="paragraph" w:customStyle="1" w:styleId="CM76">
    <w:name w:val="CM76"/>
    <w:basedOn w:val="Normal"/>
    <w:next w:val="Normal"/>
    <w:rsid w:val="00F640B3"/>
    <w:pPr>
      <w:widowControl w:val="0"/>
      <w:autoSpaceDE w:val="0"/>
      <w:autoSpaceDN w:val="0"/>
      <w:adjustRightInd w:val="0"/>
      <w:spacing w:after="815"/>
      <w:jc w:val="left"/>
    </w:pPr>
    <w:rPr>
      <w:rFonts w:ascii="Times New Roman" w:hAnsi="Times New Roman"/>
      <w:sz w:val="24"/>
    </w:rPr>
  </w:style>
  <w:style w:type="paragraph" w:customStyle="1" w:styleId="CM77">
    <w:name w:val="CM77"/>
    <w:basedOn w:val="Normal"/>
    <w:next w:val="Normal"/>
    <w:rsid w:val="00F640B3"/>
    <w:pPr>
      <w:widowControl w:val="0"/>
      <w:autoSpaceDE w:val="0"/>
      <w:autoSpaceDN w:val="0"/>
      <w:adjustRightInd w:val="0"/>
      <w:spacing w:after="278"/>
      <w:jc w:val="left"/>
    </w:pPr>
    <w:rPr>
      <w:rFonts w:ascii="Times New Roman" w:hAnsi="Times New Roman"/>
      <w:sz w:val="24"/>
    </w:rPr>
  </w:style>
  <w:style w:type="paragraph" w:customStyle="1" w:styleId="CM37">
    <w:name w:val="CM37"/>
    <w:basedOn w:val="Normal"/>
    <w:next w:val="Normal"/>
    <w:rsid w:val="00F640B3"/>
    <w:pPr>
      <w:widowControl w:val="0"/>
      <w:autoSpaceDE w:val="0"/>
      <w:autoSpaceDN w:val="0"/>
      <w:adjustRightInd w:val="0"/>
      <w:spacing w:after="0" w:line="548" w:lineRule="atLeast"/>
      <w:jc w:val="left"/>
    </w:pPr>
    <w:rPr>
      <w:rFonts w:ascii="Times New Roman" w:hAnsi="Times New Roman"/>
      <w:sz w:val="24"/>
    </w:rPr>
  </w:style>
  <w:style w:type="paragraph" w:customStyle="1" w:styleId="CM84">
    <w:name w:val="CM84"/>
    <w:basedOn w:val="Normal"/>
    <w:next w:val="Normal"/>
    <w:rsid w:val="00F640B3"/>
    <w:pPr>
      <w:widowControl w:val="0"/>
      <w:autoSpaceDE w:val="0"/>
      <w:autoSpaceDN w:val="0"/>
      <w:adjustRightInd w:val="0"/>
      <w:spacing w:after="200"/>
      <w:jc w:val="left"/>
    </w:pPr>
    <w:rPr>
      <w:rFonts w:ascii="Times New Roman" w:hAnsi="Times New Roman"/>
      <w:sz w:val="24"/>
    </w:rPr>
  </w:style>
  <w:style w:type="paragraph" w:customStyle="1" w:styleId="Russite">
    <w:name w:val="Réussite"/>
    <w:basedOn w:val="BodyText"/>
    <w:rsid w:val="00F640B3"/>
    <w:pPr>
      <w:tabs>
        <w:tab w:val="num" w:pos="1365"/>
      </w:tabs>
      <w:spacing w:after="60" w:line="240" w:lineRule="atLeast"/>
      <w:ind w:left="1365" w:hanging="360"/>
    </w:pPr>
    <w:rPr>
      <w:rFonts w:ascii="Garamond" w:hAnsi="Garamond"/>
      <w:szCs w:val="22"/>
      <w:lang w:val="x-none"/>
    </w:rPr>
  </w:style>
  <w:style w:type="paragraph" w:customStyle="1" w:styleId="Default">
    <w:name w:val="Default"/>
    <w:rsid w:val="0088286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paragraph" w:styleId="BodyText2">
    <w:name w:val="Body Text 2"/>
    <w:basedOn w:val="Normal"/>
    <w:link w:val="BodyText2Char"/>
    <w:uiPriority w:val="99"/>
    <w:semiHidden/>
    <w:unhideWhenUsed/>
    <w:rsid w:val="00E93671"/>
    <w:pPr>
      <w:spacing w:line="480" w:lineRule="auto"/>
    </w:pPr>
  </w:style>
  <w:style w:type="character" w:customStyle="1" w:styleId="BodyText2Char">
    <w:name w:val="Body Text 2 Char"/>
    <w:basedOn w:val="DefaultParagraphFont"/>
    <w:link w:val="BodyText2"/>
    <w:uiPriority w:val="99"/>
    <w:semiHidden/>
    <w:rsid w:val="00E93671"/>
    <w:rPr>
      <w:rFonts w:ascii="Tw Cen MT" w:eastAsiaTheme="minorEastAsia" w:hAnsi="Tw Cen MT"/>
      <w:szCs w:val="23"/>
      <w:lang w:val="fr-FR"/>
    </w:rPr>
  </w:style>
  <w:style w:type="character" w:customStyle="1" w:styleId="st">
    <w:name w:val="st"/>
    <w:basedOn w:val="DefaultParagraphFont"/>
    <w:rsid w:val="00DB0DF1"/>
  </w:style>
  <w:style w:type="character" w:styleId="Emphasis">
    <w:name w:val="Emphasis"/>
    <w:basedOn w:val="DefaultParagraphFont"/>
    <w:uiPriority w:val="20"/>
    <w:qFormat/>
    <w:rsid w:val="00DB0DF1"/>
    <w:rPr>
      <w:i/>
      <w:iCs/>
    </w:rPr>
  </w:style>
  <w:style w:type="paragraph" w:styleId="NormalWeb">
    <w:name w:val="Normal (Web)"/>
    <w:basedOn w:val="Normal"/>
    <w:uiPriority w:val="99"/>
    <w:unhideWhenUsed/>
    <w:rsid w:val="00333EE4"/>
    <w:pPr>
      <w:spacing w:before="100" w:beforeAutospacing="1" w:after="100" w:afterAutospacing="1"/>
      <w:jc w:val="left"/>
    </w:pPr>
    <w:rPr>
      <w:rFonts w:ascii="Times New Roman" w:hAnsi="Times New Roman"/>
      <w:sz w:val="24"/>
    </w:rPr>
  </w:style>
  <w:style w:type="paragraph" w:customStyle="1" w:styleId="font5">
    <w:name w:val="font5"/>
    <w:basedOn w:val="Normal"/>
    <w:rsid w:val="002E2CC6"/>
    <w:pPr>
      <w:spacing w:before="100" w:beforeAutospacing="1" w:after="100" w:afterAutospacing="1"/>
      <w:jc w:val="left"/>
    </w:pPr>
    <w:rPr>
      <w:rFonts w:ascii="Calibri" w:hAnsi="Calibri"/>
      <w:b/>
      <w:bCs/>
      <w:color w:val="000000"/>
      <w:szCs w:val="22"/>
    </w:rPr>
  </w:style>
  <w:style w:type="paragraph" w:customStyle="1" w:styleId="font6">
    <w:name w:val="font6"/>
    <w:basedOn w:val="Normal"/>
    <w:rsid w:val="002E2CC6"/>
    <w:pPr>
      <w:spacing w:before="100" w:beforeAutospacing="1" w:after="100" w:afterAutospacing="1"/>
      <w:jc w:val="left"/>
    </w:pPr>
    <w:rPr>
      <w:b/>
      <w:bCs/>
      <w:color w:val="000000"/>
      <w:szCs w:val="22"/>
    </w:rPr>
  </w:style>
  <w:style w:type="paragraph" w:customStyle="1" w:styleId="font7">
    <w:name w:val="font7"/>
    <w:basedOn w:val="Normal"/>
    <w:rsid w:val="002E2CC6"/>
    <w:pPr>
      <w:spacing w:before="100" w:beforeAutospacing="1" w:after="100" w:afterAutospacing="1"/>
      <w:jc w:val="left"/>
    </w:pPr>
    <w:rPr>
      <w:color w:val="000000"/>
      <w:szCs w:val="22"/>
    </w:rPr>
  </w:style>
  <w:style w:type="paragraph" w:customStyle="1" w:styleId="font8">
    <w:name w:val="font8"/>
    <w:basedOn w:val="Normal"/>
    <w:rsid w:val="002E2CC6"/>
    <w:pPr>
      <w:spacing w:before="100" w:beforeAutospacing="1" w:after="100" w:afterAutospacing="1"/>
      <w:jc w:val="left"/>
    </w:pPr>
    <w:rPr>
      <w:b/>
      <w:bCs/>
      <w:color w:val="000000"/>
      <w:szCs w:val="22"/>
    </w:rPr>
  </w:style>
  <w:style w:type="paragraph" w:customStyle="1" w:styleId="xl72">
    <w:name w:val="xl72"/>
    <w:basedOn w:val="Normal"/>
    <w:rsid w:val="002E2CC6"/>
    <w:pPr>
      <w:shd w:val="clear" w:color="000000" w:fill="DCE6F1"/>
      <w:spacing w:before="100" w:beforeAutospacing="1" w:after="100" w:afterAutospacing="1"/>
      <w:jc w:val="left"/>
    </w:pPr>
    <w:rPr>
      <w:b/>
      <w:bCs/>
      <w:sz w:val="24"/>
    </w:rPr>
  </w:style>
  <w:style w:type="paragraph" w:customStyle="1" w:styleId="xl73">
    <w:name w:val="xl73"/>
    <w:basedOn w:val="Normal"/>
    <w:rsid w:val="002E2CC6"/>
    <w:pPr>
      <w:shd w:val="clear" w:color="000000" w:fill="DCE6F1"/>
      <w:spacing w:before="100" w:beforeAutospacing="1" w:after="100" w:afterAutospacing="1"/>
      <w:jc w:val="center"/>
    </w:pPr>
    <w:rPr>
      <w:b/>
      <w:bCs/>
      <w:sz w:val="24"/>
    </w:rPr>
  </w:style>
  <w:style w:type="paragraph" w:customStyle="1" w:styleId="xl74">
    <w:name w:val="xl74"/>
    <w:basedOn w:val="Normal"/>
    <w:rsid w:val="002E2CC6"/>
    <w:pPr>
      <w:spacing w:before="100" w:beforeAutospacing="1" w:after="100" w:afterAutospacing="1"/>
      <w:jc w:val="left"/>
    </w:pPr>
    <w:rPr>
      <w:sz w:val="24"/>
    </w:rPr>
  </w:style>
  <w:style w:type="paragraph" w:customStyle="1" w:styleId="xl75">
    <w:name w:val="xl75"/>
    <w:basedOn w:val="Normal"/>
    <w:rsid w:val="002E2CC6"/>
    <w:pPr>
      <w:spacing w:before="100" w:beforeAutospacing="1" w:after="100" w:afterAutospacing="1"/>
      <w:jc w:val="center"/>
      <w:textAlignment w:val="center"/>
    </w:pPr>
    <w:rPr>
      <w:sz w:val="24"/>
    </w:rPr>
  </w:style>
  <w:style w:type="paragraph" w:customStyle="1" w:styleId="xl76">
    <w:name w:val="xl76"/>
    <w:basedOn w:val="Normal"/>
    <w:rsid w:val="002E2CC6"/>
    <w:pPr>
      <w:spacing w:before="100" w:beforeAutospacing="1" w:after="100" w:afterAutospacing="1"/>
      <w:jc w:val="left"/>
      <w:textAlignment w:val="center"/>
    </w:pPr>
    <w:rPr>
      <w:sz w:val="24"/>
    </w:rPr>
  </w:style>
  <w:style w:type="paragraph" w:customStyle="1" w:styleId="xl77">
    <w:name w:val="xl77"/>
    <w:basedOn w:val="Normal"/>
    <w:rsid w:val="002E2CC6"/>
    <w:pPr>
      <w:spacing w:before="100" w:beforeAutospacing="1" w:after="100" w:afterAutospacing="1"/>
      <w:jc w:val="center"/>
      <w:textAlignment w:val="center"/>
    </w:pPr>
    <w:rPr>
      <w:sz w:val="24"/>
    </w:rPr>
  </w:style>
  <w:style w:type="paragraph" w:customStyle="1" w:styleId="xl78">
    <w:name w:val="xl78"/>
    <w:basedOn w:val="Normal"/>
    <w:rsid w:val="002E2CC6"/>
    <w:pPr>
      <w:spacing w:before="100" w:beforeAutospacing="1" w:after="100" w:afterAutospacing="1"/>
      <w:jc w:val="left"/>
      <w:textAlignment w:val="center"/>
    </w:pPr>
    <w:rPr>
      <w:sz w:val="24"/>
    </w:rPr>
  </w:style>
  <w:style w:type="paragraph" w:customStyle="1" w:styleId="xl79">
    <w:name w:val="xl79"/>
    <w:basedOn w:val="Normal"/>
    <w:rsid w:val="002E2CC6"/>
    <w:pPr>
      <w:spacing w:before="100" w:beforeAutospacing="1" w:after="100" w:afterAutospacing="1"/>
      <w:jc w:val="left"/>
    </w:pPr>
    <w:rPr>
      <w:i/>
      <w:iCs/>
      <w:color w:val="808080"/>
      <w:sz w:val="24"/>
    </w:rPr>
  </w:style>
  <w:style w:type="paragraph" w:customStyle="1" w:styleId="xl80">
    <w:name w:val="xl80"/>
    <w:basedOn w:val="Normal"/>
    <w:rsid w:val="002E2CC6"/>
    <w:pPr>
      <w:spacing w:before="100" w:beforeAutospacing="1" w:after="100" w:afterAutospacing="1"/>
      <w:jc w:val="center"/>
      <w:textAlignment w:val="center"/>
    </w:pPr>
    <w:rPr>
      <w:sz w:val="24"/>
    </w:rPr>
  </w:style>
  <w:style w:type="paragraph" w:customStyle="1" w:styleId="xl81">
    <w:name w:val="xl81"/>
    <w:basedOn w:val="Normal"/>
    <w:rsid w:val="002E2CC6"/>
    <w:pPr>
      <w:spacing w:before="100" w:beforeAutospacing="1" w:after="100" w:afterAutospacing="1"/>
      <w:jc w:val="left"/>
      <w:textAlignment w:val="center"/>
    </w:pPr>
    <w:rPr>
      <w:sz w:val="24"/>
    </w:rPr>
  </w:style>
  <w:style w:type="paragraph" w:customStyle="1" w:styleId="xl82">
    <w:name w:val="xl82"/>
    <w:basedOn w:val="Normal"/>
    <w:rsid w:val="002E2CC6"/>
    <w:pPr>
      <w:spacing w:before="100" w:beforeAutospacing="1" w:after="100" w:afterAutospacing="1"/>
      <w:jc w:val="left"/>
      <w:textAlignment w:val="center"/>
    </w:pPr>
    <w:rPr>
      <w:sz w:val="24"/>
    </w:rPr>
  </w:style>
  <w:style w:type="paragraph" w:customStyle="1" w:styleId="xl83">
    <w:name w:val="xl83"/>
    <w:basedOn w:val="Normal"/>
    <w:rsid w:val="002E2CC6"/>
    <w:pPr>
      <w:spacing w:before="100" w:beforeAutospacing="1" w:after="100" w:afterAutospacing="1"/>
      <w:jc w:val="left"/>
      <w:textAlignment w:val="center"/>
    </w:pPr>
    <w:rPr>
      <w:sz w:val="24"/>
    </w:rPr>
  </w:style>
  <w:style w:type="paragraph" w:customStyle="1" w:styleId="xl84">
    <w:name w:val="xl84"/>
    <w:basedOn w:val="Normal"/>
    <w:rsid w:val="002E2CC6"/>
    <w:pPr>
      <w:spacing w:before="100" w:beforeAutospacing="1" w:after="100" w:afterAutospacing="1"/>
      <w:jc w:val="center"/>
      <w:textAlignment w:val="center"/>
    </w:pPr>
    <w:rPr>
      <w:color w:val="808080"/>
      <w:sz w:val="24"/>
    </w:rPr>
  </w:style>
  <w:style w:type="paragraph" w:customStyle="1" w:styleId="xl85">
    <w:name w:val="xl85"/>
    <w:basedOn w:val="Normal"/>
    <w:rsid w:val="002E2CC6"/>
    <w:pPr>
      <w:spacing w:before="100" w:beforeAutospacing="1" w:after="100" w:afterAutospacing="1"/>
      <w:jc w:val="left"/>
      <w:textAlignment w:val="center"/>
    </w:pPr>
    <w:rPr>
      <w:color w:val="808080"/>
      <w:sz w:val="24"/>
    </w:rPr>
  </w:style>
  <w:style w:type="paragraph" w:customStyle="1" w:styleId="xl86">
    <w:name w:val="xl86"/>
    <w:basedOn w:val="Normal"/>
    <w:rsid w:val="002E2CC6"/>
    <w:pPr>
      <w:spacing w:before="100" w:beforeAutospacing="1" w:after="100" w:afterAutospacing="1"/>
      <w:jc w:val="center"/>
      <w:textAlignment w:val="center"/>
    </w:pPr>
    <w:rPr>
      <w:b/>
      <w:bCs/>
      <w:color w:val="808080"/>
      <w:sz w:val="24"/>
    </w:rPr>
  </w:style>
  <w:style w:type="paragraph" w:customStyle="1" w:styleId="xl87">
    <w:name w:val="xl87"/>
    <w:basedOn w:val="Normal"/>
    <w:rsid w:val="002E2CC6"/>
    <w:pPr>
      <w:spacing w:before="100" w:beforeAutospacing="1" w:after="100" w:afterAutospacing="1"/>
      <w:jc w:val="left"/>
      <w:textAlignment w:val="center"/>
    </w:pPr>
    <w:rPr>
      <w:sz w:val="24"/>
    </w:rPr>
  </w:style>
  <w:style w:type="paragraph" w:customStyle="1" w:styleId="xl88">
    <w:name w:val="xl88"/>
    <w:basedOn w:val="Normal"/>
    <w:rsid w:val="002E2CC6"/>
    <w:pPr>
      <w:spacing w:before="100" w:beforeAutospacing="1" w:after="100" w:afterAutospacing="1"/>
      <w:jc w:val="left"/>
    </w:pPr>
    <w:rPr>
      <w:sz w:val="24"/>
    </w:rPr>
  </w:style>
  <w:style w:type="paragraph" w:customStyle="1" w:styleId="xl89">
    <w:name w:val="xl89"/>
    <w:basedOn w:val="Normal"/>
    <w:rsid w:val="002E2CC6"/>
    <w:pPr>
      <w:spacing w:before="100" w:beforeAutospacing="1" w:after="100" w:afterAutospacing="1"/>
      <w:jc w:val="center"/>
      <w:textAlignment w:val="center"/>
    </w:pPr>
    <w:rPr>
      <w:sz w:val="24"/>
    </w:rPr>
  </w:style>
  <w:style w:type="paragraph" w:customStyle="1" w:styleId="xl90">
    <w:name w:val="xl90"/>
    <w:basedOn w:val="Normal"/>
    <w:rsid w:val="002E2CC6"/>
    <w:pPr>
      <w:spacing w:before="100" w:beforeAutospacing="1" w:after="100" w:afterAutospacing="1"/>
      <w:jc w:val="left"/>
      <w:textAlignment w:val="center"/>
    </w:pPr>
    <w:rPr>
      <w:sz w:val="24"/>
    </w:rPr>
  </w:style>
  <w:style w:type="paragraph" w:customStyle="1" w:styleId="xl91">
    <w:name w:val="xl91"/>
    <w:basedOn w:val="Normal"/>
    <w:rsid w:val="002E2CC6"/>
    <w:pPr>
      <w:spacing w:before="100" w:beforeAutospacing="1" w:after="100" w:afterAutospacing="1"/>
      <w:jc w:val="center"/>
    </w:pPr>
    <w:rPr>
      <w:sz w:val="24"/>
    </w:rPr>
  </w:style>
  <w:style w:type="paragraph" w:customStyle="1" w:styleId="xl92">
    <w:name w:val="xl92"/>
    <w:basedOn w:val="Normal"/>
    <w:rsid w:val="002E2CC6"/>
    <w:pPr>
      <w:spacing w:before="100" w:beforeAutospacing="1" w:after="100" w:afterAutospacing="1"/>
      <w:jc w:val="left"/>
    </w:pPr>
    <w:rPr>
      <w:sz w:val="24"/>
    </w:rPr>
  </w:style>
  <w:style w:type="paragraph" w:customStyle="1" w:styleId="xl93">
    <w:name w:val="xl93"/>
    <w:basedOn w:val="Normal"/>
    <w:rsid w:val="002E2CC6"/>
    <w:pPr>
      <w:spacing w:before="100" w:beforeAutospacing="1" w:after="100" w:afterAutospacing="1"/>
      <w:jc w:val="left"/>
    </w:pPr>
    <w:rPr>
      <w:b/>
      <w:bCs/>
      <w:i/>
      <w:iCs/>
      <w:sz w:val="24"/>
    </w:rPr>
  </w:style>
  <w:style w:type="paragraph" w:customStyle="1" w:styleId="xl94">
    <w:name w:val="xl94"/>
    <w:basedOn w:val="Normal"/>
    <w:rsid w:val="002E2CC6"/>
    <w:pPr>
      <w:spacing w:before="100" w:beforeAutospacing="1" w:after="100" w:afterAutospacing="1"/>
      <w:jc w:val="left"/>
    </w:pPr>
    <w:rPr>
      <w:b/>
      <w:bCs/>
      <w:i/>
      <w:iCs/>
      <w:color w:val="FFFFFF"/>
      <w:sz w:val="24"/>
    </w:rPr>
  </w:style>
  <w:style w:type="paragraph" w:customStyle="1" w:styleId="xl95">
    <w:name w:val="xl95"/>
    <w:basedOn w:val="Normal"/>
    <w:rsid w:val="002E2CC6"/>
    <w:pPr>
      <w:spacing w:before="100" w:beforeAutospacing="1" w:after="100" w:afterAutospacing="1"/>
      <w:jc w:val="center"/>
    </w:pPr>
    <w:rPr>
      <w:b/>
      <w:bCs/>
      <w:i/>
      <w:iCs/>
      <w:color w:val="FFFFFF"/>
      <w:sz w:val="24"/>
    </w:rPr>
  </w:style>
  <w:style w:type="paragraph" w:customStyle="1" w:styleId="xl96">
    <w:name w:val="xl96"/>
    <w:basedOn w:val="Normal"/>
    <w:rsid w:val="002E2CC6"/>
    <w:pPr>
      <w:spacing w:before="100" w:beforeAutospacing="1" w:after="100" w:afterAutospacing="1"/>
      <w:jc w:val="left"/>
    </w:pPr>
    <w:rPr>
      <w:b/>
      <w:bCs/>
      <w:i/>
      <w:iCs/>
      <w:color w:val="FFFFFF"/>
      <w:sz w:val="24"/>
    </w:rPr>
  </w:style>
  <w:style w:type="paragraph" w:customStyle="1" w:styleId="xl97">
    <w:name w:val="xl97"/>
    <w:basedOn w:val="Normal"/>
    <w:rsid w:val="002E2CC6"/>
    <w:pPr>
      <w:spacing w:before="100" w:beforeAutospacing="1" w:after="100" w:afterAutospacing="1"/>
      <w:jc w:val="left"/>
    </w:pPr>
    <w:rPr>
      <w:b/>
      <w:bCs/>
      <w:i/>
      <w:iCs/>
      <w:sz w:val="24"/>
    </w:rPr>
  </w:style>
  <w:style w:type="paragraph" w:customStyle="1" w:styleId="xl98">
    <w:name w:val="xl98"/>
    <w:basedOn w:val="Normal"/>
    <w:rsid w:val="002E2CC6"/>
    <w:pPr>
      <w:spacing w:before="100" w:beforeAutospacing="1" w:after="100" w:afterAutospacing="1"/>
      <w:jc w:val="center"/>
    </w:pPr>
    <w:rPr>
      <w:b/>
      <w:bCs/>
      <w:i/>
      <w:iCs/>
      <w:sz w:val="24"/>
    </w:rPr>
  </w:style>
  <w:style w:type="paragraph" w:customStyle="1" w:styleId="xl99">
    <w:name w:val="xl99"/>
    <w:basedOn w:val="Normal"/>
    <w:rsid w:val="002E2CC6"/>
    <w:pPr>
      <w:spacing w:before="100" w:beforeAutospacing="1" w:after="100" w:afterAutospacing="1"/>
      <w:jc w:val="left"/>
    </w:pPr>
    <w:rPr>
      <w:b/>
      <w:bCs/>
      <w:i/>
      <w:iCs/>
      <w:sz w:val="24"/>
    </w:rPr>
  </w:style>
  <w:style w:type="paragraph" w:customStyle="1" w:styleId="xl100">
    <w:name w:val="xl100"/>
    <w:basedOn w:val="Normal"/>
    <w:rsid w:val="002E2CC6"/>
    <w:pPr>
      <w:pBdr>
        <w:top w:val="single" w:sz="4" w:space="0" w:color="B8CCE4"/>
        <w:left w:val="single" w:sz="4" w:space="0" w:color="B8CCE4"/>
        <w:bottom w:val="single" w:sz="4" w:space="0" w:color="B8CCE4"/>
      </w:pBdr>
      <w:spacing w:before="100" w:beforeAutospacing="1" w:after="100" w:afterAutospacing="1"/>
      <w:jc w:val="center"/>
      <w:textAlignment w:val="center"/>
    </w:pPr>
    <w:rPr>
      <w:sz w:val="24"/>
    </w:rPr>
  </w:style>
  <w:style w:type="paragraph" w:customStyle="1" w:styleId="xl101">
    <w:name w:val="xl101"/>
    <w:basedOn w:val="Normal"/>
    <w:rsid w:val="002E2CC6"/>
    <w:pPr>
      <w:pBdr>
        <w:top w:val="single" w:sz="4" w:space="0" w:color="B8CCE4"/>
        <w:bottom w:val="single" w:sz="4" w:space="0" w:color="B8CCE4"/>
      </w:pBdr>
      <w:spacing w:before="100" w:beforeAutospacing="1" w:after="100" w:afterAutospacing="1"/>
      <w:jc w:val="left"/>
      <w:textAlignment w:val="center"/>
    </w:pPr>
    <w:rPr>
      <w:sz w:val="24"/>
    </w:rPr>
  </w:style>
  <w:style w:type="paragraph" w:customStyle="1" w:styleId="xl102">
    <w:name w:val="xl102"/>
    <w:basedOn w:val="Normal"/>
    <w:rsid w:val="002E2CC6"/>
    <w:pPr>
      <w:pBdr>
        <w:top w:val="single" w:sz="4" w:space="0" w:color="B8CCE4"/>
        <w:bottom w:val="single" w:sz="4" w:space="0" w:color="B8CCE4"/>
      </w:pBdr>
      <w:spacing w:before="100" w:beforeAutospacing="1" w:after="100" w:afterAutospacing="1"/>
      <w:jc w:val="left"/>
      <w:textAlignment w:val="center"/>
    </w:pPr>
    <w:rPr>
      <w:sz w:val="24"/>
    </w:rPr>
  </w:style>
  <w:style w:type="paragraph" w:customStyle="1" w:styleId="xl103">
    <w:name w:val="xl103"/>
    <w:basedOn w:val="Normal"/>
    <w:rsid w:val="002E2CC6"/>
    <w:pPr>
      <w:pBdr>
        <w:top w:val="single" w:sz="4" w:space="0" w:color="B8CCE4"/>
        <w:bottom w:val="single" w:sz="4" w:space="0" w:color="B8CCE4"/>
      </w:pBdr>
      <w:spacing w:before="100" w:beforeAutospacing="1" w:after="100" w:afterAutospacing="1"/>
      <w:jc w:val="center"/>
      <w:textAlignment w:val="center"/>
    </w:pPr>
    <w:rPr>
      <w:sz w:val="24"/>
    </w:rPr>
  </w:style>
  <w:style w:type="paragraph" w:customStyle="1" w:styleId="xl104">
    <w:name w:val="xl104"/>
    <w:basedOn w:val="Normal"/>
    <w:rsid w:val="002E2CC6"/>
    <w:pPr>
      <w:pBdr>
        <w:top w:val="single" w:sz="4" w:space="0" w:color="B8CCE4"/>
        <w:bottom w:val="single" w:sz="4" w:space="0" w:color="B8CCE4"/>
        <w:right w:val="single" w:sz="4" w:space="0" w:color="B8CCE4"/>
      </w:pBdr>
      <w:spacing w:before="100" w:beforeAutospacing="1" w:after="100" w:afterAutospacing="1"/>
      <w:jc w:val="left"/>
      <w:textAlignment w:val="center"/>
    </w:pPr>
    <w:rPr>
      <w:sz w:val="24"/>
    </w:rPr>
  </w:style>
  <w:style w:type="paragraph" w:customStyle="1" w:styleId="xl105">
    <w:name w:val="xl105"/>
    <w:basedOn w:val="Normal"/>
    <w:rsid w:val="002E2CC6"/>
    <w:pPr>
      <w:pBdr>
        <w:bottom w:val="single" w:sz="4" w:space="0" w:color="B8CCE4"/>
      </w:pBdr>
      <w:shd w:val="clear" w:color="000000" w:fill="DCE6F1"/>
      <w:spacing w:before="100" w:beforeAutospacing="1" w:after="100" w:afterAutospacing="1"/>
      <w:jc w:val="left"/>
    </w:pPr>
    <w:rPr>
      <w:b/>
      <w:bCs/>
      <w:sz w:val="24"/>
    </w:rPr>
  </w:style>
  <w:style w:type="paragraph" w:customStyle="1" w:styleId="xl106">
    <w:name w:val="xl106"/>
    <w:basedOn w:val="Normal"/>
    <w:rsid w:val="002E2CC6"/>
    <w:pPr>
      <w:pBdr>
        <w:bottom w:val="single" w:sz="4" w:space="0" w:color="B8CCE4"/>
      </w:pBdr>
      <w:shd w:val="clear" w:color="000000" w:fill="DCE6F1"/>
      <w:spacing w:before="100" w:beforeAutospacing="1" w:after="100" w:afterAutospacing="1"/>
      <w:jc w:val="center"/>
    </w:pPr>
    <w:rPr>
      <w:b/>
      <w:bCs/>
      <w:sz w:val="24"/>
    </w:rPr>
  </w:style>
  <w:style w:type="paragraph" w:customStyle="1" w:styleId="xl107">
    <w:name w:val="xl107"/>
    <w:basedOn w:val="Normal"/>
    <w:rsid w:val="002E2CC6"/>
    <w:pPr>
      <w:pBdr>
        <w:bottom w:val="single" w:sz="4" w:space="0" w:color="B8CCE4"/>
      </w:pBdr>
      <w:shd w:val="clear" w:color="000000" w:fill="DCE6F1"/>
      <w:spacing w:before="100" w:beforeAutospacing="1" w:after="100" w:afterAutospacing="1"/>
      <w:jc w:val="left"/>
    </w:pPr>
    <w:rPr>
      <w:b/>
      <w:bCs/>
      <w:sz w:val="24"/>
    </w:rPr>
  </w:style>
  <w:style w:type="paragraph" w:customStyle="1" w:styleId="xl108">
    <w:name w:val="xl108"/>
    <w:basedOn w:val="Normal"/>
    <w:rsid w:val="002E2CC6"/>
    <w:pPr>
      <w:pBdr>
        <w:top w:val="single" w:sz="4" w:space="0" w:color="B8CCE4"/>
        <w:bottom w:val="single" w:sz="4" w:space="0" w:color="B8CCE4"/>
      </w:pBdr>
      <w:spacing w:before="100" w:beforeAutospacing="1" w:after="100" w:afterAutospacing="1"/>
      <w:jc w:val="center"/>
      <w:textAlignment w:val="center"/>
    </w:pPr>
    <w:rPr>
      <w:sz w:val="24"/>
    </w:rPr>
  </w:style>
  <w:style w:type="paragraph" w:customStyle="1" w:styleId="xl109">
    <w:name w:val="xl109"/>
    <w:basedOn w:val="Normal"/>
    <w:rsid w:val="002E2CC6"/>
    <w:pPr>
      <w:pBdr>
        <w:top w:val="single" w:sz="4" w:space="0" w:color="B8CCE4"/>
        <w:bottom w:val="single" w:sz="4" w:space="0" w:color="B8CCE4"/>
      </w:pBdr>
      <w:spacing w:before="100" w:beforeAutospacing="1" w:after="100" w:afterAutospacing="1"/>
      <w:jc w:val="left"/>
      <w:textAlignment w:val="center"/>
    </w:pPr>
    <w:rPr>
      <w:sz w:val="24"/>
    </w:rPr>
  </w:style>
  <w:style w:type="paragraph" w:customStyle="1" w:styleId="xl110">
    <w:name w:val="xl110"/>
    <w:basedOn w:val="Normal"/>
    <w:rsid w:val="002E2CC6"/>
    <w:pPr>
      <w:pBdr>
        <w:top w:val="single" w:sz="4" w:space="0" w:color="B8CCE4"/>
        <w:bottom w:val="single" w:sz="4" w:space="0" w:color="B8CCE4"/>
      </w:pBdr>
      <w:spacing w:before="100" w:beforeAutospacing="1" w:after="100" w:afterAutospacing="1"/>
      <w:jc w:val="center"/>
      <w:textAlignment w:val="center"/>
    </w:pPr>
    <w:rPr>
      <w:sz w:val="24"/>
    </w:rPr>
  </w:style>
  <w:style w:type="paragraph" w:customStyle="1" w:styleId="xl111">
    <w:name w:val="xl111"/>
    <w:basedOn w:val="Normal"/>
    <w:rsid w:val="002E2CC6"/>
    <w:pPr>
      <w:pBdr>
        <w:top w:val="single" w:sz="4" w:space="0" w:color="B8CCE4"/>
        <w:bottom w:val="single" w:sz="4" w:space="0" w:color="B8CCE4"/>
      </w:pBdr>
      <w:spacing w:before="100" w:beforeAutospacing="1" w:after="100" w:afterAutospacing="1"/>
      <w:jc w:val="left"/>
      <w:textAlignment w:val="center"/>
    </w:pPr>
    <w:rPr>
      <w:sz w:val="24"/>
    </w:rPr>
  </w:style>
  <w:style w:type="paragraph" w:customStyle="1" w:styleId="xl112">
    <w:name w:val="xl112"/>
    <w:basedOn w:val="Normal"/>
    <w:rsid w:val="002E2CC6"/>
    <w:pPr>
      <w:pBdr>
        <w:top w:val="single" w:sz="4" w:space="0" w:color="B8CCE4"/>
        <w:bottom w:val="single" w:sz="4" w:space="0" w:color="B8CCE4"/>
      </w:pBdr>
      <w:spacing w:before="100" w:beforeAutospacing="1" w:after="100" w:afterAutospacing="1"/>
      <w:jc w:val="center"/>
      <w:textAlignment w:val="center"/>
    </w:pPr>
    <w:rPr>
      <w:color w:val="808080"/>
      <w:sz w:val="24"/>
    </w:rPr>
  </w:style>
  <w:style w:type="paragraph" w:customStyle="1" w:styleId="xl113">
    <w:name w:val="xl113"/>
    <w:basedOn w:val="Normal"/>
    <w:rsid w:val="002E2CC6"/>
    <w:pPr>
      <w:pBdr>
        <w:top w:val="single" w:sz="4" w:space="0" w:color="B8CCE4"/>
        <w:bottom w:val="single" w:sz="4" w:space="0" w:color="B8CCE4"/>
      </w:pBdr>
      <w:spacing w:before="100" w:beforeAutospacing="1" w:after="100" w:afterAutospacing="1"/>
      <w:jc w:val="left"/>
      <w:textAlignment w:val="center"/>
    </w:pPr>
    <w:rPr>
      <w:color w:val="808080"/>
      <w:sz w:val="24"/>
    </w:rPr>
  </w:style>
  <w:style w:type="paragraph" w:customStyle="1" w:styleId="xl114">
    <w:name w:val="xl114"/>
    <w:basedOn w:val="Normal"/>
    <w:rsid w:val="002E2CC6"/>
    <w:pPr>
      <w:pBdr>
        <w:top w:val="single" w:sz="4" w:space="0" w:color="B8CCE4"/>
        <w:bottom w:val="single" w:sz="4" w:space="0" w:color="B8CCE4"/>
      </w:pBdr>
      <w:spacing w:before="100" w:beforeAutospacing="1" w:after="100" w:afterAutospacing="1"/>
      <w:jc w:val="left"/>
    </w:pPr>
    <w:rPr>
      <w:i/>
      <w:iCs/>
      <w:color w:val="808080"/>
      <w:sz w:val="24"/>
    </w:rPr>
  </w:style>
  <w:style w:type="paragraph" w:customStyle="1" w:styleId="xl115">
    <w:name w:val="xl115"/>
    <w:basedOn w:val="Normal"/>
    <w:rsid w:val="002E2CC6"/>
    <w:pPr>
      <w:pBdr>
        <w:top w:val="single" w:sz="4" w:space="0" w:color="B8CCE4"/>
        <w:bottom w:val="single" w:sz="4" w:space="0" w:color="B8CCE4"/>
      </w:pBdr>
      <w:spacing w:before="100" w:beforeAutospacing="1" w:after="100" w:afterAutospacing="1"/>
      <w:jc w:val="center"/>
      <w:textAlignment w:val="center"/>
    </w:pPr>
    <w:rPr>
      <w:b/>
      <w:bCs/>
      <w:color w:val="808080"/>
      <w:sz w:val="24"/>
    </w:rPr>
  </w:style>
  <w:style w:type="paragraph" w:customStyle="1" w:styleId="xl116">
    <w:name w:val="xl116"/>
    <w:basedOn w:val="Normal"/>
    <w:rsid w:val="002E2CC6"/>
    <w:pPr>
      <w:pBdr>
        <w:bottom w:val="single" w:sz="4" w:space="0" w:color="B8CCE4"/>
      </w:pBdr>
      <w:spacing w:before="100" w:beforeAutospacing="1" w:after="100" w:afterAutospacing="1"/>
      <w:jc w:val="center"/>
      <w:textAlignment w:val="center"/>
    </w:pPr>
    <w:rPr>
      <w:sz w:val="24"/>
    </w:rPr>
  </w:style>
  <w:style w:type="paragraph" w:customStyle="1" w:styleId="xl117">
    <w:name w:val="xl117"/>
    <w:basedOn w:val="Normal"/>
    <w:rsid w:val="002E2CC6"/>
    <w:pPr>
      <w:pBdr>
        <w:bottom w:val="single" w:sz="4" w:space="0" w:color="B8CCE4"/>
      </w:pBdr>
      <w:spacing w:before="100" w:beforeAutospacing="1" w:after="100" w:afterAutospacing="1"/>
      <w:jc w:val="left"/>
      <w:textAlignment w:val="center"/>
    </w:pPr>
    <w:rPr>
      <w:sz w:val="24"/>
    </w:rPr>
  </w:style>
  <w:style w:type="paragraph" w:customStyle="1" w:styleId="xl118">
    <w:name w:val="xl118"/>
    <w:basedOn w:val="Normal"/>
    <w:rsid w:val="002E2CC6"/>
    <w:pPr>
      <w:pBdr>
        <w:bottom w:val="single" w:sz="4" w:space="0" w:color="B8CCE4"/>
      </w:pBdr>
      <w:spacing w:before="100" w:beforeAutospacing="1" w:after="100" w:afterAutospacing="1"/>
      <w:jc w:val="center"/>
      <w:textAlignment w:val="center"/>
    </w:pPr>
    <w:rPr>
      <w:sz w:val="24"/>
    </w:rPr>
  </w:style>
  <w:style w:type="paragraph" w:customStyle="1" w:styleId="xl119">
    <w:name w:val="xl119"/>
    <w:basedOn w:val="Normal"/>
    <w:rsid w:val="002E2CC6"/>
    <w:pPr>
      <w:pBdr>
        <w:bottom w:val="single" w:sz="4" w:space="0" w:color="B8CCE4"/>
      </w:pBdr>
      <w:spacing w:before="100" w:beforeAutospacing="1" w:after="100" w:afterAutospacing="1"/>
      <w:jc w:val="left"/>
      <w:textAlignment w:val="center"/>
    </w:pPr>
    <w:rPr>
      <w:sz w:val="24"/>
    </w:rPr>
  </w:style>
  <w:style w:type="paragraph" w:customStyle="1" w:styleId="xl120">
    <w:name w:val="xl120"/>
    <w:basedOn w:val="Normal"/>
    <w:rsid w:val="002E2CC6"/>
    <w:pPr>
      <w:pBdr>
        <w:top w:val="single" w:sz="4" w:space="0" w:color="B8CCE4"/>
        <w:left w:val="single" w:sz="4" w:space="0" w:color="B8CCE4"/>
      </w:pBdr>
      <w:spacing w:before="100" w:beforeAutospacing="1" w:after="100" w:afterAutospacing="1"/>
      <w:jc w:val="center"/>
      <w:textAlignment w:val="center"/>
    </w:pPr>
    <w:rPr>
      <w:sz w:val="24"/>
    </w:rPr>
  </w:style>
  <w:style w:type="paragraph" w:customStyle="1" w:styleId="xl121">
    <w:name w:val="xl121"/>
    <w:basedOn w:val="Normal"/>
    <w:rsid w:val="002E2CC6"/>
    <w:pPr>
      <w:pBdr>
        <w:top w:val="single" w:sz="4" w:space="0" w:color="B8CCE4"/>
      </w:pBdr>
      <w:spacing w:before="100" w:beforeAutospacing="1" w:after="100" w:afterAutospacing="1"/>
      <w:jc w:val="left"/>
      <w:textAlignment w:val="center"/>
    </w:pPr>
    <w:rPr>
      <w:sz w:val="24"/>
    </w:rPr>
  </w:style>
  <w:style w:type="paragraph" w:customStyle="1" w:styleId="xl122">
    <w:name w:val="xl122"/>
    <w:basedOn w:val="Normal"/>
    <w:rsid w:val="002E2CC6"/>
    <w:pPr>
      <w:pBdr>
        <w:top w:val="single" w:sz="4" w:space="0" w:color="B8CCE4"/>
      </w:pBdr>
      <w:spacing w:before="100" w:beforeAutospacing="1" w:after="100" w:afterAutospacing="1"/>
      <w:jc w:val="left"/>
      <w:textAlignment w:val="center"/>
    </w:pPr>
    <w:rPr>
      <w:sz w:val="24"/>
    </w:rPr>
  </w:style>
  <w:style w:type="paragraph" w:customStyle="1" w:styleId="xl123">
    <w:name w:val="xl123"/>
    <w:basedOn w:val="Normal"/>
    <w:rsid w:val="002E2CC6"/>
    <w:pPr>
      <w:pBdr>
        <w:top w:val="single" w:sz="4" w:space="0" w:color="B8CCE4"/>
        <w:right w:val="single" w:sz="4" w:space="0" w:color="B8CCE4"/>
      </w:pBdr>
      <w:spacing w:before="100" w:beforeAutospacing="1" w:after="100" w:afterAutospacing="1"/>
      <w:jc w:val="left"/>
      <w:textAlignment w:val="center"/>
    </w:pPr>
    <w:rPr>
      <w:sz w:val="24"/>
    </w:rPr>
  </w:style>
  <w:style w:type="paragraph" w:customStyle="1" w:styleId="xl124">
    <w:name w:val="xl124"/>
    <w:basedOn w:val="Normal"/>
    <w:rsid w:val="002E2CC6"/>
    <w:pPr>
      <w:pBdr>
        <w:left w:val="single" w:sz="4" w:space="0" w:color="B8CCE4"/>
      </w:pBdr>
      <w:spacing w:before="100" w:beforeAutospacing="1" w:after="100" w:afterAutospacing="1"/>
      <w:jc w:val="center"/>
      <w:textAlignment w:val="center"/>
    </w:pPr>
    <w:rPr>
      <w:sz w:val="24"/>
    </w:rPr>
  </w:style>
  <w:style w:type="paragraph" w:customStyle="1" w:styleId="xl125">
    <w:name w:val="xl125"/>
    <w:basedOn w:val="Normal"/>
    <w:rsid w:val="002E2CC6"/>
    <w:pPr>
      <w:pBdr>
        <w:right w:val="single" w:sz="4" w:space="0" w:color="B8CCE4"/>
      </w:pBdr>
      <w:spacing w:before="100" w:beforeAutospacing="1" w:after="100" w:afterAutospacing="1"/>
      <w:jc w:val="left"/>
      <w:textAlignment w:val="center"/>
    </w:pPr>
    <w:rPr>
      <w:sz w:val="24"/>
    </w:rPr>
  </w:style>
  <w:style w:type="paragraph" w:customStyle="1" w:styleId="xl126">
    <w:name w:val="xl126"/>
    <w:basedOn w:val="Normal"/>
    <w:rsid w:val="002E2CC6"/>
    <w:pPr>
      <w:pBdr>
        <w:left w:val="single" w:sz="4" w:space="0" w:color="B8CCE4"/>
        <w:bottom w:val="single" w:sz="4" w:space="0" w:color="B8CCE4"/>
      </w:pBdr>
      <w:spacing w:before="100" w:beforeAutospacing="1" w:after="100" w:afterAutospacing="1"/>
      <w:jc w:val="center"/>
      <w:textAlignment w:val="center"/>
    </w:pPr>
    <w:rPr>
      <w:sz w:val="24"/>
    </w:rPr>
  </w:style>
  <w:style w:type="paragraph" w:customStyle="1" w:styleId="xl127">
    <w:name w:val="xl127"/>
    <w:basedOn w:val="Normal"/>
    <w:rsid w:val="002E2CC6"/>
    <w:pPr>
      <w:pBdr>
        <w:bottom w:val="single" w:sz="4" w:space="0" w:color="B8CCE4"/>
      </w:pBdr>
      <w:spacing w:before="100" w:beforeAutospacing="1" w:after="100" w:afterAutospacing="1"/>
      <w:jc w:val="left"/>
      <w:textAlignment w:val="center"/>
    </w:pPr>
    <w:rPr>
      <w:sz w:val="24"/>
    </w:rPr>
  </w:style>
  <w:style w:type="paragraph" w:customStyle="1" w:styleId="xl128">
    <w:name w:val="xl128"/>
    <w:basedOn w:val="Normal"/>
    <w:rsid w:val="002E2CC6"/>
    <w:pPr>
      <w:pBdr>
        <w:bottom w:val="single" w:sz="4" w:space="0" w:color="B8CCE4"/>
        <w:right w:val="single" w:sz="4" w:space="0" w:color="B8CCE4"/>
      </w:pBdr>
      <w:spacing w:before="100" w:beforeAutospacing="1" w:after="100" w:afterAutospacing="1"/>
      <w:jc w:val="left"/>
      <w:textAlignment w:val="center"/>
    </w:pPr>
    <w:rPr>
      <w:sz w:val="24"/>
    </w:rPr>
  </w:style>
  <w:style w:type="paragraph" w:customStyle="1" w:styleId="xl129">
    <w:name w:val="xl129"/>
    <w:basedOn w:val="Normal"/>
    <w:rsid w:val="002E2CC6"/>
    <w:pPr>
      <w:pBdr>
        <w:top w:val="single" w:sz="4" w:space="0" w:color="B8CCE4"/>
        <w:left w:val="single" w:sz="4" w:space="0" w:color="B8CCE4"/>
      </w:pBdr>
      <w:spacing w:before="100" w:beforeAutospacing="1" w:after="100" w:afterAutospacing="1"/>
      <w:jc w:val="center"/>
      <w:textAlignment w:val="center"/>
    </w:pPr>
    <w:rPr>
      <w:sz w:val="24"/>
    </w:rPr>
  </w:style>
  <w:style w:type="paragraph" w:customStyle="1" w:styleId="xl130">
    <w:name w:val="xl130"/>
    <w:basedOn w:val="Normal"/>
    <w:rsid w:val="002E2CC6"/>
    <w:pPr>
      <w:pBdr>
        <w:top w:val="single" w:sz="4" w:space="0" w:color="B8CCE4"/>
      </w:pBdr>
      <w:spacing w:before="100" w:beforeAutospacing="1" w:after="100" w:afterAutospacing="1"/>
      <w:jc w:val="center"/>
      <w:textAlignment w:val="center"/>
    </w:pPr>
    <w:rPr>
      <w:sz w:val="24"/>
    </w:rPr>
  </w:style>
  <w:style w:type="paragraph" w:customStyle="1" w:styleId="xl131">
    <w:name w:val="xl131"/>
    <w:basedOn w:val="Normal"/>
    <w:rsid w:val="002E2CC6"/>
    <w:pPr>
      <w:pBdr>
        <w:top w:val="single" w:sz="4" w:space="0" w:color="B8CCE4"/>
        <w:right w:val="single" w:sz="4" w:space="0" w:color="B8CCE4"/>
      </w:pBdr>
      <w:spacing w:before="100" w:beforeAutospacing="1" w:after="100" w:afterAutospacing="1"/>
      <w:jc w:val="left"/>
      <w:textAlignment w:val="center"/>
    </w:pPr>
    <w:rPr>
      <w:sz w:val="24"/>
    </w:rPr>
  </w:style>
  <w:style w:type="paragraph" w:customStyle="1" w:styleId="xl132">
    <w:name w:val="xl132"/>
    <w:basedOn w:val="Normal"/>
    <w:rsid w:val="002E2CC6"/>
    <w:pPr>
      <w:pBdr>
        <w:left w:val="single" w:sz="4" w:space="0" w:color="B8CCE4"/>
      </w:pBdr>
      <w:spacing w:before="100" w:beforeAutospacing="1" w:after="100" w:afterAutospacing="1"/>
      <w:jc w:val="center"/>
      <w:textAlignment w:val="center"/>
    </w:pPr>
    <w:rPr>
      <w:sz w:val="24"/>
    </w:rPr>
  </w:style>
  <w:style w:type="paragraph" w:customStyle="1" w:styleId="xl133">
    <w:name w:val="xl133"/>
    <w:basedOn w:val="Normal"/>
    <w:rsid w:val="002E2CC6"/>
    <w:pPr>
      <w:pBdr>
        <w:right w:val="single" w:sz="4" w:space="0" w:color="B8CCE4"/>
      </w:pBdr>
      <w:spacing w:before="100" w:beforeAutospacing="1" w:after="100" w:afterAutospacing="1"/>
      <w:jc w:val="left"/>
      <w:textAlignment w:val="center"/>
    </w:pPr>
    <w:rPr>
      <w:sz w:val="24"/>
    </w:rPr>
  </w:style>
  <w:style w:type="paragraph" w:customStyle="1" w:styleId="xl134">
    <w:name w:val="xl134"/>
    <w:basedOn w:val="Normal"/>
    <w:rsid w:val="002E2CC6"/>
    <w:pPr>
      <w:pBdr>
        <w:left w:val="single" w:sz="4" w:space="0" w:color="B8CCE4"/>
        <w:bottom w:val="single" w:sz="4" w:space="0" w:color="B8CCE4"/>
      </w:pBdr>
      <w:spacing w:before="100" w:beforeAutospacing="1" w:after="100" w:afterAutospacing="1"/>
      <w:jc w:val="center"/>
      <w:textAlignment w:val="center"/>
    </w:pPr>
    <w:rPr>
      <w:sz w:val="24"/>
    </w:rPr>
  </w:style>
  <w:style w:type="paragraph" w:customStyle="1" w:styleId="xl135">
    <w:name w:val="xl135"/>
    <w:basedOn w:val="Normal"/>
    <w:rsid w:val="002E2CC6"/>
    <w:pPr>
      <w:pBdr>
        <w:bottom w:val="single" w:sz="4" w:space="0" w:color="B8CCE4"/>
      </w:pBdr>
      <w:spacing w:before="100" w:beforeAutospacing="1" w:after="100" w:afterAutospacing="1"/>
      <w:jc w:val="center"/>
      <w:textAlignment w:val="center"/>
    </w:pPr>
    <w:rPr>
      <w:sz w:val="24"/>
    </w:rPr>
  </w:style>
  <w:style w:type="paragraph" w:customStyle="1" w:styleId="xl136">
    <w:name w:val="xl136"/>
    <w:basedOn w:val="Normal"/>
    <w:rsid w:val="002E2CC6"/>
    <w:pPr>
      <w:pBdr>
        <w:bottom w:val="single" w:sz="4" w:space="0" w:color="B8CCE4"/>
        <w:right w:val="single" w:sz="4" w:space="0" w:color="B8CCE4"/>
      </w:pBdr>
      <w:spacing w:before="100" w:beforeAutospacing="1" w:after="100" w:afterAutospacing="1"/>
      <w:jc w:val="left"/>
      <w:textAlignment w:val="center"/>
    </w:pPr>
    <w:rPr>
      <w:sz w:val="24"/>
    </w:rPr>
  </w:style>
  <w:style w:type="paragraph" w:customStyle="1" w:styleId="xl137">
    <w:name w:val="xl137"/>
    <w:basedOn w:val="Normal"/>
    <w:rsid w:val="002E2CC6"/>
    <w:pPr>
      <w:pBdr>
        <w:left w:val="single" w:sz="4" w:space="0" w:color="B8CCE4"/>
        <w:bottom w:val="single" w:sz="4" w:space="0" w:color="B8CCE4"/>
      </w:pBdr>
      <w:spacing w:before="100" w:beforeAutospacing="1" w:after="100" w:afterAutospacing="1"/>
      <w:jc w:val="left"/>
    </w:pPr>
    <w:rPr>
      <w:sz w:val="24"/>
    </w:rPr>
  </w:style>
  <w:style w:type="paragraph" w:customStyle="1" w:styleId="xl138">
    <w:name w:val="xl138"/>
    <w:basedOn w:val="Normal"/>
    <w:rsid w:val="002E2CC6"/>
    <w:pPr>
      <w:pBdr>
        <w:bottom w:val="single" w:sz="4" w:space="0" w:color="B8CCE4"/>
      </w:pBdr>
      <w:spacing w:before="100" w:beforeAutospacing="1" w:after="100" w:afterAutospacing="1"/>
      <w:jc w:val="left"/>
    </w:pPr>
    <w:rPr>
      <w:sz w:val="24"/>
    </w:rPr>
  </w:style>
  <w:style w:type="paragraph" w:customStyle="1" w:styleId="xl139">
    <w:name w:val="xl139"/>
    <w:basedOn w:val="Normal"/>
    <w:rsid w:val="002E2CC6"/>
    <w:pPr>
      <w:pBdr>
        <w:bottom w:val="single" w:sz="4" w:space="0" w:color="B8CCE4"/>
      </w:pBdr>
      <w:spacing w:before="100" w:beforeAutospacing="1" w:after="100" w:afterAutospacing="1"/>
      <w:ind w:firstLineChars="300" w:firstLine="300"/>
      <w:jc w:val="left"/>
      <w:textAlignment w:val="center"/>
    </w:pPr>
    <w:rPr>
      <w:color w:val="FF0000"/>
      <w:sz w:val="24"/>
    </w:rPr>
  </w:style>
  <w:style w:type="paragraph" w:customStyle="1" w:styleId="xl140">
    <w:name w:val="xl140"/>
    <w:basedOn w:val="Normal"/>
    <w:rsid w:val="002E2CC6"/>
    <w:pPr>
      <w:pBdr>
        <w:bottom w:val="single" w:sz="4" w:space="0" w:color="B8CCE4"/>
      </w:pBdr>
      <w:spacing w:before="100" w:beforeAutospacing="1" w:after="100" w:afterAutospacing="1"/>
      <w:jc w:val="center"/>
    </w:pPr>
    <w:rPr>
      <w:sz w:val="24"/>
    </w:rPr>
  </w:style>
  <w:style w:type="paragraph" w:customStyle="1" w:styleId="xl141">
    <w:name w:val="xl141"/>
    <w:basedOn w:val="Normal"/>
    <w:rsid w:val="002E2CC6"/>
    <w:pPr>
      <w:pBdr>
        <w:bottom w:val="single" w:sz="4" w:space="0" w:color="B8CCE4"/>
        <w:right w:val="single" w:sz="4" w:space="0" w:color="B8CCE4"/>
      </w:pBdr>
      <w:spacing w:before="100" w:beforeAutospacing="1" w:after="100" w:afterAutospacing="1"/>
      <w:jc w:val="left"/>
    </w:pPr>
    <w:rPr>
      <w:sz w:val="24"/>
    </w:rPr>
  </w:style>
  <w:style w:type="paragraph" w:customStyle="1" w:styleId="xl142">
    <w:name w:val="xl142"/>
    <w:basedOn w:val="Normal"/>
    <w:rsid w:val="002E2CC6"/>
    <w:pPr>
      <w:pBdr>
        <w:top w:val="single" w:sz="4" w:space="0" w:color="B8CCE4"/>
      </w:pBdr>
      <w:spacing w:before="100" w:beforeAutospacing="1" w:after="100" w:afterAutospacing="1"/>
      <w:jc w:val="center"/>
      <w:textAlignment w:val="center"/>
    </w:pPr>
    <w:rPr>
      <w:sz w:val="24"/>
    </w:rPr>
  </w:style>
  <w:style w:type="paragraph" w:customStyle="1" w:styleId="xl143">
    <w:name w:val="xl143"/>
    <w:basedOn w:val="Normal"/>
    <w:rsid w:val="002E2CC6"/>
    <w:pPr>
      <w:shd w:val="clear" w:color="000000" w:fill="F79646"/>
      <w:spacing w:before="100" w:beforeAutospacing="1" w:after="100" w:afterAutospacing="1"/>
      <w:jc w:val="left"/>
    </w:pPr>
    <w:rPr>
      <w:b/>
      <w:bCs/>
      <w:sz w:val="24"/>
    </w:rPr>
  </w:style>
  <w:style w:type="paragraph" w:customStyle="1" w:styleId="xl144">
    <w:name w:val="xl144"/>
    <w:basedOn w:val="Normal"/>
    <w:rsid w:val="002E2CC6"/>
    <w:pPr>
      <w:shd w:val="clear" w:color="000000" w:fill="F79646"/>
      <w:spacing w:before="100" w:beforeAutospacing="1" w:after="100" w:afterAutospacing="1"/>
      <w:jc w:val="left"/>
    </w:pPr>
    <w:rPr>
      <w:b/>
      <w:bCs/>
      <w:i/>
      <w:iCs/>
      <w:sz w:val="24"/>
    </w:rPr>
  </w:style>
  <w:style w:type="paragraph" w:customStyle="1" w:styleId="xl145">
    <w:name w:val="xl145"/>
    <w:basedOn w:val="Normal"/>
    <w:rsid w:val="002E2CC6"/>
    <w:pPr>
      <w:shd w:val="clear" w:color="000000" w:fill="F79646"/>
      <w:spacing w:before="100" w:beforeAutospacing="1" w:after="100" w:afterAutospacing="1"/>
      <w:jc w:val="left"/>
      <w:textAlignment w:val="top"/>
    </w:pPr>
    <w:rPr>
      <w:b/>
      <w:bCs/>
      <w:i/>
      <w:iCs/>
      <w:sz w:val="24"/>
    </w:rPr>
  </w:style>
  <w:style w:type="paragraph" w:customStyle="1" w:styleId="xl146">
    <w:name w:val="xl146"/>
    <w:basedOn w:val="Normal"/>
    <w:rsid w:val="002E2CC6"/>
    <w:pPr>
      <w:shd w:val="clear" w:color="000000" w:fill="95B3D7"/>
      <w:spacing w:before="100" w:beforeAutospacing="1" w:after="100" w:afterAutospacing="1"/>
      <w:jc w:val="center"/>
      <w:textAlignment w:val="center"/>
    </w:pPr>
    <w:rPr>
      <w:sz w:val="24"/>
    </w:rPr>
  </w:style>
  <w:style w:type="paragraph" w:customStyle="1" w:styleId="xl147">
    <w:name w:val="xl147"/>
    <w:basedOn w:val="Normal"/>
    <w:rsid w:val="002E2CC6"/>
    <w:pPr>
      <w:shd w:val="clear" w:color="000000" w:fill="95B3D7"/>
      <w:spacing w:before="100" w:beforeAutospacing="1" w:after="100" w:afterAutospacing="1"/>
      <w:jc w:val="left"/>
      <w:textAlignment w:val="center"/>
    </w:pPr>
    <w:rPr>
      <w:sz w:val="24"/>
    </w:rPr>
  </w:style>
  <w:style w:type="paragraph" w:customStyle="1" w:styleId="xl148">
    <w:name w:val="xl148"/>
    <w:basedOn w:val="Normal"/>
    <w:rsid w:val="002E2CC6"/>
    <w:pPr>
      <w:shd w:val="clear" w:color="000000" w:fill="95B3D7"/>
      <w:spacing w:before="100" w:beforeAutospacing="1" w:after="100" w:afterAutospacing="1"/>
      <w:jc w:val="left"/>
      <w:textAlignment w:val="center"/>
    </w:pPr>
    <w:rPr>
      <w:sz w:val="24"/>
    </w:rPr>
  </w:style>
  <w:style w:type="paragraph" w:customStyle="1" w:styleId="xl149">
    <w:name w:val="xl149"/>
    <w:basedOn w:val="Normal"/>
    <w:rsid w:val="002E2CC6"/>
    <w:pPr>
      <w:shd w:val="clear" w:color="000000" w:fill="95B3D7"/>
      <w:spacing w:before="100" w:beforeAutospacing="1" w:after="100" w:afterAutospacing="1"/>
      <w:jc w:val="center"/>
      <w:textAlignment w:val="center"/>
    </w:pPr>
    <w:rPr>
      <w:sz w:val="24"/>
    </w:rPr>
  </w:style>
  <w:style w:type="paragraph" w:customStyle="1" w:styleId="xl150">
    <w:name w:val="xl150"/>
    <w:basedOn w:val="Normal"/>
    <w:rsid w:val="002E2CC6"/>
    <w:pPr>
      <w:spacing w:before="100" w:beforeAutospacing="1" w:after="100" w:afterAutospacing="1"/>
      <w:jc w:val="center"/>
      <w:textAlignment w:val="center"/>
    </w:pPr>
    <w:rPr>
      <w:sz w:val="24"/>
    </w:rPr>
  </w:style>
  <w:style w:type="paragraph" w:customStyle="1" w:styleId="xl151">
    <w:name w:val="xl151"/>
    <w:basedOn w:val="Normal"/>
    <w:rsid w:val="002E2CC6"/>
    <w:pPr>
      <w:shd w:val="clear" w:color="000000" w:fill="95B3D7"/>
      <w:spacing w:before="100" w:beforeAutospacing="1" w:after="100" w:afterAutospacing="1"/>
      <w:jc w:val="center"/>
      <w:textAlignment w:val="center"/>
    </w:pPr>
    <w:rPr>
      <w:color w:val="808080"/>
      <w:sz w:val="24"/>
    </w:rPr>
  </w:style>
  <w:style w:type="paragraph" w:customStyle="1" w:styleId="xl152">
    <w:name w:val="xl152"/>
    <w:basedOn w:val="Normal"/>
    <w:rsid w:val="002E2CC6"/>
    <w:pPr>
      <w:shd w:val="clear" w:color="000000" w:fill="95B3D7"/>
      <w:spacing w:before="100" w:beforeAutospacing="1" w:after="100" w:afterAutospacing="1"/>
      <w:jc w:val="left"/>
      <w:textAlignment w:val="center"/>
    </w:pPr>
    <w:rPr>
      <w:color w:val="808080"/>
      <w:sz w:val="24"/>
    </w:rPr>
  </w:style>
  <w:style w:type="paragraph" w:customStyle="1" w:styleId="xl153">
    <w:name w:val="xl153"/>
    <w:basedOn w:val="Normal"/>
    <w:rsid w:val="002E2CC6"/>
    <w:pPr>
      <w:shd w:val="clear" w:color="000000" w:fill="95B3D7"/>
      <w:spacing w:before="100" w:beforeAutospacing="1" w:after="100" w:afterAutospacing="1"/>
      <w:jc w:val="left"/>
      <w:textAlignment w:val="center"/>
    </w:pPr>
    <w:rPr>
      <w:color w:val="808080"/>
      <w:sz w:val="24"/>
    </w:rPr>
  </w:style>
  <w:style w:type="paragraph" w:customStyle="1" w:styleId="xl154">
    <w:name w:val="xl154"/>
    <w:basedOn w:val="Normal"/>
    <w:rsid w:val="002E2CC6"/>
    <w:pPr>
      <w:spacing w:before="100" w:beforeAutospacing="1" w:after="100" w:afterAutospacing="1"/>
      <w:jc w:val="center"/>
      <w:textAlignment w:val="center"/>
    </w:pPr>
    <w:rPr>
      <w:sz w:val="24"/>
    </w:rPr>
  </w:style>
  <w:style w:type="paragraph" w:customStyle="1" w:styleId="xl155">
    <w:name w:val="xl155"/>
    <w:basedOn w:val="Normal"/>
    <w:rsid w:val="002E2CC6"/>
    <w:pPr>
      <w:spacing w:before="100" w:beforeAutospacing="1" w:after="100" w:afterAutospacing="1"/>
      <w:jc w:val="left"/>
      <w:textAlignment w:val="center"/>
    </w:pPr>
    <w:rPr>
      <w:color w:val="808080"/>
      <w:sz w:val="24"/>
    </w:rPr>
  </w:style>
  <w:style w:type="paragraph" w:customStyle="1" w:styleId="xl156">
    <w:name w:val="xl156"/>
    <w:basedOn w:val="Normal"/>
    <w:rsid w:val="002E2CC6"/>
    <w:pPr>
      <w:spacing w:before="100" w:beforeAutospacing="1" w:after="100" w:afterAutospacing="1"/>
      <w:jc w:val="left"/>
      <w:textAlignment w:val="center"/>
    </w:pPr>
    <w:rPr>
      <w:color w:val="808080"/>
      <w:sz w:val="24"/>
    </w:rPr>
  </w:style>
  <w:style w:type="paragraph" w:customStyle="1" w:styleId="xl157">
    <w:name w:val="xl157"/>
    <w:basedOn w:val="Normal"/>
    <w:rsid w:val="002E2CC6"/>
    <w:pPr>
      <w:shd w:val="clear" w:color="000000" w:fill="95B3D7"/>
      <w:spacing w:before="100" w:beforeAutospacing="1" w:after="100" w:afterAutospacing="1"/>
      <w:jc w:val="center"/>
      <w:textAlignment w:val="center"/>
    </w:pPr>
    <w:rPr>
      <w:sz w:val="24"/>
    </w:rPr>
  </w:style>
  <w:style w:type="paragraph" w:customStyle="1" w:styleId="xl158">
    <w:name w:val="xl158"/>
    <w:basedOn w:val="Normal"/>
    <w:rsid w:val="002E2CC6"/>
    <w:pPr>
      <w:shd w:val="clear" w:color="000000" w:fill="95B3D7"/>
      <w:spacing w:before="100" w:beforeAutospacing="1" w:after="100" w:afterAutospacing="1"/>
      <w:jc w:val="left"/>
      <w:textAlignment w:val="center"/>
    </w:pPr>
    <w:rPr>
      <w:sz w:val="24"/>
    </w:rPr>
  </w:style>
  <w:style w:type="paragraph" w:customStyle="1" w:styleId="xl159">
    <w:name w:val="xl159"/>
    <w:basedOn w:val="Normal"/>
    <w:rsid w:val="002E2CC6"/>
    <w:pPr>
      <w:shd w:val="clear" w:color="000000" w:fill="95B3D7"/>
      <w:spacing w:before="100" w:beforeAutospacing="1" w:after="100" w:afterAutospacing="1"/>
      <w:jc w:val="left"/>
    </w:pPr>
    <w:rPr>
      <w:sz w:val="24"/>
    </w:rPr>
  </w:style>
  <w:style w:type="paragraph" w:customStyle="1" w:styleId="xl160">
    <w:name w:val="xl160"/>
    <w:basedOn w:val="Normal"/>
    <w:rsid w:val="002E2CC6"/>
    <w:pPr>
      <w:shd w:val="clear" w:color="000000" w:fill="95B3D7"/>
      <w:spacing w:before="100" w:beforeAutospacing="1" w:after="100" w:afterAutospacing="1"/>
      <w:jc w:val="center"/>
      <w:textAlignment w:val="center"/>
    </w:pPr>
    <w:rPr>
      <w:sz w:val="24"/>
    </w:rPr>
  </w:style>
  <w:style w:type="paragraph" w:customStyle="1" w:styleId="xl161">
    <w:name w:val="xl161"/>
    <w:basedOn w:val="Normal"/>
    <w:rsid w:val="002E2CC6"/>
    <w:pPr>
      <w:shd w:val="clear" w:color="000000" w:fill="95B3D7"/>
      <w:spacing w:before="100" w:beforeAutospacing="1" w:after="100" w:afterAutospacing="1"/>
      <w:jc w:val="left"/>
      <w:textAlignment w:val="center"/>
    </w:pPr>
    <w:rPr>
      <w:sz w:val="24"/>
    </w:rPr>
  </w:style>
  <w:style w:type="paragraph" w:customStyle="1" w:styleId="xl162">
    <w:name w:val="xl162"/>
    <w:basedOn w:val="Normal"/>
    <w:rsid w:val="002E2CC6"/>
    <w:pPr>
      <w:shd w:val="clear" w:color="000000" w:fill="95B3D7"/>
      <w:spacing w:before="100" w:beforeAutospacing="1" w:after="100" w:afterAutospacing="1"/>
      <w:jc w:val="left"/>
      <w:textAlignment w:val="center"/>
    </w:pPr>
    <w:rPr>
      <w:color w:val="000000"/>
      <w:sz w:val="24"/>
    </w:rPr>
  </w:style>
  <w:style w:type="paragraph" w:customStyle="1" w:styleId="xl163">
    <w:name w:val="xl163"/>
    <w:basedOn w:val="Normal"/>
    <w:rsid w:val="002E2CC6"/>
    <w:pPr>
      <w:shd w:val="clear" w:color="000000" w:fill="95B3D7"/>
      <w:spacing w:before="100" w:beforeAutospacing="1" w:after="100" w:afterAutospacing="1"/>
      <w:jc w:val="center"/>
      <w:textAlignment w:val="center"/>
    </w:pPr>
    <w:rPr>
      <w:sz w:val="24"/>
    </w:rPr>
  </w:style>
  <w:style w:type="paragraph" w:customStyle="1" w:styleId="xl164">
    <w:name w:val="xl164"/>
    <w:basedOn w:val="Normal"/>
    <w:rsid w:val="002E2CC6"/>
    <w:pPr>
      <w:shd w:val="clear" w:color="000000" w:fill="95B3D7"/>
      <w:spacing w:before="100" w:beforeAutospacing="1" w:after="100" w:afterAutospacing="1"/>
      <w:jc w:val="left"/>
    </w:pPr>
    <w:rPr>
      <w:color w:val="808080"/>
      <w:sz w:val="24"/>
    </w:rPr>
  </w:style>
  <w:style w:type="paragraph" w:customStyle="1" w:styleId="xl165">
    <w:name w:val="xl165"/>
    <w:basedOn w:val="Normal"/>
    <w:rsid w:val="002E2CC6"/>
    <w:pPr>
      <w:shd w:val="clear" w:color="000000" w:fill="95B3D7"/>
      <w:spacing w:before="100" w:beforeAutospacing="1" w:after="100" w:afterAutospacing="1"/>
      <w:jc w:val="left"/>
      <w:textAlignment w:val="center"/>
    </w:pPr>
    <w:rPr>
      <w:color w:val="808080"/>
      <w:sz w:val="24"/>
    </w:rPr>
  </w:style>
  <w:style w:type="paragraph" w:customStyle="1" w:styleId="xl166">
    <w:name w:val="xl166"/>
    <w:basedOn w:val="Normal"/>
    <w:rsid w:val="002E2CC6"/>
    <w:pPr>
      <w:shd w:val="clear" w:color="000000" w:fill="95B3D7"/>
      <w:spacing w:before="100" w:beforeAutospacing="1" w:after="100" w:afterAutospacing="1"/>
      <w:jc w:val="left"/>
      <w:textAlignment w:val="center"/>
    </w:pPr>
    <w:rPr>
      <w:color w:val="808080"/>
      <w:sz w:val="24"/>
    </w:rPr>
  </w:style>
  <w:style w:type="paragraph" w:customStyle="1" w:styleId="xl167">
    <w:name w:val="xl167"/>
    <w:basedOn w:val="Normal"/>
    <w:rsid w:val="002E2CC6"/>
    <w:pPr>
      <w:shd w:val="clear" w:color="000000" w:fill="95B3D7"/>
      <w:spacing w:before="100" w:beforeAutospacing="1" w:after="100" w:afterAutospacing="1"/>
      <w:jc w:val="center"/>
      <w:textAlignment w:val="center"/>
    </w:pPr>
    <w:rPr>
      <w:color w:val="808080"/>
      <w:sz w:val="24"/>
    </w:rPr>
  </w:style>
  <w:style w:type="paragraph" w:customStyle="1" w:styleId="xl168">
    <w:name w:val="xl168"/>
    <w:basedOn w:val="Normal"/>
    <w:rsid w:val="002E2CC6"/>
    <w:pPr>
      <w:shd w:val="clear" w:color="000000" w:fill="95B3D7"/>
      <w:spacing w:before="100" w:beforeAutospacing="1" w:after="100" w:afterAutospacing="1"/>
      <w:jc w:val="center"/>
      <w:textAlignment w:val="center"/>
    </w:pPr>
    <w:rPr>
      <w:color w:val="808080"/>
      <w:sz w:val="24"/>
    </w:rPr>
  </w:style>
  <w:style w:type="paragraph" w:customStyle="1" w:styleId="xl169">
    <w:name w:val="xl169"/>
    <w:basedOn w:val="Normal"/>
    <w:rsid w:val="002E2CC6"/>
    <w:pPr>
      <w:shd w:val="clear" w:color="000000" w:fill="95B3D7"/>
      <w:spacing w:before="100" w:beforeAutospacing="1" w:after="100" w:afterAutospacing="1"/>
      <w:jc w:val="left"/>
    </w:pPr>
    <w:rPr>
      <w:sz w:val="24"/>
    </w:rPr>
  </w:style>
  <w:style w:type="paragraph" w:customStyle="1" w:styleId="xl170">
    <w:name w:val="xl170"/>
    <w:basedOn w:val="Normal"/>
    <w:rsid w:val="002E2CC6"/>
    <w:pPr>
      <w:shd w:val="clear" w:color="000000" w:fill="95B3D7"/>
      <w:spacing w:before="100" w:beforeAutospacing="1" w:after="100" w:afterAutospacing="1"/>
      <w:jc w:val="left"/>
      <w:textAlignment w:val="center"/>
    </w:pPr>
    <w:rPr>
      <w:sz w:val="24"/>
    </w:rPr>
  </w:style>
  <w:style w:type="paragraph" w:customStyle="1" w:styleId="xl171">
    <w:name w:val="xl171"/>
    <w:basedOn w:val="Normal"/>
    <w:rsid w:val="002E2CC6"/>
    <w:pPr>
      <w:spacing w:before="100" w:beforeAutospacing="1" w:after="100" w:afterAutospacing="1"/>
      <w:jc w:val="left"/>
      <w:textAlignment w:val="center"/>
    </w:pPr>
    <w:rPr>
      <w:sz w:val="24"/>
    </w:rPr>
  </w:style>
  <w:style w:type="paragraph" w:customStyle="1" w:styleId="xl172">
    <w:name w:val="xl172"/>
    <w:basedOn w:val="Normal"/>
    <w:rsid w:val="002E2CC6"/>
    <w:pPr>
      <w:shd w:val="clear" w:color="000000" w:fill="95B3D7"/>
      <w:spacing w:before="100" w:beforeAutospacing="1" w:after="100" w:afterAutospacing="1"/>
      <w:jc w:val="left"/>
      <w:textAlignment w:val="center"/>
    </w:pPr>
    <w:rPr>
      <w:sz w:val="24"/>
    </w:rPr>
  </w:style>
  <w:style w:type="paragraph" w:customStyle="1" w:styleId="xl173">
    <w:name w:val="xl173"/>
    <w:basedOn w:val="Normal"/>
    <w:rsid w:val="002E2CC6"/>
    <w:pPr>
      <w:shd w:val="clear" w:color="000000" w:fill="95B3D7"/>
      <w:spacing w:before="100" w:beforeAutospacing="1" w:after="100" w:afterAutospacing="1"/>
      <w:jc w:val="left"/>
      <w:textAlignment w:val="center"/>
    </w:pPr>
    <w:rPr>
      <w:sz w:val="24"/>
    </w:rPr>
  </w:style>
  <w:style w:type="paragraph" w:customStyle="1" w:styleId="xl174">
    <w:name w:val="xl174"/>
    <w:basedOn w:val="Normal"/>
    <w:rsid w:val="002E2CC6"/>
    <w:pPr>
      <w:spacing w:before="100" w:beforeAutospacing="1" w:after="100" w:afterAutospacing="1"/>
      <w:jc w:val="center"/>
      <w:textAlignment w:val="center"/>
    </w:pPr>
    <w:rPr>
      <w:color w:val="808080"/>
      <w:sz w:val="24"/>
    </w:rPr>
  </w:style>
  <w:style w:type="paragraph" w:customStyle="1" w:styleId="xl175">
    <w:name w:val="xl175"/>
    <w:basedOn w:val="Normal"/>
    <w:rsid w:val="002E2CC6"/>
    <w:pPr>
      <w:spacing w:before="100" w:beforeAutospacing="1" w:after="100" w:afterAutospacing="1"/>
      <w:jc w:val="left"/>
      <w:textAlignment w:val="center"/>
    </w:pPr>
    <w:rPr>
      <w:color w:val="808080"/>
      <w:sz w:val="24"/>
    </w:rPr>
  </w:style>
  <w:style w:type="paragraph" w:customStyle="1" w:styleId="xl176">
    <w:name w:val="xl176"/>
    <w:basedOn w:val="Normal"/>
    <w:rsid w:val="002E2CC6"/>
    <w:pPr>
      <w:shd w:val="clear" w:color="000000" w:fill="95B3D7"/>
      <w:spacing w:before="100" w:beforeAutospacing="1" w:after="100" w:afterAutospacing="1"/>
      <w:jc w:val="center"/>
      <w:textAlignment w:val="center"/>
    </w:pPr>
    <w:rPr>
      <w:sz w:val="24"/>
    </w:rPr>
  </w:style>
  <w:style w:type="paragraph" w:customStyle="1" w:styleId="xl177">
    <w:name w:val="xl177"/>
    <w:basedOn w:val="Normal"/>
    <w:rsid w:val="002E2CC6"/>
    <w:pPr>
      <w:shd w:val="clear" w:color="000000" w:fill="95B3D7"/>
      <w:spacing w:before="100" w:beforeAutospacing="1" w:after="100" w:afterAutospacing="1"/>
      <w:jc w:val="left"/>
      <w:textAlignment w:val="center"/>
    </w:pPr>
    <w:rPr>
      <w:sz w:val="24"/>
    </w:rPr>
  </w:style>
  <w:style w:type="paragraph" w:customStyle="1" w:styleId="xl178">
    <w:name w:val="xl178"/>
    <w:basedOn w:val="Normal"/>
    <w:rsid w:val="002E2CC6"/>
    <w:pPr>
      <w:shd w:val="clear" w:color="000000" w:fill="95B3D7"/>
      <w:spacing w:before="100" w:beforeAutospacing="1" w:after="100" w:afterAutospacing="1"/>
      <w:jc w:val="left"/>
    </w:pPr>
    <w:rPr>
      <w:sz w:val="24"/>
    </w:rPr>
  </w:style>
  <w:style w:type="paragraph" w:customStyle="1" w:styleId="xl179">
    <w:name w:val="xl179"/>
    <w:basedOn w:val="Normal"/>
    <w:rsid w:val="002E2CC6"/>
    <w:pPr>
      <w:spacing w:before="100" w:beforeAutospacing="1" w:after="100" w:afterAutospacing="1"/>
      <w:jc w:val="left"/>
    </w:pPr>
    <w:rPr>
      <w:color w:val="808080"/>
      <w:sz w:val="24"/>
    </w:rPr>
  </w:style>
  <w:style w:type="paragraph" w:customStyle="1" w:styleId="xl180">
    <w:name w:val="xl180"/>
    <w:basedOn w:val="Normal"/>
    <w:rsid w:val="002E2CC6"/>
    <w:pPr>
      <w:shd w:val="clear" w:color="000000" w:fill="F79646"/>
      <w:spacing w:before="100" w:beforeAutospacing="1" w:after="100" w:afterAutospacing="1"/>
      <w:jc w:val="left"/>
    </w:pPr>
    <w:rPr>
      <w:b/>
      <w:bCs/>
      <w:i/>
      <w:iCs/>
      <w:sz w:val="24"/>
    </w:rPr>
  </w:style>
  <w:style w:type="paragraph" w:customStyle="1" w:styleId="xl181">
    <w:name w:val="xl181"/>
    <w:basedOn w:val="Normal"/>
    <w:rsid w:val="002E2CC6"/>
    <w:pPr>
      <w:shd w:val="clear" w:color="000000" w:fill="F79646"/>
      <w:spacing w:before="100" w:beforeAutospacing="1" w:after="100" w:afterAutospacing="1"/>
      <w:jc w:val="left"/>
    </w:pPr>
    <w:rPr>
      <w:b/>
      <w:bCs/>
      <w:sz w:val="24"/>
    </w:rPr>
  </w:style>
  <w:style w:type="paragraph" w:customStyle="1" w:styleId="xl182">
    <w:name w:val="xl182"/>
    <w:basedOn w:val="Normal"/>
    <w:rsid w:val="002E2CC6"/>
    <w:pPr>
      <w:spacing w:before="100" w:beforeAutospacing="1" w:after="100" w:afterAutospacing="1"/>
      <w:jc w:val="left"/>
    </w:pPr>
    <w:rPr>
      <w:sz w:val="24"/>
    </w:rPr>
  </w:style>
  <w:style w:type="paragraph" w:customStyle="1" w:styleId="xl183">
    <w:name w:val="xl183"/>
    <w:basedOn w:val="Normal"/>
    <w:rsid w:val="002E2CC6"/>
    <w:pPr>
      <w:spacing w:before="100" w:beforeAutospacing="1" w:after="100" w:afterAutospacing="1"/>
      <w:jc w:val="left"/>
      <w:textAlignment w:val="center"/>
    </w:pPr>
    <w:rPr>
      <w:b/>
      <w:bCs/>
      <w:i/>
      <w:iCs/>
      <w:sz w:val="24"/>
    </w:rPr>
  </w:style>
  <w:style w:type="paragraph" w:customStyle="1" w:styleId="xl184">
    <w:name w:val="xl184"/>
    <w:basedOn w:val="Normal"/>
    <w:rsid w:val="002E2CC6"/>
    <w:pPr>
      <w:shd w:val="clear" w:color="000000" w:fill="F79646"/>
      <w:spacing w:before="100" w:beforeAutospacing="1" w:after="100" w:afterAutospacing="1"/>
      <w:jc w:val="center"/>
    </w:pPr>
    <w:rPr>
      <w:b/>
      <w:bCs/>
      <w:sz w:val="24"/>
    </w:rPr>
  </w:style>
  <w:style w:type="paragraph" w:customStyle="1" w:styleId="xl185">
    <w:name w:val="xl185"/>
    <w:basedOn w:val="Normal"/>
    <w:rsid w:val="002E2CC6"/>
    <w:pPr>
      <w:shd w:val="clear" w:color="000000" w:fill="F79646"/>
      <w:spacing w:before="100" w:beforeAutospacing="1" w:after="100" w:afterAutospacing="1"/>
      <w:jc w:val="center"/>
    </w:pPr>
    <w:rPr>
      <w:b/>
      <w:bCs/>
      <w:i/>
      <w:iCs/>
      <w:sz w:val="24"/>
    </w:rPr>
  </w:style>
  <w:style w:type="paragraph" w:customStyle="1" w:styleId="xl186">
    <w:name w:val="xl186"/>
    <w:basedOn w:val="Normal"/>
    <w:rsid w:val="002E2CC6"/>
    <w:pPr>
      <w:shd w:val="clear" w:color="000000" w:fill="0070C0"/>
      <w:spacing w:before="100" w:beforeAutospacing="1" w:after="100" w:afterAutospacing="1"/>
      <w:jc w:val="center"/>
    </w:pPr>
    <w:rPr>
      <w:b/>
      <w:bCs/>
      <w:color w:val="FFFFFF"/>
      <w:sz w:val="24"/>
    </w:rPr>
  </w:style>
  <w:style w:type="paragraph" w:customStyle="1" w:styleId="xl187">
    <w:name w:val="xl187"/>
    <w:basedOn w:val="Normal"/>
    <w:rsid w:val="002E2CC6"/>
    <w:pPr>
      <w:spacing w:before="100" w:beforeAutospacing="1" w:after="100" w:afterAutospacing="1"/>
      <w:jc w:val="center"/>
    </w:pPr>
    <w:rPr>
      <w:b/>
      <w:bCs/>
      <w:i/>
      <w:iCs/>
      <w:sz w:val="24"/>
    </w:rPr>
  </w:style>
  <w:style w:type="paragraph" w:customStyle="1" w:styleId="xl188">
    <w:name w:val="xl188"/>
    <w:basedOn w:val="Normal"/>
    <w:rsid w:val="002E2CC6"/>
    <w:pPr>
      <w:spacing w:before="100" w:beforeAutospacing="1" w:after="100" w:afterAutospacing="1"/>
      <w:jc w:val="center"/>
    </w:pPr>
    <w:rPr>
      <w:sz w:val="24"/>
    </w:rPr>
  </w:style>
  <w:style w:type="paragraph" w:customStyle="1" w:styleId="xl189">
    <w:name w:val="xl189"/>
    <w:basedOn w:val="Normal"/>
    <w:rsid w:val="002E2CC6"/>
    <w:pPr>
      <w:shd w:val="clear" w:color="000000" w:fill="95B3D7"/>
      <w:spacing w:before="100" w:beforeAutospacing="1" w:after="100" w:afterAutospacing="1"/>
      <w:jc w:val="center"/>
      <w:textAlignment w:val="center"/>
    </w:pPr>
    <w:rPr>
      <w:sz w:val="24"/>
    </w:rPr>
  </w:style>
  <w:style w:type="paragraph" w:customStyle="1" w:styleId="xl190">
    <w:name w:val="xl190"/>
    <w:basedOn w:val="Normal"/>
    <w:rsid w:val="002E2CC6"/>
    <w:pPr>
      <w:spacing w:before="100" w:beforeAutospacing="1" w:after="100" w:afterAutospacing="1"/>
      <w:jc w:val="center"/>
      <w:textAlignment w:val="center"/>
    </w:pPr>
    <w:rPr>
      <w:color w:val="808080"/>
      <w:sz w:val="24"/>
    </w:rPr>
  </w:style>
  <w:style w:type="paragraph" w:customStyle="1" w:styleId="xl191">
    <w:name w:val="xl191"/>
    <w:basedOn w:val="Normal"/>
    <w:rsid w:val="002E2CC6"/>
    <w:pPr>
      <w:spacing w:before="100" w:beforeAutospacing="1" w:after="100" w:afterAutospacing="1"/>
      <w:jc w:val="left"/>
      <w:textAlignment w:val="center"/>
    </w:pPr>
    <w:rPr>
      <w:b/>
      <w:bCs/>
      <w:color w:val="808080"/>
      <w:sz w:val="24"/>
    </w:rPr>
  </w:style>
  <w:style w:type="paragraph" w:customStyle="1" w:styleId="xl192">
    <w:name w:val="xl192"/>
    <w:basedOn w:val="Normal"/>
    <w:rsid w:val="002E2CC6"/>
    <w:pPr>
      <w:spacing w:before="100" w:beforeAutospacing="1" w:after="100" w:afterAutospacing="1"/>
      <w:jc w:val="left"/>
    </w:pPr>
    <w:rPr>
      <w:sz w:val="24"/>
    </w:rPr>
  </w:style>
  <w:style w:type="paragraph" w:customStyle="1" w:styleId="xl193">
    <w:name w:val="xl193"/>
    <w:basedOn w:val="Normal"/>
    <w:rsid w:val="002E2CC6"/>
    <w:pPr>
      <w:shd w:val="clear" w:color="000000" w:fill="B8CCE4"/>
      <w:spacing w:before="100" w:beforeAutospacing="1" w:after="100" w:afterAutospacing="1"/>
      <w:jc w:val="center"/>
      <w:textAlignment w:val="center"/>
    </w:pPr>
    <w:rPr>
      <w:sz w:val="24"/>
    </w:rPr>
  </w:style>
  <w:style w:type="paragraph" w:customStyle="1" w:styleId="xl194">
    <w:name w:val="xl194"/>
    <w:basedOn w:val="Normal"/>
    <w:rsid w:val="002E2CC6"/>
    <w:pPr>
      <w:shd w:val="clear" w:color="000000" w:fill="B8CCE4"/>
      <w:spacing w:before="100" w:beforeAutospacing="1" w:after="100" w:afterAutospacing="1"/>
      <w:jc w:val="left"/>
      <w:textAlignment w:val="center"/>
    </w:pPr>
    <w:rPr>
      <w:sz w:val="24"/>
    </w:rPr>
  </w:style>
  <w:style w:type="paragraph" w:customStyle="1" w:styleId="xl195">
    <w:name w:val="xl195"/>
    <w:basedOn w:val="Normal"/>
    <w:rsid w:val="002E2CC6"/>
    <w:pPr>
      <w:shd w:val="clear" w:color="000000" w:fill="B8CCE4"/>
      <w:spacing w:before="100" w:beforeAutospacing="1" w:after="100" w:afterAutospacing="1"/>
      <w:jc w:val="center"/>
      <w:textAlignment w:val="center"/>
    </w:pPr>
    <w:rPr>
      <w:sz w:val="24"/>
    </w:rPr>
  </w:style>
  <w:style w:type="paragraph" w:customStyle="1" w:styleId="xl196">
    <w:name w:val="xl196"/>
    <w:basedOn w:val="Normal"/>
    <w:rsid w:val="002E2CC6"/>
    <w:pPr>
      <w:shd w:val="clear" w:color="000000" w:fill="B8CCE4"/>
      <w:spacing w:before="100" w:beforeAutospacing="1" w:after="100" w:afterAutospacing="1"/>
      <w:jc w:val="left"/>
      <w:textAlignment w:val="center"/>
    </w:pPr>
    <w:rPr>
      <w:sz w:val="24"/>
    </w:rPr>
  </w:style>
  <w:style w:type="paragraph" w:customStyle="1" w:styleId="xl197">
    <w:name w:val="xl197"/>
    <w:basedOn w:val="Normal"/>
    <w:rsid w:val="002E2CC6"/>
    <w:pPr>
      <w:shd w:val="clear" w:color="000000" w:fill="B8CCE4"/>
      <w:spacing w:before="100" w:beforeAutospacing="1" w:after="100" w:afterAutospacing="1"/>
      <w:jc w:val="left"/>
    </w:pPr>
    <w:rPr>
      <w:sz w:val="24"/>
    </w:rPr>
  </w:style>
  <w:style w:type="paragraph" w:customStyle="1" w:styleId="xl198">
    <w:name w:val="xl198"/>
    <w:basedOn w:val="Normal"/>
    <w:rsid w:val="002E2CC6"/>
    <w:pPr>
      <w:spacing w:before="100" w:beforeAutospacing="1" w:after="100" w:afterAutospacing="1"/>
      <w:jc w:val="left"/>
      <w:textAlignment w:val="center"/>
    </w:pPr>
    <w:rPr>
      <w:i/>
      <w:iCs/>
      <w:color w:val="808080"/>
      <w:sz w:val="24"/>
    </w:rPr>
  </w:style>
  <w:style w:type="paragraph" w:customStyle="1" w:styleId="xl199">
    <w:name w:val="xl199"/>
    <w:basedOn w:val="Normal"/>
    <w:rsid w:val="002E2CC6"/>
    <w:pPr>
      <w:spacing w:before="100" w:beforeAutospacing="1" w:after="100" w:afterAutospacing="1"/>
      <w:jc w:val="center"/>
      <w:textAlignment w:val="center"/>
    </w:pPr>
    <w:rPr>
      <w:b/>
      <w:bCs/>
      <w:sz w:val="24"/>
    </w:rPr>
  </w:style>
  <w:style w:type="paragraph" w:customStyle="1" w:styleId="xl200">
    <w:name w:val="xl200"/>
    <w:basedOn w:val="Normal"/>
    <w:rsid w:val="002E2CC6"/>
    <w:pPr>
      <w:spacing w:before="100" w:beforeAutospacing="1" w:after="100" w:afterAutospacing="1"/>
      <w:jc w:val="center"/>
      <w:textAlignment w:val="center"/>
    </w:pPr>
    <w:rPr>
      <w:sz w:val="24"/>
    </w:rPr>
  </w:style>
  <w:style w:type="paragraph" w:customStyle="1" w:styleId="xl201">
    <w:name w:val="xl201"/>
    <w:basedOn w:val="Normal"/>
    <w:rsid w:val="002E2CC6"/>
    <w:pPr>
      <w:spacing w:before="100" w:beforeAutospacing="1" w:after="100" w:afterAutospacing="1"/>
      <w:jc w:val="center"/>
      <w:textAlignment w:val="center"/>
    </w:pPr>
    <w:rPr>
      <w:i/>
      <w:iCs/>
      <w:color w:val="808080"/>
      <w:sz w:val="24"/>
    </w:rPr>
  </w:style>
  <w:style w:type="paragraph" w:customStyle="1" w:styleId="xl202">
    <w:name w:val="xl202"/>
    <w:basedOn w:val="Normal"/>
    <w:rsid w:val="002E2CC6"/>
    <w:pPr>
      <w:spacing w:before="100" w:beforeAutospacing="1" w:after="100" w:afterAutospacing="1"/>
      <w:jc w:val="left"/>
    </w:pPr>
    <w:rPr>
      <w:b/>
      <w:bCs/>
      <w:i/>
      <w:iCs/>
      <w:sz w:val="24"/>
    </w:rPr>
  </w:style>
  <w:style w:type="paragraph" w:customStyle="1" w:styleId="xl203">
    <w:name w:val="xl203"/>
    <w:basedOn w:val="Normal"/>
    <w:rsid w:val="002E2CC6"/>
    <w:pPr>
      <w:spacing w:before="100" w:beforeAutospacing="1" w:after="100" w:afterAutospacing="1"/>
      <w:jc w:val="left"/>
    </w:pPr>
    <w:rPr>
      <w:b/>
      <w:bCs/>
      <w:i/>
      <w:iCs/>
      <w:sz w:val="24"/>
    </w:rPr>
  </w:style>
  <w:style w:type="paragraph" w:styleId="Title">
    <w:name w:val="Title"/>
    <w:basedOn w:val="Normal"/>
    <w:next w:val="Normal"/>
    <w:link w:val="TitleChar"/>
    <w:uiPriority w:val="10"/>
    <w:qFormat/>
    <w:locked/>
    <w:rsid w:val="00A41692"/>
    <w:pPr>
      <w:shd w:val="clear" w:color="auto" w:fill="94B6D2" w:themeFill="accent1"/>
      <w:spacing w:after="200" w:line="276" w:lineRule="auto"/>
      <w:jc w:val="left"/>
    </w:pPr>
    <w:rPr>
      <w:rFonts w:eastAsiaTheme="minorHAnsi"/>
      <w:b/>
      <w:color w:val="FFFFFF" w:themeColor="background1"/>
      <w:sz w:val="24"/>
      <w:szCs w:val="22"/>
    </w:rPr>
  </w:style>
  <w:style w:type="character" w:customStyle="1" w:styleId="TitleChar">
    <w:name w:val="Title Char"/>
    <w:basedOn w:val="DefaultParagraphFont"/>
    <w:link w:val="Title"/>
    <w:uiPriority w:val="10"/>
    <w:rsid w:val="00A41692"/>
    <w:rPr>
      <w:b/>
      <w:color w:val="FFFFFF" w:themeColor="background1"/>
      <w:sz w:val="24"/>
      <w:shd w:val="clear" w:color="auto" w:fill="94B6D2" w:themeFill="accent1"/>
      <w:lang w:val="fr-FR"/>
    </w:rPr>
  </w:style>
  <w:style w:type="table" w:styleId="LightShading-Accent1">
    <w:name w:val="Light Shading Accent 1"/>
    <w:basedOn w:val="TableNormal"/>
    <w:uiPriority w:val="60"/>
    <w:rsid w:val="00A41692"/>
    <w:pPr>
      <w:spacing w:after="0" w:line="240" w:lineRule="auto"/>
    </w:pPr>
    <w:rPr>
      <w:color w:val="548AB7" w:themeColor="accent1" w:themeShade="BF"/>
      <w:lang w:val="fr-FR"/>
    </w:rPr>
    <w:tblPr>
      <w:tblStyleRowBandSize w:val="1"/>
      <w:tblStyleColBandSize w:val="1"/>
      <w:tblInd w:w="0" w:type="dxa"/>
      <w:tblBorders>
        <w:top w:val="single" w:sz="8" w:space="0" w:color="94B6D2" w:themeColor="accent1"/>
        <w:bottom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character" w:customStyle="1" w:styleId="apple-converted-space">
    <w:name w:val="apple-converted-space"/>
    <w:basedOn w:val="DefaultParagraphFont"/>
    <w:rsid w:val="008F0D21"/>
  </w:style>
  <w:style w:type="table" w:customStyle="1" w:styleId="TableauGrille4-Accentuation11">
    <w:name w:val="Tableau Grille 4 - Accentuation 11"/>
    <w:basedOn w:val="TableNormal"/>
    <w:uiPriority w:val="49"/>
    <w:rsid w:val="00CC639A"/>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character" w:styleId="Strong">
    <w:name w:val="Strong"/>
    <w:basedOn w:val="DefaultParagraphFont"/>
    <w:uiPriority w:val="22"/>
    <w:qFormat/>
    <w:rsid w:val="002616FF"/>
    <w:rPr>
      <w:b/>
      <w:bCs/>
    </w:rPr>
  </w:style>
  <w:style w:type="character" w:customStyle="1" w:styleId="lang-en">
    <w:name w:val="lang-en"/>
    <w:basedOn w:val="DefaultParagraphFont"/>
    <w:rsid w:val="001A2044"/>
  </w:style>
  <w:style w:type="paragraph" w:styleId="Revision">
    <w:name w:val="Revision"/>
    <w:hidden/>
    <w:uiPriority w:val="99"/>
    <w:semiHidden/>
    <w:rsid w:val="00B95B2D"/>
    <w:pPr>
      <w:spacing w:after="0" w:line="240" w:lineRule="auto"/>
    </w:pPr>
    <w:rPr>
      <w:rFonts w:ascii="Tw Cen MT" w:eastAsiaTheme="minorEastAsia" w:hAnsi="Tw Cen MT"/>
      <w:szCs w:val="23"/>
      <w:lang w:val="fr-FR"/>
    </w:rPr>
  </w:style>
  <w:style w:type="table" w:customStyle="1" w:styleId="TableauGrille4-Accentuation12">
    <w:name w:val="Tableau Grille 4 - Accentuation 12"/>
    <w:basedOn w:val="TableNormal"/>
    <w:uiPriority w:val="49"/>
    <w:rsid w:val="001779D3"/>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styleId="PlainText">
    <w:name w:val="Plain Text"/>
    <w:basedOn w:val="Normal"/>
    <w:link w:val="PlainTextChar"/>
    <w:uiPriority w:val="99"/>
    <w:unhideWhenUsed/>
    <w:rsid w:val="009F05AB"/>
    <w:pPr>
      <w:spacing w:after="0"/>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9F05AB"/>
    <w:rPr>
      <w:rFonts w:ascii="Consolas" w:eastAsia="Calibri" w:hAnsi="Consolas" w:cs="Times New Roman"/>
      <w:sz w:val="21"/>
      <w:szCs w:val="21"/>
      <w:lang w:val="fr-FR"/>
    </w:rPr>
  </w:style>
  <w:style w:type="character" w:customStyle="1" w:styleId="tagtrans">
    <w:name w:val="tag_trans"/>
    <w:basedOn w:val="DefaultParagraphFont"/>
    <w:rsid w:val="002F0DF4"/>
  </w:style>
  <w:style w:type="table" w:customStyle="1" w:styleId="TableauGrille5Fonc-Accentuation11">
    <w:name w:val="Tableau Grille 5 Foncé - Accentuation 11"/>
    <w:basedOn w:val="TableNormal"/>
    <w:uiPriority w:val="50"/>
    <w:rsid w:val="004A015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TableauListe4-Accentuation11">
    <w:name w:val="Tableau Liste 4 - Accentuation 11"/>
    <w:basedOn w:val="TableNormal"/>
    <w:uiPriority w:val="49"/>
    <w:rsid w:val="004A0153"/>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numbering" w:customStyle="1" w:styleId="NoList1">
    <w:name w:val="No List1"/>
    <w:next w:val="NoList"/>
    <w:uiPriority w:val="99"/>
    <w:semiHidden/>
    <w:unhideWhenUsed/>
    <w:rsid w:val="005C066A"/>
  </w:style>
  <w:style w:type="table" w:customStyle="1" w:styleId="TableGrid1">
    <w:name w:val="Table Grid1"/>
    <w:basedOn w:val="TableNormal"/>
    <w:next w:val="TableGrid"/>
    <w:uiPriority w:val="59"/>
    <w:rsid w:val="005C06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Grid3-Accent41">
    <w:name w:val="Medium Grid 3 - Accent 41"/>
    <w:basedOn w:val="TableNormal"/>
    <w:next w:val="MediumGrid3-Accent4"/>
    <w:uiPriority w:val="44"/>
    <w:rsid w:val="005C06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customStyle="1" w:styleId="ColorfulShading-Accent11">
    <w:name w:val="Colorful Shading - Accent 11"/>
    <w:basedOn w:val="TableNormal"/>
    <w:next w:val="ColorfulShading-Accent1"/>
    <w:uiPriority w:val="41"/>
    <w:rsid w:val="005C066A"/>
    <w:pPr>
      <w:spacing w:after="0" w:line="240" w:lineRule="auto"/>
    </w:pPr>
    <w:rPr>
      <w:color w:val="000000" w:themeColor="text1"/>
    </w:rPr>
    <w:tblPr>
      <w:tblStyleRowBandSize w:val="1"/>
      <w:tblStyleColBandSize w:val="1"/>
      <w:tblInd w:w="0" w:type="dxa"/>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customStyle="1" w:styleId="DarkList-Accent11">
    <w:name w:val="Dark List - Accent 11"/>
    <w:basedOn w:val="TableNormal"/>
    <w:next w:val="DarkList-Accent1"/>
    <w:uiPriority w:val="41"/>
    <w:rsid w:val="005C06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customStyle="1" w:styleId="Grillemoyenne211">
    <w:name w:val="Grille moyenne 211"/>
    <w:basedOn w:val="TableNormal"/>
    <w:uiPriority w:val="40"/>
    <w:rsid w:val="005C06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rilleclaire11">
    <w:name w:val="Grille claire11"/>
    <w:basedOn w:val="TableNormal"/>
    <w:uiPriority w:val="40"/>
    <w:rsid w:val="005C066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ouleur11">
    <w:name w:val="Grille couleur11"/>
    <w:basedOn w:val="TableNormal"/>
    <w:uiPriority w:val="40"/>
    <w:rsid w:val="005C06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Shading2-Accent61">
    <w:name w:val="Medium Shading 2 - Accent 61"/>
    <w:basedOn w:val="TableNormal"/>
    <w:next w:val="MediumShading2-Accent6"/>
    <w:uiPriority w:val="46"/>
    <w:rsid w:val="005C06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DarkList-Accent31">
    <w:name w:val="Dark List - Accent 31"/>
    <w:basedOn w:val="TableNormal"/>
    <w:next w:val="DarkList-Accent3"/>
    <w:uiPriority w:val="43"/>
    <w:rsid w:val="005C06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customStyle="1" w:styleId="Listeclaire-Accent111">
    <w:name w:val="Liste claire - Accent 111"/>
    <w:basedOn w:val="TableNormal"/>
    <w:uiPriority w:val="41"/>
    <w:rsid w:val="005C066A"/>
    <w:pPr>
      <w:spacing w:after="0" w:line="240" w:lineRule="auto"/>
    </w:pPr>
    <w:tblPr>
      <w:tblStyleRowBandSize w:val="1"/>
      <w:tblStyleColBandSize w:val="1"/>
      <w:tblInd w:w="0" w:type="dxa"/>
      <w:tblBorders>
        <w:top w:val="single" w:sz="8" w:space="0" w:color="94B6D2" w:themeColor="accent1"/>
        <w:left w:val="single" w:sz="8" w:space="0" w:color="94B6D2" w:themeColor="accent1"/>
        <w:bottom w:val="single" w:sz="8" w:space="0" w:color="94B6D2" w:themeColor="accent1"/>
        <w:right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customStyle="1" w:styleId="ColorfulGrid-Accent11">
    <w:name w:val="Colorful Grid - Accent 11"/>
    <w:basedOn w:val="TableNormal"/>
    <w:next w:val="ColorfulGrid-Accent1"/>
    <w:uiPriority w:val="41"/>
    <w:rsid w:val="005C06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customStyle="1" w:styleId="ColorfulGrid-Accent21">
    <w:name w:val="Colorful Grid - Accent 21"/>
    <w:basedOn w:val="TableNormal"/>
    <w:next w:val="ColorfulGrid-Accent2"/>
    <w:uiPriority w:val="42"/>
    <w:rsid w:val="005C06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customStyle="1" w:styleId="LightList-Accent31">
    <w:name w:val="Light List - Accent 31"/>
    <w:basedOn w:val="TableNormal"/>
    <w:next w:val="LightList-Accent3"/>
    <w:uiPriority w:val="61"/>
    <w:rsid w:val="005C066A"/>
    <w:pPr>
      <w:spacing w:after="0" w:line="240" w:lineRule="auto"/>
    </w:pPr>
    <w:rPr>
      <w:lang w:val="fr-FR"/>
    </w:rPr>
    <w:tblPr>
      <w:tblStyleRowBandSize w:val="1"/>
      <w:tblStyleColBandSize w:val="1"/>
      <w:tblInd w:w="0" w:type="dxa"/>
      <w:tblBorders>
        <w:top w:val="single" w:sz="8" w:space="0" w:color="A5AB81" w:themeColor="accent3"/>
        <w:left w:val="single" w:sz="8" w:space="0" w:color="A5AB81" w:themeColor="accent3"/>
        <w:bottom w:val="single" w:sz="8" w:space="0" w:color="A5AB81" w:themeColor="accent3"/>
        <w:right w:val="single" w:sz="8" w:space="0" w:color="A5AB8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customStyle="1" w:styleId="LightShading-Accent11">
    <w:name w:val="Light Shading - Accent 11"/>
    <w:basedOn w:val="TableNormal"/>
    <w:next w:val="LightShading-Accent1"/>
    <w:uiPriority w:val="60"/>
    <w:rsid w:val="005C066A"/>
    <w:pPr>
      <w:spacing w:after="0" w:line="240" w:lineRule="auto"/>
    </w:pPr>
    <w:rPr>
      <w:color w:val="548AB7" w:themeColor="accent1" w:themeShade="BF"/>
      <w:lang w:val="fr-FR"/>
    </w:rPr>
    <w:tblPr>
      <w:tblStyleRowBandSize w:val="1"/>
      <w:tblStyleColBandSize w:val="1"/>
      <w:tblInd w:w="0" w:type="dxa"/>
      <w:tblBorders>
        <w:top w:val="single" w:sz="8" w:space="0" w:color="94B6D2" w:themeColor="accent1"/>
        <w:bottom w:val="single" w:sz="8" w:space="0" w:color="94B6D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customStyle="1" w:styleId="TableauGrille4-Accentuation111">
    <w:name w:val="Tableau Grille 4 - Accentuation 111"/>
    <w:basedOn w:val="TableNormal"/>
    <w:uiPriority w:val="49"/>
    <w:rsid w:val="005C066A"/>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11">
    <w:name w:val="Grid Table 4 - Accent 11"/>
    <w:basedOn w:val="TableNormal"/>
    <w:uiPriority w:val="49"/>
    <w:rsid w:val="005C066A"/>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styleId="HTMLPreformatted">
    <w:name w:val="HTML Preformatted"/>
    <w:basedOn w:val="Normal"/>
    <w:link w:val="HTMLPreformattedChar"/>
    <w:uiPriority w:val="99"/>
    <w:unhideWhenUsed/>
    <w:rsid w:val="001F1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1F102E"/>
    <w:rPr>
      <w:rFonts w:ascii="Courier New" w:eastAsia="Times New Roman" w:hAnsi="Courier New" w:cs="Courier New"/>
      <w:sz w:val="20"/>
      <w:szCs w:val="20"/>
      <w:lang w:val="en-GB" w:eastAsia="en-GB"/>
    </w:rPr>
  </w:style>
  <w:style w:type="character" w:customStyle="1" w:styleId="citation">
    <w:name w:val="citation"/>
    <w:basedOn w:val="DefaultParagraphFont"/>
    <w:rsid w:val="00A005AE"/>
  </w:style>
  <w:style w:type="character" w:customStyle="1" w:styleId="ListParagraphChar1">
    <w:name w:val="List Paragraph Char1"/>
    <w:aliases w:val="References Char1,Liste couleur - Accent 11 Char,Paragraphe de liste2 Char,Liste couleur - Accent 111 Char,Medium Grid 1 - Accent 21 Char,Bullets Char1,Paragraphe  revu Char1,List Paragraph (numbered (a)) Char1,Liste 1 Char1"/>
    <w:basedOn w:val="DefaultParagraphFont"/>
    <w:locked/>
    <w:rsid w:val="00547C9B"/>
    <w:rPr>
      <w:rFonts w:ascii="SimSun" w:eastAsiaTheme="minorEastAsia" w:hAnsi="SimSun"/>
      <w:lang w:eastAsia="fr-FR"/>
    </w:rPr>
  </w:style>
  <w:style w:type="paragraph" w:customStyle="1" w:styleId="Pa7">
    <w:name w:val="Pa7"/>
    <w:basedOn w:val="Normal"/>
    <w:next w:val="Normal"/>
    <w:rsid w:val="00547C9B"/>
    <w:pPr>
      <w:autoSpaceDE w:val="0"/>
      <w:autoSpaceDN w:val="0"/>
      <w:adjustRightInd w:val="0"/>
      <w:spacing w:after="0" w:line="241" w:lineRule="atLeast"/>
    </w:pPr>
    <w:rPr>
      <w:rFonts w:ascii="Frutiger LT Std 45 Light" w:eastAsiaTheme="minorHAnsi" w:hAnsi="Frutiger LT Std 45 Light"/>
      <w:sz w:val="24"/>
    </w:rPr>
  </w:style>
  <w:style w:type="table" w:customStyle="1" w:styleId="TableauGrille4-Accentuation13">
    <w:name w:val="Tableau Grille 4 - Accentuation 13"/>
    <w:basedOn w:val="TableNormal"/>
    <w:uiPriority w:val="49"/>
    <w:rsid w:val="00635695"/>
    <w:pPr>
      <w:spacing w:after="0" w:line="240" w:lineRule="auto"/>
    </w:pPr>
    <w:rPr>
      <w:lang w:val="fr-FR"/>
    </w:r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eauGrille5Fonc-Accentuation12">
    <w:name w:val="Tableau Grille 5 Foncé - Accentuation 12"/>
    <w:basedOn w:val="TableNormal"/>
    <w:uiPriority w:val="50"/>
    <w:rsid w:val="0063569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TableauListe4-Accentuation12">
    <w:name w:val="Tableau Liste 4 - Accentuation 12"/>
    <w:basedOn w:val="TableNormal"/>
    <w:uiPriority w:val="49"/>
    <w:rsid w:val="00635695"/>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character" w:customStyle="1" w:styleId="mainsitecolor">
    <w:name w:val="main_site_color"/>
    <w:basedOn w:val="DefaultParagraphFont"/>
    <w:rsid w:val="00F90E53"/>
  </w:style>
  <w:style w:type="character" w:customStyle="1" w:styleId="texto1">
    <w:name w:val="texto1"/>
    <w:basedOn w:val="DefaultParagraphFont"/>
    <w:rsid w:val="00B10D38"/>
  </w:style>
  <w:style w:type="character" w:styleId="HTMLCite">
    <w:name w:val="HTML Cite"/>
    <w:basedOn w:val="DefaultParagraphFont"/>
    <w:uiPriority w:val="99"/>
    <w:semiHidden/>
    <w:unhideWhenUsed/>
    <w:rsid w:val="003416C6"/>
    <w:rPr>
      <w:i/>
      <w:iCs/>
    </w:rPr>
  </w:style>
  <w:style w:type="character" w:customStyle="1" w:styleId="texttaille10">
    <w:name w:val="text_taille_10"/>
    <w:basedOn w:val="DefaultParagraphFont"/>
    <w:rsid w:val="00485B0C"/>
  </w:style>
  <w:style w:type="character" w:customStyle="1" w:styleId="texttaille11">
    <w:name w:val="text_taille_11"/>
    <w:basedOn w:val="DefaultParagraphFont"/>
    <w:rsid w:val="002B1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4059">
      <w:bodyDiv w:val="1"/>
      <w:marLeft w:val="0"/>
      <w:marRight w:val="0"/>
      <w:marTop w:val="0"/>
      <w:marBottom w:val="0"/>
      <w:divBdr>
        <w:top w:val="none" w:sz="0" w:space="0" w:color="auto"/>
        <w:left w:val="none" w:sz="0" w:space="0" w:color="auto"/>
        <w:bottom w:val="none" w:sz="0" w:space="0" w:color="auto"/>
        <w:right w:val="none" w:sz="0" w:space="0" w:color="auto"/>
      </w:divBdr>
      <w:divsChild>
        <w:div w:id="1014457014">
          <w:marLeft w:val="0"/>
          <w:marRight w:val="0"/>
          <w:marTop w:val="0"/>
          <w:marBottom w:val="0"/>
          <w:divBdr>
            <w:top w:val="none" w:sz="0" w:space="0" w:color="auto"/>
            <w:left w:val="none" w:sz="0" w:space="0" w:color="auto"/>
            <w:bottom w:val="none" w:sz="0" w:space="0" w:color="auto"/>
            <w:right w:val="none" w:sz="0" w:space="0" w:color="auto"/>
          </w:divBdr>
        </w:div>
      </w:divsChild>
    </w:div>
    <w:div w:id="31811887">
      <w:bodyDiv w:val="1"/>
      <w:marLeft w:val="0"/>
      <w:marRight w:val="0"/>
      <w:marTop w:val="0"/>
      <w:marBottom w:val="0"/>
      <w:divBdr>
        <w:top w:val="none" w:sz="0" w:space="0" w:color="auto"/>
        <w:left w:val="none" w:sz="0" w:space="0" w:color="auto"/>
        <w:bottom w:val="none" w:sz="0" w:space="0" w:color="auto"/>
        <w:right w:val="none" w:sz="0" w:space="0" w:color="auto"/>
      </w:divBdr>
      <w:divsChild>
        <w:div w:id="91627311">
          <w:marLeft w:val="0"/>
          <w:marRight w:val="0"/>
          <w:marTop w:val="0"/>
          <w:marBottom w:val="0"/>
          <w:divBdr>
            <w:top w:val="none" w:sz="0" w:space="0" w:color="auto"/>
            <w:left w:val="none" w:sz="0" w:space="0" w:color="auto"/>
            <w:bottom w:val="none" w:sz="0" w:space="0" w:color="auto"/>
            <w:right w:val="none" w:sz="0" w:space="0" w:color="auto"/>
          </w:divBdr>
        </w:div>
        <w:div w:id="349141770">
          <w:marLeft w:val="0"/>
          <w:marRight w:val="0"/>
          <w:marTop w:val="0"/>
          <w:marBottom w:val="0"/>
          <w:divBdr>
            <w:top w:val="none" w:sz="0" w:space="0" w:color="auto"/>
            <w:left w:val="none" w:sz="0" w:space="0" w:color="auto"/>
            <w:bottom w:val="none" w:sz="0" w:space="0" w:color="auto"/>
            <w:right w:val="none" w:sz="0" w:space="0" w:color="auto"/>
          </w:divBdr>
        </w:div>
        <w:div w:id="517162002">
          <w:marLeft w:val="0"/>
          <w:marRight w:val="0"/>
          <w:marTop w:val="0"/>
          <w:marBottom w:val="0"/>
          <w:divBdr>
            <w:top w:val="none" w:sz="0" w:space="0" w:color="auto"/>
            <w:left w:val="none" w:sz="0" w:space="0" w:color="auto"/>
            <w:bottom w:val="none" w:sz="0" w:space="0" w:color="auto"/>
            <w:right w:val="none" w:sz="0" w:space="0" w:color="auto"/>
          </w:divBdr>
        </w:div>
        <w:div w:id="584459796">
          <w:marLeft w:val="0"/>
          <w:marRight w:val="0"/>
          <w:marTop w:val="0"/>
          <w:marBottom w:val="0"/>
          <w:divBdr>
            <w:top w:val="none" w:sz="0" w:space="0" w:color="auto"/>
            <w:left w:val="none" w:sz="0" w:space="0" w:color="auto"/>
            <w:bottom w:val="none" w:sz="0" w:space="0" w:color="auto"/>
            <w:right w:val="none" w:sz="0" w:space="0" w:color="auto"/>
          </w:divBdr>
        </w:div>
        <w:div w:id="638457830">
          <w:marLeft w:val="0"/>
          <w:marRight w:val="0"/>
          <w:marTop w:val="0"/>
          <w:marBottom w:val="0"/>
          <w:divBdr>
            <w:top w:val="none" w:sz="0" w:space="0" w:color="auto"/>
            <w:left w:val="none" w:sz="0" w:space="0" w:color="auto"/>
            <w:bottom w:val="none" w:sz="0" w:space="0" w:color="auto"/>
            <w:right w:val="none" w:sz="0" w:space="0" w:color="auto"/>
          </w:divBdr>
        </w:div>
        <w:div w:id="769281576">
          <w:marLeft w:val="0"/>
          <w:marRight w:val="0"/>
          <w:marTop w:val="0"/>
          <w:marBottom w:val="0"/>
          <w:divBdr>
            <w:top w:val="none" w:sz="0" w:space="0" w:color="auto"/>
            <w:left w:val="none" w:sz="0" w:space="0" w:color="auto"/>
            <w:bottom w:val="none" w:sz="0" w:space="0" w:color="auto"/>
            <w:right w:val="none" w:sz="0" w:space="0" w:color="auto"/>
          </w:divBdr>
        </w:div>
        <w:div w:id="826365070">
          <w:marLeft w:val="0"/>
          <w:marRight w:val="0"/>
          <w:marTop w:val="0"/>
          <w:marBottom w:val="0"/>
          <w:divBdr>
            <w:top w:val="none" w:sz="0" w:space="0" w:color="auto"/>
            <w:left w:val="none" w:sz="0" w:space="0" w:color="auto"/>
            <w:bottom w:val="none" w:sz="0" w:space="0" w:color="auto"/>
            <w:right w:val="none" w:sz="0" w:space="0" w:color="auto"/>
          </w:divBdr>
        </w:div>
        <w:div w:id="829173076">
          <w:marLeft w:val="0"/>
          <w:marRight w:val="0"/>
          <w:marTop w:val="0"/>
          <w:marBottom w:val="0"/>
          <w:divBdr>
            <w:top w:val="none" w:sz="0" w:space="0" w:color="auto"/>
            <w:left w:val="none" w:sz="0" w:space="0" w:color="auto"/>
            <w:bottom w:val="none" w:sz="0" w:space="0" w:color="auto"/>
            <w:right w:val="none" w:sz="0" w:space="0" w:color="auto"/>
          </w:divBdr>
        </w:div>
        <w:div w:id="843712644">
          <w:marLeft w:val="0"/>
          <w:marRight w:val="0"/>
          <w:marTop w:val="0"/>
          <w:marBottom w:val="0"/>
          <w:divBdr>
            <w:top w:val="none" w:sz="0" w:space="0" w:color="auto"/>
            <w:left w:val="none" w:sz="0" w:space="0" w:color="auto"/>
            <w:bottom w:val="none" w:sz="0" w:space="0" w:color="auto"/>
            <w:right w:val="none" w:sz="0" w:space="0" w:color="auto"/>
          </w:divBdr>
        </w:div>
        <w:div w:id="852719649">
          <w:marLeft w:val="0"/>
          <w:marRight w:val="0"/>
          <w:marTop w:val="0"/>
          <w:marBottom w:val="0"/>
          <w:divBdr>
            <w:top w:val="none" w:sz="0" w:space="0" w:color="auto"/>
            <w:left w:val="none" w:sz="0" w:space="0" w:color="auto"/>
            <w:bottom w:val="none" w:sz="0" w:space="0" w:color="auto"/>
            <w:right w:val="none" w:sz="0" w:space="0" w:color="auto"/>
          </w:divBdr>
        </w:div>
        <w:div w:id="956714669">
          <w:marLeft w:val="0"/>
          <w:marRight w:val="0"/>
          <w:marTop w:val="0"/>
          <w:marBottom w:val="0"/>
          <w:divBdr>
            <w:top w:val="none" w:sz="0" w:space="0" w:color="auto"/>
            <w:left w:val="none" w:sz="0" w:space="0" w:color="auto"/>
            <w:bottom w:val="none" w:sz="0" w:space="0" w:color="auto"/>
            <w:right w:val="none" w:sz="0" w:space="0" w:color="auto"/>
          </w:divBdr>
        </w:div>
        <w:div w:id="1158301650">
          <w:marLeft w:val="0"/>
          <w:marRight w:val="0"/>
          <w:marTop w:val="0"/>
          <w:marBottom w:val="0"/>
          <w:divBdr>
            <w:top w:val="none" w:sz="0" w:space="0" w:color="auto"/>
            <w:left w:val="none" w:sz="0" w:space="0" w:color="auto"/>
            <w:bottom w:val="none" w:sz="0" w:space="0" w:color="auto"/>
            <w:right w:val="none" w:sz="0" w:space="0" w:color="auto"/>
          </w:divBdr>
        </w:div>
        <w:div w:id="1198811415">
          <w:marLeft w:val="0"/>
          <w:marRight w:val="0"/>
          <w:marTop w:val="0"/>
          <w:marBottom w:val="0"/>
          <w:divBdr>
            <w:top w:val="none" w:sz="0" w:space="0" w:color="auto"/>
            <w:left w:val="none" w:sz="0" w:space="0" w:color="auto"/>
            <w:bottom w:val="none" w:sz="0" w:space="0" w:color="auto"/>
            <w:right w:val="none" w:sz="0" w:space="0" w:color="auto"/>
          </w:divBdr>
        </w:div>
        <w:div w:id="1221557334">
          <w:marLeft w:val="0"/>
          <w:marRight w:val="0"/>
          <w:marTop w:val="0"/>
          <w:marBottom w:val="0"/>
          <w:divBdr>
            <w:top w:val="none" w:sz="0" w:space="0" w:color="auto"/>
            <w:left w:val="none" w:sz="0" w:space="0" w:color="auto"/>
            <w:bottom w:val="none" w:sz="0" w:space="0" w:color="auto"/>
            <w:right w:val="none" w:sz="0" w:space="0" w:color="auto"/>
          </w:divBdr>
        </w:div>
        <w:div w:id="1435129152">
          <w:marLeft w:val="0"/>
          <w:marRight w:val="0"/>
          <w:marTop w:val="0"/>
          <w:marBottom w:val="0"/>
          <w:divBdr>
            <w:top w:val="none" w:sz="0" w:space="0" w:color="auto"/>
            <w:left w:val="none" w:sz="0" w:space="0" w:color="auto"/>
            <w:bottom w:val="none" w:sz="0" w:space="0" w:color="auto"/>
            <w:right w:val="none" w:sz="0" w:space="0" w:color="auto"/>
          </w:divBdr>
        </w:div>
        <w:div w:id="1458530587">
          <w:marLeft w:val="0"/>
          <w:marRight w:val="0"/>
          <w:marTop w:val="0"/>
          <w:marBottom w:val="0"/>
          <w:divBdr>
            <w:top w:val="none" w:sz="0" w:space="0" w:color="auto"/>
            <w:left w:val="none" w:sz="0" w:space="0" w:color="auto"/>
            <w:bottom w:val="none" w:sz="0" w:space="0" w:color="auto"/>
            <w:right w:val="none" w:sz="0" w:space="0" w:color="auto"/>
          </w:divBdr>
        </w:div>
        <w:div w:id="1507403126">
          <w:marLeft w:val="0"/>
          <w:marRight w:val="0"/>
          <w:marTop w:val="0"/>
          <w:marBottom w:val="0"/>
          <w:divBdr>
            <w:top w:val="none" w:sz="0" w:space="0" w:color="auto"/>
            <w:left w:val="none" w:sz="0" w:space="0" w:color="auto"/>
            <w:bottom w:val="none" w:sz="0" w:space="0" w:color="auto"/>
            <w:right w:val="none" w:sz="0" w:space="0" w:color="auto"/>
          </w:divBdr>
        </w:div>
        <w:div w:id="1570843270">
          <w:marLeft w:val="0"/>
          <w:marRight w:val="0"/>
          <w:marTop w:val="0"/>
          <w:marBottom w:val="0"/>
          <w:divBdr>
            <w:top w:val="none" w:sz="0" w:space="0" w:color="auto"/>
            <w:left w:val="none" w:sz="0" w:space="0" w:color="auto"/>
            <w:bottom w:val="none" w:sz="0" w:space="0" w:color="auto"/>
            <w:right w:val="none" w:sz="0" w:space="0" w:color="auto"/>
          </w:divBdr>
        </w:div>
        <w:div w:id="1586571478">
          <w:marLeft w:val="0"/>
          <w:marRight w:val="0"/>
          <w:marTop w:val="0"/>
          <w:marBottom w:val="0"/>
          <w:divBdr>
            <w:top w:val="none" w:sz="0" w:space="0" w:color="auto"/>
            <w:left w:val="none" w:sz="0" w:space="0" w:color="auto"/>
            <w:bottom w:val="none" w:sz="0" w:space="0" w:color="auto"/>
            <w:right w:val="none" w:sz="0" w:space="0" w:color="auto"/>
          </w:divBdr>
        </w:div>
        <w:div w:id="1593465049">
          <w:marLeft w:val="0"/>
          <w:marRight w:val="0"/>
          <w:marTop w:val="0"/>
          <w:marBottom w:val="0"/>
          <w:divBdr>
            <w:top w:val="none" w:sz="0" w:space="0" w:color="auto"/>
            <w:left w:val="none" w:sz="0" w:space="0" w:color="auto"/>
            <w:bottom w:val="none" w:sz="0" w:space="0" w:color="auto"/>
            <w:right w:val="none" w:sz="0" w:space="0" w:color="auto"/>
          </w:divBdr>
        </w:div>
        <w:div w:id="1621184982">
          <w:marLeft w:val="0"/>
          <w:marRight w:val="0"/>
          <w:marTop w:val="0"/>
          <w:marBottom w:val="0"/>
          <w:divBdr>
            <w:top w:val="none" w:sz="0" w:space="0" w:color="auto"/>
            <w:left w:val="none" w:sz="0" w:space="0" w:color="auto"/>
            <w:bottom w:val="none" w:sz="0" w:space="0" w:color="auto"/>
            <w:right w:val="none" w:sz="0" w:space="0" w:color="auto"/>
          </w:divBdr>
        </w:div>
        <w:div w:id="1668551390">
          <w:marLeft w:val="0"/>
          <w:marRight w:val="0"/>
          <w:marTop w:val="0"/>
          <w:marBottom w:val="0"/>
          <w:divBdr>
            <w:top w:val="none" w:sz="0" w:space="0" w:color="auto"/>
            <w:left w:val="none" w:sz="0" w:space="0" w:color="auto"/>
            <w:bottom w:val="none" w:sz="0" w:space="0" w:color="auto"/>
            <w:right w:val="none" w:sz="0" w:space="0" w:color="auto"/>
          </w:divBdr>
        </w:div>
        <w:div w:id="1753699514">
          <w:marLeft w:val="0"/>
          <w:marRight w:val="0"/>
          <w:marTop w:val="0"/>
          <w:marBottom w:val="0"/>
          <w:divBdr>
            <w:top w:val="none" w:sz="0" w:space="0" w:color="auto"/>
            <w:left w:val="none" w:sz="0" w:space="0" w:color="auto"/>
            <w:bottom w:val="none" w:sz="0" w:space="0" w:color="auto"/>
            <w:right w:val="none" w:sz="0" w:space="0" w:color="auto"/>
          </w:divBdr>
        </w:div>
        <w:div w:id="1924561637">
          <w:marLeft w:val="0"/>
          <w:marRight w:val="0"/>
          <w:marTop w:val="0"/>
          <w:marBottom w:val="0"/>
          <w:divBdr>
            <w:top w:val="none" w:sz="0" w:space="0" w:color="auto"/>
            <w:left w:val="none" w:sz="0" w:space="0" w:color="auto"/>
            <w:bottom w:val="none" w:sz="0" w:space="0" w:color="auto"/>
            <w:right w:val="none" w:sz="0" w:space="0" w:color="auto"/>
          </w:divBdr>
        </w:div>
        <w:div w:id="1928533223">
          <w:marLeft w:val="0"/>
          <w:marRight w:val="0"/>
          <w:marTop w:val="0"/>
          <w:marBottom w:val="0"/>
          <w:divBdr>
            <w:top w:val="none" w:sz="0" w:space="0" w:color="auto"/>
            <w:left w:val="none" w:sz="0" w:space="0" w:color="auto"/>
            <w:bottom w:val="none" w:sz="0" w:space="0" w:color="auto"/>
            <w:right w:val="none" w:sz="0" w:space="0" w:color="auto"/>
          </w:divBdr>
        </w:div>
        <w:div w:id="1968780929">
          <w:marLeft w:val="0"/>
          <w:marRight w:val="0"/>
          <w:marTop w:val="0"/>
          <w:marBottom w:val="0"/>
          <w:divBdr>
            <w:top w:val="none" w:sz="0" w:space="0" w:color="auto"/>
            <w:left w:val="none" w:sz="0" w:space="0" w:color="auto"/>
            <w:bottom w:val="none" w:sz="0" w:space="0" w:color="auto"/>
            <w:right w:val="none" w:sz="0" w:space="0" w:color="auto"/>
          </w:divBdr>
        </w:div>
        <w:div w:id="2120224451">
          <w:marLeft w:val="0"/>
          <w:marRight w:val="0"/>
          <w:marTop w:val="0"/>
          <w:marBottom w:val="0"/>
          <w:divBdr>
            <w:top w:val="none" w:sz="0" w:space="0" w:color="auto"/>
            <w:left w:val="none" w:sz="0" w:space="0" w:color="auto"/>
            <w:bottom w:val="none" w:sz="0" w:space="0" w:color="auto"/>
            <w:right w:val="none" w:sz="0" w:space="0" w:color="auto"/>
          </w:divBdr>
        </w:div>
      </w:divsChild>
    </w:div>
    <w:div w:id="37584449">
      <w:bodyDiv w:val="1"/>
      <w:marLeft w:val="0"/>
      <w:marRight w:val="0"/>
      <w:marTop w:val="0"/>
      <w:marBottom w:val="0"/>
      <w:divBdr>
        <w:top w:val="none" w:sz="0" w:space="0" w:color="auto"/>
        <w:left w:val="none" w:sz="0" w:space="0" w:color="auto"/>
        <w:bottom w:val="none" w:sz="0" w:space="0" w:color="auto"/>
        <w:right w:val="none" w:sz="0" w:space="0" w:color="auto"/>
      </w:divBdr>
      <w:divsChild>
        <w:div w:id="919362884">
          <w:marLeft w:val="547"/>
          <w:marRight w:val="0"/>
          <w:marTop w:val="0"/>
          <w:marBottom w:val="0"/>
          <w:divBdr>
            <w:top w:val="none" w:sz="0" w:space="0" w:color="auto"/>
            <w:left w:val="none" w:sz="0" w:space="0" w:color="auto"/>
            <w:bottom w:val="none" w:sz="0" w:space="0" w:color="auto"/>
            <w:right w:val="none" w:sz="0" w:space="0" w:color="auto"/>
          </w:divBdr>
        </w:div>
        <w:div w:id="947154895">
          <w:marLeft w:val="547"/>
          <w:marRight w:val="0"/>
          <w:marTop w:val="0"/>
          <w:marBottom w:val="0"/>
          <w:divBdr>
            <w:top w:val="none" w:sz="0" w:space="0" w:color="auto"/>
            <w:left w:val="none" w:sz="0" w:space="0" w:color="auto"/>
            <w:bottom w:val="none" w:sz="0" w:space="0" w:color="auto"/>
            <w:right w:val="none" w:sz="0" w:space="0" w:color="auto"/>
          </w:divBdr>
        </w:div>
        <w:div w:id="1215459129">
          <w:marLeft w:val="547"/>
          <w:marRight w:val="0"/>
          <w:marTop w:val="0"/>
          <w:marBottom w:val="0"/>
          <w:divBdr>
            <w:top w:val="none" w:sz="0" w:space="0" w:color="auto"/>
            <w:left w:val="none" w:sz="0" w:space="0" w:color="auto"/>
            <w:bottom w:val="none" w:sz="0" w:space="0" w:color="auto"/>
            <w:right w:val="none" w:sz="0" w:space="0" w:color="auto"/>
          </w:divBdr>
        </w:div>
      </w:divsChild>
    </w:div>
    <w:div w:id="97914915">
      <w:bodyDiv w:val="1"/>
      <w:marLeft w:val="0"/>
      <w:marRight w:val="0"/>
      <w:marTop w:val="0"/>
      <w:marBottom w:val="0"/>
      <w:divBdr>
        <w:top w:val="none" w:sz="0" w:space="0" w:color="auto"/>
        <w:left w:val="none" w:sz="0" w:space="0" w:color="auto"/>
        <w:bottom w:val="none" w:sz="0" w:space="0" w:color="auto"/>
        <w:right w:val="none" w:sz="0" w:space="0" w:color="auto"/>
      </w:divBdr>
    </w:div>
    <w:div w:id="127556323">
      <w:bodyDiv w:val="1"/>
      <w:marLeft w:val="0"/>
      <w:marRight w:val="0"/>
      <w:marTop w:val="0"/>
      <w:marBottom w:val="0"/>
      <w:divBdr>
        <w:top w:val="none" w:sz="0" w:space="0" w:color="auto"/>
        <w:left w:val="none" w:sz="0" w:space="0" w:color="auto"/>
        <w:bottom w:val="none" w:sz="0" w:space="0" w:color="auto"/>
        <w:right w:val="none" w:sz="0" w:space="0" w:color="auto"/>
      </w:divBdr>
    </w:div>
    <w:div w:id="138108378">
      <w:bodyDiv w:val="1"/>
      <w:marLeft w:val="0"/>
      <w:marRight w:val="0"/>
      <w:marTop w:val="0"/>
      <w:marBottom w:val="0"/>
      <w:divBdr>
        <w:top w:val="none" w:sz="0" w:space="0" w:color="auto"/>
        <w:left w:val="none" w:sz="0" w:space="0" w:color="auto"/>
        <w:bottom w:val="none" w:sz="0" w:space="0" w:color="auto"/>
        <w:right w:val="none" w:sz="0" w:space="0" w:color="auto"/>
      </w:divBdr>
    </w:div>
    <w:div w:id="145242143">
      <w:bodyDiv w:val="1"/>
      <w:marLeft w:val="0"/>
      <w:marRight w:val="0"/>
      <w:marTop w:val="0"/>
      <w:marBottom w:val="0"/>
      <w:divBdr>
        <w:top w:val="none" w:sz="0" w:space="0" w:color="auto"/>
        <w:left w:val="none" w:sz="0" w:space="0" w:color="auto"/>
        <w:bottom w:val="none" w:sz="0" w:space="0" w:color="auto"/>
        <w:right w:val="none" w:sz="0" w:space="0" w:color="auto"/>
      </w:divBdr>
    </w:div>
    <w:div w:id="194850198">
      <w:bodyDiv w:val="1"/>
      <w:marLeft w:val="0"/>
      <w:marRight w:val="0"/>
      <w:marTop w:val="0"/>
      <w:marBottom w:val="0"/>
      <w:divBdr>
        <w:top w:val="none" w:sz="0" w:space="0" w:color="auto"/>
        <w:left w:val="none" w:sz="0" w:space="0" w:color="auto"/>
        <w:bottom w:val="none" w:sz="0" w:space="0" w:color="auto"/>
        <w:right w:val="none" w:sz="0" w:space="0" w:color="auto"/>
      </w:divBdr>
    </w:div>
    <w:div w:id="200090216">
      <w:bodyDiv w:val="1"/>
      <w:marLeft w:val="0"/>
      <w:marRight w:val="0"/>
      <w:marTop w:val="0"/>
      <w:marBottom w:val="0"/>
      <w:divBdr>
        <w:top w:val="none" w:sz="0" w:space="0" w:color="auto"/>
        <w:left w:val="none" w:sz="0" w:space="0" w:color="auto"/>
        <w:bottom w:val="none" w:sz="0" w:space="0" w:color="auto"/>
        <w:right w:val="none" w:sz="0" w:space="0" w:color="auto"/>
      </w:divBdr>
    </w:div>
    <w:div w:id="203257126">
      <w:bodyDiv w:val="1"/>
      <w:marLeft w:val="0"/>
      <w:marRight w:val="0"/>
      <w:marTop w:val="0"/>
      <w:marBottom w:val="0"/>
      <w:divBdr>
        <w:top w:val="none" w:sz="0" w:space="0" w:color="auto"/>
        <w:left w:val="none" w:sz="0" w:space="0" w:color="auto"/>
        <w:bottom w:val="none" w:sz="0" w:space="0" w:color="auto"/>
        <w:right w:val="none" w:sz="0" w:space="0" w:color="auto"/>
      </w:divBdr>
    </w:div>
    <w:div w:id="206919208">
      <w:bodyDiv w:val="1"/>
      <w:marLeft w:val="0"/>
      <w:marRight w:val="0"/>
      <w:marTop w:val="0"/>
      <w:marBottom w:val="0"/>
      <w:divBdr>
        <w:top w:val="none" w:sz="0" w:space="0" w:color="auto"/>
        <w:left w:val="none" w:sz="0" w:space="0" w:color="auto"/>
        <w:bottom w:val="none" w:sz="0" w:space="0" w:color="auto"/>
        <w:right w:val="none" w:sz="0" w:space="0" w:color="auto"/>
      </w:divBdr>
    </w:div>
    <w:div w:id="223836438">
      <w:bodyDiv w:val="1"/>
      <w:marLeft w:val="0"/>
      <w:marRight w:val="0"/>
      <w:marTop w:val="0"/>
      <w:marBottom w:val="0"/>
      <w:divBdr>
        <w:top w:val="none" w:sz="0" w:space="0" w:color="auto"/>
        <w:left w:val="none" w:sz="0" w:space="0" w:color="auto"/>
        <w:bottom w:val="none" w:sz="0" w:space="0" w:color="auto"/>
        <w:right w:val="none" w:sz="0" w:space="0" w:color="auto"/>
      </w:divBdr>
    </w:div>
    <w:div w:id="246157880">
      <w:bodyDiv w:val="1"/>
      <w:marLeft w:val="0"/>
      <w:marRight w:val="0"/>
      <w:marTop w:val="0"/>
      <w:marBottom w:val="0"/>
      <w:divBdr>
        <w:top w:val="none" w:sz="0" w:space="0" w:color="auto"/>
        <w:left w:val="none" w:sz="0" w:space="0" w:color="auto"/>
        <w:bottom w:val="none" w:sz="0" w:space="0" w:color="auto"/>
        <w:right w:val="none" w:sz="0" w:space="0" w:color="auto"/>
      </w:divBdr>
      <w:divsChild>
        <w:div w:id="156313388">
          <w:marLeft w:val="0"/>
          <w:marRight w:val="0"/>
          <w:marTop w:val="0"/>
          <w:marBottom w:val="0"/>
          <w:divBdr>
            <w:top w:val="none" w:sz="0" w:space="0" w:color="auto"/>
            <w:left w:val="none" w:sz="0" w:space="0" w:color="auto"/>
            <w:bottom w:val="none" w:sz="0" w:space="0" w:color="auto"/>
            <w:right w:val="none" w:sz="0" w:space="0" w:color="auto"/>
          </w:divBdr>
        </w:div>
        <w:div w:id="537358027">
          <w:marLeft w:val="0"/>
          <w:marRight w:val="0"/>
          <w:marTop w:val="0"/>
          <w:marBottom w:val="0"/>
          <w:divBdr>
            <w:top w:val="none" w:sz="0" w:space="0" w:color="auto"/>
            <w:left w:val="none" w:sz="0" w:space="0" w:color="auto"/>
            <w:bottom w:val="none" w:sz="0" w:space="0" w:color="auto"/>
            <w:right w:val="none" w:sz="0" w:space="0" w:color="auto"/>
          </w:divBdr>
        </w:div>
        <w:div w:id="1070348059">
          <w:marLeft w:val="0"/>
          <w:marRight w:val="0"/>
          <w:marTop w:val="0"/>
          <w:marBottom w:val="0"/>
          <w:divBdr>
            <w:top w:val="none" w:sz="0" w:space="0" w:color="auto"/>
            <w:left w:val="none" w:sz="0" w:space="0" w:color="auto"/>
            <w:bottom w:val="none" w:sz="0" w:space="0" w:color="auto"/>
            <w:right w:val="none" w:sz="0" w:space="0" w:color="auto"/>
          </w:divBdr>
        </w:div>
        <w:div w:id="1332219060">
          <w:marLeft w:val="0"/>
          <w:marRight w:val="0"/>
          <w:marTop w:val="0"/>
          <w:marBottom w:val="0"/>
          <w:divBdr>
            <w:top w:val="none" w:sz="0" w:space="0" w:color="auto"/>
            <w:left w:val="none" w:sz="0" w:space="0" w:color="auto"/>
            <w:bottom w:val="none" w:sz="0" w:space="0" w:color="auto"/>
            <w:right w:val="none" w:sz="0" w:space="0" w:color="auto"/>
          </w:divBdr>
        </w:div>
        <w:div w:id="1401978667">
          <w:marLeft w:val="0"/>
          <w:marRight w:val="0"/>
          <w:marTop w:val="0"/>
          <w:marBottom w:val="0"/>
          <w:divBdr>
            <w:top w:val="none" w:sz="0" w:space="0" w:color="auto"/>
            <w:left w:val="none" w:sz="0" w:space="0" w:color="auto"/>
            <w:bottom w:val="none" w:sz="0" w:space="0" w:color="auto"/>
            <w:right w:val="none" w:sz="0" w:space="0" w:color="auto"/>
          </w:divBdr>
        </w:div>
        <w:div w:id="1851597339">
          <w:marLeft w:val="0"/>
          <w:marRight w:val="0"/>
          <w:marTop w:val="0"/>
          <w:marBottom w:val="0"/>
          <w:divBdr>
            <w:top w:val="none" w:sz="0" w:space="0" w:color="auto"/>
            <w:left w:val="none" w:sz="0" w:space="0" w:color="auto"/>
            <w:bottom w:val="none" w:sz="0" w:space="0" w:color="auto"/>
            <w:right w:val="none" w:sz="0" w:space="0" w:color="auto"/>
          </w:divBdr>
        </w:div>
      </w:divsChild>
    </w:div>
    <w:div w:id="267664515">
      <w:bodyDiv w:val="1"/>
      <w:marLeft w:val="0"/>
      <w:marRight w:val="0"/>
      <w:marTop w:val="0"/>
      <w:marBottom w:val="0"/>
      <w:divBdr>
        <w:top w:val="none" w:sz="0" w:space="0" w:color="auto"/>
        <w:left w:val="none" w:sz="0" w:space="0" w:color="auto"/>
        <w:bottom w:val="none" w:sz="0" w:space="0" w:color="auto"/>
        <w:right w:val="none" w:sz="0" w:space="0" w:color="auto"/>
      </w:divBdr>
      <w:divsChild>
        <w:div w:id="66460414">
          <w:marLeft w:val="446"/>
          <w:marRight w:val="0"/>
          <w:marTop w:val="0"/>
          <w:marBottom w:val="0"/>
          <w:divBdr>
            <w:top w:val="none" w:sz="0" w:space="0" w:color="auto"/>
            <w:left w:val="none" w:sz="0" w:space="0" w:color="auto"/>
            <w:bottom w:val="none" w:sz="0" w:space="0" w:color="auto"/>
            <w:right w:val="none" w:sz="0" w:space="0" w:color="auto"/>
          </w:divBdr>
        </w:div>
        <w:div w:id="693380126">
          <w:marLeft w:val="446"/>
          <w:marRight w:val="0"/>
          <w:marTop w:val="0"/>
          <w:marBottom w:val="0"/>
          <w:divBdr>
            <w:top w:val="none" w:sz="0" w:space="0" w:color="auto"/>
            <w:left w:val="none" w:sz="0" w:space="0" w:color="auto"/>
            <w:bottom w:val="none" w:sz="0" w:space="0" w:color="auto"/>
            <w:right w:val="none" w:sz="0" w:space="0" w:color="auto"/>
          </w:divBdr>
        </w:div>
        <w:div w:id="921334697">
          <w:marLeft w:val="446"/>
          <w:marRight w:val="0"/>
          <w:marTop w:val="0"/>
          <w:marBottom w:val="0"/>
          <w:divBdr>
            <w:top w:val="none" w:sz="0" w:space="0" w:color="auto"/>
            <w:left w:val="none" w:sz="0" w:space="0" w:color="auto"/>
            <w:bottom w:val="none" w:sz="0" w:space="0" w:color="auto"/>
            <w:right w:val="none" w:sz="0" w:space="0" w:color="auto"/>
          </w:divBdr>
        </w:div>
        <w:div w:id="1583833886">
          <w:marLeft w:val="446"/>
          <w:marRight w:val="0"/>
          <w:marTop w:val="0"/>
          <w:marBottom w:val="0"/>
          <w:divBdr>
            <w:top w:val="none" w:sz="0" w:space="0" w:color="auto"/>
            <w:left w:val="none" w:sz="0" w:space="0" w:color="auto"/>
            <w:bottom w:val="none" w:sz="0" w:space="0" w:color="auto"/>
            <w:right w:val="none" w:sz="0" w:space="0" w:color="auto"/>
          </w:divBdr>
        </w:div>
      </w:divsChild>
    </w:div>
    <w:div w:id="304049024">
      <w:bodyDiv w:val="1"/>
      <w:marLeft w:val="0"/>
      <w:marRight w:val="0"/>
      <w:marTop w:val="0"/>
      <w:marBottom w:val="0"/>
      <w:divBdr>
        <w:top w:val="none" w:sz="0" w:space="0" w:color="auto"/>
        <w:left w:val="none" w:sz="0" w:space="0" w:color="auto"/>
        <w:bottom w:val="none" w:sz="0" w:space="0" w:color="auto"/>
        <w:right w:val="none" w:sz="0" w:space="0" w:color="auto"/>
      </w:divBdr>
    </w:div>
    <w:div w:id="391733438">
      <w:bodyDiv w:val="1"/>
      <w:marLeft w:val="0"/>
      <w:marRight w:val="0"/>
      <w:marTop w:val="0"/>
      <w:marBottom w:val="0"/>
      <w:divBdr>
        <w:top w:val="none" w:sz="0" w:space="0" w:color="auto"/>
        <w:left w:val="none" w:sz="0" w:space="0" w:color="auto"/>
        <w:bottom w:val="none" w:sz="0" w:space="0" w:color="auto"/>
        <w:right w:val="none" w:sz="0" w:space="0" w:color="auto"/>
      </w:divBdr>
    </w:div>
    <w:div w:id="417672468">
      <w:bodyDiv w:val="1"/>
      <w:marLeft w:val="0"/>
      <w:marRight w:val="0"/>
      <w:marTop w:val="0"/>
      <w:marBottom w:val="0"/>
      <w:divBdr>
        <w:top w:val="none" w:sz="0" w:space="0" w:color="auto"/>
        <w:left w:val="none" w:sz="0" w:space="0" w:color="auto"/>
        <w:bottom w:val="none" w:sz="0" w:space="0" w:color="auto"/>
        <w:right w:val="none" w:sz="0" w:space="0" w:color="auto"/>
      </w:divBdr>
    </w:div>
    <w:div w:id="418447701">
      <w:bodyDiv w:val="1"/>
      <w:marLeft w:val="0"/>
      <w:marRight w:val="0"/>
      <w:marTop w:val="0"/>
      <w:marBottom w:val="0"/>
      <w:divBdr>
        <w:top w:val="none" w:sz="0" w:space="0" w:color="auto"/>
        <w:left w:val="none" w:sz="0" w:space="0" w:color="auto"/>
        <w:bottom w:val="none" w:sz="0" w:space="0" w:color="auto"/>
        <w:right w:val="none" w:sz="0" w:space="0" w:color="auto"/>
      </w:divBdr>
    </w:div>
    <w:div w:id="438721245">
      <w:bodyDiv w:val="1"/>
      <w:marLeft w:val="0"/>
      <w:marRight w:val="0"/>
      <w:marTop w:val="0"/>
      <w:marBottom w:val="0"/>
      <w:divBdr>
        <w:top w:val="none" w:sz="0" w:space="0" w:color="auto"/>
        <w:left w:val="none" w:sz="0" w:space="0" w:color="auto"/>
        <w:bottom w:val="none" w:sz="0" w:space="0" w:color="auto"/>
        <w:right w:val="none" w:sz="0" w:space="0" w:color="auto"/>
      </w:divBdr>
    </w:div>
    <w:div w:id="440614803">
      <w:bodyDiv w:val="1"/>
      <w:marLeft w:val="0"/>
      <w:marRight w:val="0"/>
      <w:marTop w:val="0"/>
      <w:marBottom w:val="0"/>
      <w:divBdr>
        <w:top w:val="none" w:sz="0" w:space="0" w:color="auto"/>
        <w:left w:val="none" w:sz="0" w:space="0" w:color="auto"/>
        <w:bottom w:val="none" w:sz="0" w:space="0" w:color="auto"/>
        <w:right w:val="none" w:sz="0" w:space="0" w:color="auto"/>
      </w:divBdr>
    </w:div>
    <w:div w:id="448013211">
      <w:bodyDiv w:val="1"/>
      <w:marLeft w:val="0"/>
      <w:marRight w:val="0"/>
      <w:marTop w:val="0"/>
      <w:marBottom w:val="0"/>
      <w:divBdr>
        <w:top w:val="none" w:sz="0" w:space="0" w:color="auto"/>
        <w:left w:val="none" w:sz="0" w:space="0" w:color="auto"/>
        <w:bottom w:val="none" w:sz="0" w:space="0" w:color="auto"/>
        <w:right w:val="none" w:sz="0" w:space="0" w:color="auto"/>
      </w:divBdr>
    </w:div>
    <w:div w:id="452597246">
      <w:bodyDiv w:val="1"/>
      <w:marLeft w:val="0"/>
      <w:marRight w:val="0"/>
      <w:marTop w:val="0"/>
      <w:marBottom w:val="0"/>
      <w:divBdr>
        <w:top w:val="none" w:sz="0" w:space="0" w:color="auto"/>
        <w:left w:val="none" w:sz="0" w:space="0" w:color="auto"/>
        <w:bottom w:val="none" w:sz="0" w:space="0" w:color="auto"/>
        <w:right w:val="none" w:sz="0" w:space="0" w:color="auto"/>
      </w:divBdr>
    </w:div>
    <w:div w:id="453134942">
      <w:bodyDiv w:val="1"/>
      <w:marLeft w:val="0"/>
      <w:marRight w:val="0"/>
      <w:marTop w:val="0"/>
      <w:marBottom w:val="0"/>
      <w:divBdr>
        <w:top w:val="none" w:sz="0" w:space="0" w:color="auto"/>
        <w:left w:val="none" w:sz="0" w:space="0" w:color="auto"/>
        <w:bottom w:val="none" w:sz="0" w:space="0" w:color="auto"/>
        <w:right w:val="none" w:sz="0" w:space="0" w:color="auto"/>
      </w:divBdr>
    </w:div>
    <w:div w:id="484785702">
      <w:bodyDiv w:val="1"/>
      <w:marLeft w:val="0"/>
      <w:marRight w:val="0"/>
      <w:marTop w:val="0"/>
      <w:marBottom w:val="0"/>
      <w:divBdr>
        <w:top w:val="none" w:sz="0" w:space="0" w:color="auto"/>
        <w:left w:val="none" w:sz="0" w:space="0" w:color="auto"/>
        <w:bottom w:val="none" w:sz="0" w:space="0" w:color="auto"/>
        <w:right w:val="none" w:sz="0" w:space="0" w:color="auto"/>
      </w:divBdr>
    </w:div>
    <w:div w:id="486484578">
      <w:bodyDiv w:val="1"/>
      <w:marLeft w:val="0"/>
      <w:marRight w:val="0"/>
      <w:marTop w:val="0"/>
      <w:marBottom w:val="0"/>
      <w:divBdr>
        <w:top w:val="none" w:sz="0" w:space="0" w:color="auto"/>
        <w:left w:val="none" w:sz="0" w:space="0" w:color="auto"/>
        <w:bottom w:val="none" w:sz="0" w:space="0" w:color="auto"/>
        <w:right w:val="none" w:sz="0" w:space="0" w:color="auto"/>
      </w:divBdr>
    </w:div>
    <w:div w:id="497430578">
      <w:bodyDiv w:val="1"/>
      <w:marLeft w:val="0"/>
      <w:marRight w:val="0"/>
      <w:marTop w:val="0"/>
      <w:marBottom w:val="0"/>
      <w:divBdr>
        <w:top w:val="none" w:sz="0" w:space="0" w:color="auto"/>
        <w:left w:val="none" w:sz="0" w:space="0" w:color="auto"/>
        <w:bottom w:val="none" w:sz="0" w:space="0" w:color="auto"/>
        <w:right w:val="none" w:sz="0" w:space="0" w:color="auto"/>
      </w:divBdr>
    </w:div>
    <w:div w:id="524951954">
      <w:bodyDiv w:val="1"/>
      <w:marLeft w:val="0"/>
      <w:marRight w:val="0"/>
      <w:marTop w:val="0"/>
      <w:marBottom w:val="0"/>
      <w:divBdr>
        <w:top w:val="none" w:sz="0" w:space="0" w:color="auto"/>
        <w:left w:val="none" w:sz="0" w:space="0" w:color="auto"/>
        <w:bottom w:val="none" w:sz="0" w:space="0" w:color="auto"/>
        <w:right w:val="none" w:sz="0" w:space="0" w:color="auto"/>
      </w:divBdr>
    </w:div>
    <w:div w:id="532115854">
      <w:bodyDiv w:val="1"/>
      <w:marLeft w:val="0"/>
      <w:marRight w:val="0"/>
      <w:marTop w:val="0"/>
      <w:marBottom w:val="0"/>
      <w:divBdr>
        <w:top w:val="none" w:sz="0" w:space="0" w:color="auto"/>
        <w:left w:val="none" w:sz="0" w:space="0" w:color="auto"/>
        <w:bottom w:val="none" w:sz="0" w:space="0" w:color="auto"/>
        <w:right w:val="none" w:sz="0" w:space="0" w:color="auto"/>
      </w:divBdr>
    </w:div>
    <w:div w:id="566185696">
      <w:bodyDiv w:val="1"/>
      <w:marLeft w:val="0"/>
      <w:marRight w:val="0"/>
      <w:marTop w:val="0"/>
      <w:marBottom w:val="0"/>
      <w:divBdr>
        <w:top w:val="none" w:sz="0" w:space="0" w:color="auto"/>
        <w:left w:val="none" w:sz="0" w:space="0" w:color="auto"/>
        <w:bottom w:val="none" w:sz="0" w:space="0" w:color="auto"/>
        <w:right w:val="none" w:sz="0" w:space="0" w:color="auto"/>
      </w:divBdr>
      <w:divsChild>
        <w:div w:id="2094545241">
          <w:marLeft w:val="0"/>
          <w:marRight w:val="0"/>
          <w:marTop w:val="0"/>
          <w:marBottom w:val="200"/>
          <w:divBdr>
            <w:top w:val="none" w:sz="0" w:space="0" w:color="auto"/>
            <w:left w:val="none" w:sz="0" w:space="0" w:color="auto"/>
            <w:bottom w:val="none" w:sz="0" w:space="0" w:color="auto"/>
            <w:right w:val="none" w:sz="0" w:space="0" w:color="auto"/>
          </w:divBdr>
        </w:div>
      </w:divsChild>
    </w:div>
    <w:div w:id="569316233">
      <w:bodyDiv w:val="1"/>
      <w:marLeft w:val="0"/>
      <w:marRight w:val="0"/>
      <w:marTop w:val="0"/>
      <w:marBottom w:val="0"/>
      <w:divBdr>
        <w:top w:val="none" w:sz="0" w:space="0" w:color="auto"/>
        <w:left w:val="none" w:sz="0" w:space="0" w:color="auto"/>
        <w:bottom w:val="none" w:sz="0" w:space="0" w:color="auto"/>
        <w:right w:val="none" w:sz="0" w:space="0" w:color="auto"/>
      </w:divBdr>
    </w:div>
    <w:div w:id="585655140">
      <w:bodyDiv w:val="1"/>
      <w:marLeft w:val="0"/>
      <w:marRight w:val="0"/>
      <w:marTop w:val="0"/>
      <w:marBottom w:val="0"/>
      <w:divBdr>
        <w:top w:val="none" w:sz="0" w:space="0" w:color="auto"/>
        <w:left w:val="none" w:sz="0" w:space="0" w:color="auto"/>
        <w:bottom w:val="none" w:sz="0" w:space="0" w:color="auto"/>
        <w:right w:val="none" w:sz="0" w:space="0" w:color="auto"/>
      </w:divBdr>
    </w:div>
    <w:div w:id="589852816">
      <w:bodyDiv w:val="1"/>
      <w:marLeft w:val="0"/>
      <w:marRight w:val="0"/>
      <w:marTop w:val="0"/>
      <w:marBottom w:val="0"/>
      <w:divBdr>
        <w:top w:val="none" w:sz="0" w:space="0" w:color="auto"/>
        <w:left w:val="none" w:sz="0" w:space="0" w:color="auto"/>
        <w:bottom w:val="none" w:sz="0" w:space="0" w:color="auto"/>
        <w:right w:val="none" w:sz="0" w:space="0" w:color="auto"/>
      </w:divBdr>
      <w:divsChild>
        <w:div w:id="316685911">
          <w:marLeft w:val="0"/>
          <w:marRight w:val="0"/>
          <w:marTop w:val="0"/>
          <w:marBottom w:val="0"/>
          <w:divBdr>
            <w:top w:val="none" w:sz="0" w:space="0" w:color="auto"/>
            <w:left w:val="none" w:sz="0" w:space="0" w:color="auto"/>
            <w:bottom w:val="none" w:sz="0" w:space="0" w:color="auto"/>
            <w:right w:val="none" w:sz="0" w:space="0" w:color="auto"/>
          </w:divBdr>
        </w:div>
        <w:div w:id="407534318">
          <w:marLeft w:val="0"/>
          <w:marRight w:val="0"/>
          <w:marTop w:val="0"/>
          <w:marBottom w:val="0"/>
          <w:divBdr>
            <w:top w:val="none" w:sz="0" w:space="0" w:color="auto"/>
            <w:left w:val="none" w:sz="0" w:space="0" w:color="auto"/>
            <w:bottom w:val="none" w:sz="0" w:space="0" w:color="auto"/>
            <w:right w:val="none" w:sz="0" w:space="0" w:color="auto"/>
          </w:divBdr>
        </w:div>
        <w:div w:id="497354126">
          <w:marLeft w:val="0"/>
          <w:marRight w:val="0"/>
          <w:marTop w:val="0"/>
          <w:marBottom w:val="0"/>
          <w:divBdr>
            <w:top w:val="none" w:sz="0" w:space="0" w:color="auto"/>
            <w:left w:val="none" w:sz="0" w:space="0" w:color="auto"/>
            <w:bottom w:val="none" w:sz="0" w:space="0" w:color="auto"/>
            <w:right w:val="none" w:sz="0" w:space="0" w:color="auto"/>
          </w:divBdr>
        </w:div>
      </w:divsChild>
    </w:div>
    <w:div w:id="613054856">
      <w:bodyDiv w:val="1"/>
      <w:marLeft w:val="0"/>
      <w:marRight w:val="0"/>
      <w:marTop w:val="0"/>
      <w:marBottom w:val="0"/>
      <w:divBdr>
        <w:top w:val="none" w:sz="0" w:space="0" w:color="auto"/>
        <w:left w:val="none" w:sz="0" w:space="0" w:color="auto"/>
        <w:bottom w:val="none" w:sz="0" w:space="0" w:color="auto"/>
        <w:right w:val="none" w:sz="0" w:space="0" w:color="auto"/>
      </w:divBdr>
    </w:div>
    <w:div w:id="627054046">
      <w:bodyDiv w:val="1"/>
      <w:marLeft w:val="0"/>
      <w:marRight w:val="0"/>
      <w:marTop w:val="0"/>
      <w:marBottom w:val="0"/>
      <w:divBdr>
        <w:top w:val="none" w:sz="0" w:space="0" w:color="auto"/>
        <w:left w:val="none" w:sz="0" w:space="0" w:color="auto"/>
        <w:bottom w:val="none" w:sz="0" w:space="0" w:color="auto"/>
        <w:right w:val="none" w:sz="0" w:space="0" w:color="auto"/>
      </w:divBdr>
    </w:div>
    <w:div w:id="639841248">
      <w:bodyDiv w:val="1"/>
      <w:marLeft w:val="0"/>
      <w:marRight w:val="0"/>
      <w:marTop w:val="0"/>
      <w:marBottom w:val="0"/>
      <w:divBdr>
        <w:top w:val="none" w:sz="0" w:space="0" w:color="auto"/>
        <w:left w:val="none" w:sz="0" w:space="0" w:color="auto"/>
        <w:bottom w:val="none" w:sz="0" w:space="0" w:color="auto"/>
        <w:right w:val="none" w:sz="0" w:space="0" w:color="auto"/>
      </w:divBdr>
      <w:divsChild>
        <w:div w:id="443618506">
          <w:marLeft w:val="547"/>
          <w:marRight w:val="0"/>
          <w:marTop w:val="0"/>
          <w:marBottom w:val="0"/>
          <w:divBdr>
            <w:top w:val="none" w:sz="0" w:space="0" w:color="auto"/>
            <w:left w:val="none" w:sz="0" w:space="0" w:color="auto"/>
            <w:bottom w:val="none" w:sz="0" w:space="0" w:color="auto"/>
            <w:right w:val="none" w:sz="0" w:space="0" w:color="auto"/>
          </w:divBdr>
        </w:div>
        <w:div w:id="2046052646">
          <w:marLeft w:val="547"/>
          <w:marRight w:val="0"/>
          <w:marTop w:val="0"/>
          <w:marBottom w:val="0"/>
          <w:divBdr>
            <w:top w:val="none" w:sz="0" w:space="0" w:color="auto"/>
            <w:left w:val="none" w:sz="0" w:space="0" w:color="auto"/>
            <w:bottom w:val="none" w:sz="0" w:space="0" w:color="auto"/>
            <w:right w:val="none" w:sz="0" w:space="0" w:color="auto"/>
          </w:divBdr>
        </w:div>
        <w:div w:id="2137672236">
          <w:marLeft w:val="547"/>
          <w:marRight w:val="0"/>
          <w:marTop w:val="0"/>
          <w:marBottom w:val="0"/>
          <w:divBdr>
            <w:top w:val="none" w:sz="0" w:space="0" w:color="auto"/>
            <w:left w:val="none" w:sz="0" w:space="0" w:color="auto"/>
            <w:bottom w:val="none" w:sz="0" w:space="0" w:color="auto"/>
            <w:right w:val="none" w:sz="0" w:space="0" w:color="auto"/>
          </w:divBdr>
        </w:div>
      </w:divsChild>
    </w:div>
    <w:div w:id="641083626">
      <w:bodyDiv w:val="1"/>
      <w:marLeft w:val="0"/>
      <w:marRight w:val="0"/>
      <w:marTop w:val="0"/>
      <w:marBottom w:val="0"/>
      <w:divBdr>
        <w:top w:val="none" w:sz="0" w:space="0" w:color="auto"/>
        <w:left w:val="none" w:sz="0" w:space="0" w:color="auto"/>
        <w:bottom w:val="none" w:sz="0" w:space="0" w:color="auto"/>
        <w:right w:val="none" w:sz="0" w:space="0" w:color="auto"/>
      </w:divBdr>
    </w:div>
    <w:div w:id="652098533">
      <w:bodyDiv w:val="1"/>
      <w:marLeft w:val="0"/>
      <w:marRight w:val="0"/>
      <w:marTop w:val="0"/>
      <w:marBottom w:val="0"/>
      <w:divBdr>
        <w:top w:val="none" w:sz="0" w:space="0" w:color="auto"/>
        <w:left w:val="none" w:sz="0" w:space="0" w:color="auto"/>
        <w:bottom w:val="none" w:sz="0" w:space="0" w:color="auto"/>
        <w:right w:val="none" w:sz="0" w:space="0" w:color="auto"/>
      </w:divBdr>
      <w:divsChild>
        <w:div w:id="867567936">
          <w:marLeft w:val="0"/>
          <w:marRight w:val="0"/>
          <w:marTop w:val="0"/>
          <w:marBottom w:val="0"/>
          <w:divBdr>
            <w:top w:val="none" w:sz="0" w:space="0" w:color="auto"/>
            <w:left w:val="none" w:sz="0" w:space="0" w:color="auto"/>
            <w:bottom w:val="none" w:sz="0" w:space="0" w:color="auto"/>
            <w:right w:val="none" w:sz="0" w:space="0" w:color="auto"/>
          </w:divBdr>
        </w:div>
        <w:div w:id="885920595">
          <w:marLeft w:val="0"/>
          <w:marRight w:val="0"/>
          <w:marTop w:val="0"/>
          <w:marBottom w:val="0"/>
          <w:divBdr>
            <w:top w:val="none" w:sz="0" w:space="0" w:color="auto"/>
            <w:left w:val="none" w:sz="0" w:space="0" w:color="auto"/>
            <w:bottom w:val="none" w:sz="0" w:space="0" w:color="auto"/>
            <w:right w:val="none" w:sz="0" w:space="0" w:color="auto"/>
          </w:divBdr>
        </w:div>
        <w:div w:id="1442338496">
          <w:marLeft w:val="0"/>
          <w:marRight w:val="0"/>
          <w:marTop w:val="0"/>
          <w:marBottom w:val="0"/>
          <w:divBdr>
            <w:top w:val="none" w:sz="0" w:space="0" w:color="auto"/>
            <w:left w:val="none" w:sz="0" w:space="0" w:color="auto"/>
            <w:bottom w:val="none" w:sz="0" w:space="0" w:color="auto"/>
            <w:right w:val="none" w:sz="0" w:space="0" w:color="auto"/>
          </w:divBdr>
        </w:div>
        <w:div w:id="1516649187">
          <w:marLeft w:val="0"/>
          <w:marRight w:val="0"/>
          <w:marTop w:val="0"/>
          <w:marBottom w:val="0"/>
          <w:divBdr>
            <w:top w:val="none" w:sz="0" w:space="0" w:color="auto"/>
            <w:left w:val="none" w:sz="0" w:space="0" w:color="auto"/>
            <w:bottom w:val="none" w:sz="0" w:space="0" w:color="auto"/>
            <w:right w:val="none" w:sz="0" w:space="0" w:color="auto"/>
          </w:divBdr>
        </w:div>
      </w:divsChild>
    </w:div>
    <w:div w:id="669210777">
      <w:bodyDiv w:val="1"/>
      <w:marLeft w:val="0"/>
      <w:marRight w:val="0"/>
      <w:marTop w:val="0"/>
      <w:marBottom w:val="0"/>
      <w:divBdr>
        <w:top w:val="none" w:sz="0" w:space="0" w:color="auto"/>
        <w:left w:val="none" w:sz="0" w:space="0" w:color="auto"/>
        <w:bottom w:val="none" w:sz="0" w:space="0" w:color="auto"/>
        <w:right w:val="none" w:sz="0" w:space="0" w:color="auto"/>
      </w:divBdr>
    </w:div>
    <w:div w:id="670182912">
      <w:bodyDiv w:val="1"/>
      <w:marLeft w:val="0"/>
      <w:marRight w:val="0"/>
      <w:marTop w:val="0"/>
      <w:marBottom w:val="0"/>
      <w:divBdr>
        <w:top w:val="none" w:sz="0" w:space="0" w:color="auto"/>
        <w:left w:val="none" w:sz="0" w:space="0" w:color="auto"/>
        <w:bottom w:val="none" w:sz="0" w:space="0" w:color="auto"/>
        <w:right w:val="none" w:sz="0" w:space="0" w:color="auto"/>
      </w:divBdr>
    </w:div>
    <w:div w:id="689066963">
      <w:bodyDiv w:val="1"/>
      <w:marLeft w:val="0"/>
      <w:marRight w:val="0"/>
      <w:marTop w:val="0"/>
      <w:marBottom w:val="0"/>
      <w:divBdr>
        <w:top w:val="none" w:sz="0" w:space="0" w:color="auto"/>
        <w:left w:val="none" w:sz="0" w:space="0" w:color="auto"/>
        <w:bottom w:val="none" w:sz="0" w:space="0" w:color="auto"/>
        <w:right w:val="none" w:sz="0" w:space="0" w:color="auto"/>
      </w:divBdr>
    </w:div>
    <w:div w:id="702943733">
      <w:bodyDiv w:val="1"/>
      <w:marLeft w:val="0"/>
      <w:marRight w:val="0"/>
      <w:marTop w:val="0"/>
      <w:marBottom w:val="0"/>
      <w:divBdr>
        <w:top w:val="none" w:sz="0" w:space="0" w:color="auto"/>
        <w:left w:val="none" w:sz="0" w:space="0" w:color="auto"/>
        <w:bottom w:val="none" w:sz="0" w:space="0" w:color="auto"/>
        <w:right w:val="none" w:sz="0" w:space="0" w:color="auto"/>
      </w:divBdr>
    </w:div>
    <w:div w:id="718893934">
      <w:bodyDiv w:val="1"/>
      <w:marLeft w:val="0"/>
      <w:marRight w:val="0"/>
      <w:marTop w:val="0"/>
      <w:marBottom w:val="0"/>
      <w:divBdr>
        <w:top w:val="none" w:sz="0" w:space="0" w:color="auto"/>
        <w:left w:val="none" w:sz="0" w:space="0" w:color="auto"/>
        <w:bottom w:val="none" w:sz="0" w:space="0" w:color="auto"/>
        <w:right w:val="none" w:sz="0" w:space="0" w:color="auto"/>
      </w:divBdr>
    </w:div>
    <w:div w:id="740254913">
      <w:bodyDiv w:val="1"/>
      <w:marLeft w:val="0"/>
      <w:marRight w:val="0"/>
      <w:marTop w:val="0"/>
      <w:marBottom w:val="0"/>
      <w:divBdr>
        <w:top w:val="none" w:sz="0" w:space="0" w:color="auto"/>
        <w:left w:val="none" w:sz="0" w:space="0" w:color="auto"/>
        <w:bottom w:val="none" w:sz="0" w:space="0" w:color="auto"/>
        <w:right w:val="none" w:sz="0" w:space="0" w:color="auto"/>
      </w:divBdr>
      <w:divsChild>
        <w:div w:id="168646470">
          <w:marLeft w:val="0"/>
          <w:marRight w:val="0"/>
          <w:marTop w:val="120"/>
          <w:marBottom w:val="0"/>
          <w:divBdr>
            <w:top w:val="none" w:sz="0" w:space="0" w:color="auto"/>
            <w:left w:val="none" w:sz="0" w:space="0" w:color="auto"/>
            <w:bottom w:val="none" w:sz="0" w:space="0" w:color="auto"/>
            <w:right w:val="none" w:sz="0" w:space="0" w:color="auto"/>
          </w:divBdr>
        </w:div>
      </w:divsChild>
    </w:div>
    <w:div w:id="754713787">
      <w:bodyDiv w:val="1"/>
      <w:marLeft w:val="0"/>
      <w:marRight w:val="0"/>
      <w:marTop w:val="0"/>
      <w:marBottom w:val="0"/>
      <w:divBdr>
        <w:top w:val="none" w:sz="0" w:space="0" w:color="auto"/>
        <w:left w:val="none" w:sz="0" w:space="0" w:color="auto"/>
        <w:bottom w:val="none" w:sz="0" w:space="0" w:color="auto"/>
        <w:right w:val="none" w:sz="0" w:space="0" w:color="auto"/>
      </w:divBdr>
    </w:div>
    <w:div w:id="776483011">
      <w:bodyDiv w:val="1"/>
      <w:marLeft w:val="0"/>
      <w:marRight w:val="0"/>
      <w:marTop w:val="0"/>
      <w:marBottom w:val="0"/>
      <w:divBdr>
        <w:top w:val="none" w:sz="0" w:space="0" w:color="auto"/>
        <w:left w:val="none" w:sz="0" w:space="0" w:color="auto"/>
        <w:bottom w:val="none" w:sz="0" w:space="0" w:color="auto"/>
        <w:right w:val="none" w:sz="0" w:space="0" w:color="auto"/>
      </w:divBdr>
    </w:div>
    <w:div w:id="797996569">
      <w:bodyDiv w:val="1"/>
      <w:marLeft w:val="0"/>
      <w:marRight w:val="0"/>
      <w:marTop w:val="0"/>
      <w:marBottom w:val="0"/>
      <w:divBdr>
        <w:top w:val="none" w:sz="0" w:space="0" w:color="auto"/>
        <w:left w:val="none" w:sz="0" w:space="0" w:color="auto"/>
        <w:bottom w:val="none" w:sz="0" w:space="0" w:color="auto"/>
        <w:right w:val="none" w:sz="0" w:space="0" w:color="auto"/>
      </w:divBdr>
    </w:div>
    <w:div w:id="832143169">
      <w:bodyDiv w:val="1"/>
      <w:marLeft w:val="0"/>
      <w:marRight w:val="0"/>
      <w:marTop w:val="0"/>
      <w:marBottom w:val="0"/>
      <w:divBdr>
        <w:top w:val="none" w:sz="0" w:space="0" w:color="auto"/>
        <w:left w:val="none" w:sz="0" w:space="0" w:color="auto"/>
        <w:bottom w:val="none" w:sz="0" w:space="0" w:color="auto"/>
        <w:right w:val="none" w:sz="0" w:space="0" w:color="auto"/>
      </w:divBdr>
    </w:div>
    <w:div w:id="845095306">
      <w:bodyDiv w:val="1"/>
      <w:marLeft w:val="0"/>
      <w:marRight w:val="0"/>
      <w:marTop w:val="0"/>
      <w:marBottom w:val="0"/>
      <w:divBdr>
        <w:top w:val="none" w:sz="0" w:space="0" w:color="auto"/>
        <w:left w:val="none" w:sz="0" w:space="0" w:color="auto"/>
        <w:bottom w:val="none" w:sz="0" w:space="0" w:color="auto"/>
        <w:right w:val="none" w:sz="0" w:space="0" w:color="auto"/>
      </w:divBdr>
    </w:div>
    <w:div w:id="862398455">
      <w:bodyDiv w:val="1"/>
      <w:marLeft w:val="0"/>
      <w:marRight w:val="0"/>
      <w:marTop w:val="0"/>
      <w:marBottom w:val="0"/>
      <w:divBdr>
        <w:top w:val="none" w:sz="0" w:space="0" w:color="auto"/>
        <w:left w:val="none" w:sz="0" w:space="0" w:color="auto"/>
        <w:bottom w:val="none" w:sz="0" w:space="0" w:color="auto"/>
        <w:right w:val="none" w:sz="0" w:space="0" w:color="auto"/>
      </w:divBdr>
    </w:div>
    <w:div w:id="877468944">
      <w:bodyDiv w:val="1"/>
      <w:marLeft w:val="0"/>
      <w:marRight w:val="0"/>
      <w:marTop w:val="0"/>
      <w:marBottom w:val="0"/>
      <w:divBdr>
        <w:top w:val="none" w:sz="0" w:space="0" w:color="auto"/>
        <w:left w:val="none" w:sz="0" w:space="0" w:color="auto"/>
        <w:bottom w:val="none" w:sz="0" w:space="0" w:color="auto"/>
        <w:right w:val="none" w:sz="0" w:space="0" w:color="auto"/>
      </w:divBdr>
    </w:div>
    <w:div w:id="879824897">
      <w:bodyDiv w:val="1"/>
      <w:marLeft w:val="0"/>
      <w:marRight w:val="0"/>
      <w:marTop w:val="0"/>
      <w:marBottom w:val="0"/>
      <w:divBdr>
        <w:top w:val="none" w:sz="0" w:space="0" w:color="auto"/>
        <w:left w:val="none" w:sz="0" w:space="0" w:color="auto"/>
        <w:bottom w:val="none" w:sz="0" w:space="0" w:color="auto"/>
        <w:right w:val="none" w:sz="0" w:space="0" w:color="auto"/>
      </w:divBdr>
    </w:div>
    <w:div w:id="881987153">
      <w:bodyDiv w:val="1"/>
      <w:marLeft w:val="0"/>
      <w:marRight w:val="0"/>
      <w:marTop w:val="0"/>
      <w:marBottom w:val="0"/>
      <w:divBdr>
        <w:top w:val="none" w:sz="0" w:space="0" w:color="auto"/>
        <w:left w:val="none" w:sz="0" w:space="0" w:color="auto"/>
        <w:bottom w:val="none" w:sz="0" w:space="0" w:color="auto"/>
        <w:right w:val="none" w:sz="0" w:space="0" w:color="auto"/>
      </w:divBdr>
    </w:div>
    <w:div w:id="923414094">
      <w:bodyDiv w:val="1"/>
      <w:marLeft w:val="0"/>
      <w:marRight w:val="0"/>
      <w:marTop w:val="0"/>
      <w:marBottom w:val="0"/>
      <w:divBdr>
        <w:top w:val="none" w:sz="0" w:space="0" w:color="auto"/>
        <w:left w:val="none" w:sz="0" w:space="0" w:color="auto"/>
        <w:bottom w:val="none" w:sz="0" w:space="0" w:color="auto"/>
        <w:right w:val="none" w:sz="0" w:space="0" w:color="auto"/>
      </w:divBdr>
    </w:div>
    <w:div w:id="927228052">
      <w:bodyDiv w:val="1"/>
      <w:marLeft w:val="0"/>
      <w:marRight w:val="0"/>
      <w:marTop w:val="0"/>
      <w:marBottom w:val="0"/>
      <w:divBdr>
        <w:top w:val="none" w:sz="0" w:space="0" w:color="auto"/>
        <w:left w:val="none" w:sz="0" w:space="0" w:color="auto"/>
        <w:bottom w:val="none" w:sz="0" w:space="0" w:color="auto"/>
        <w:right w:val="none" w:sz="0" w:space="0" w:color="auto"/>
      </w:divBdr>
    </w:div>
    <w:div w:id="934090247">
      <w:bodyDiv w:val="1"/>
      <w:marLeft w:val="0"/>
      <w:marRight w:val="0"/>
      <w:marTop w:val="0"/>
      <w:marBottom w:val="0"/>
      <w:divBdr>
        <w:top w:val="none" w:sz="0" w:space="0" w:color="auto"/>
        <w:left w:val="none" w:sz="0" w:space="0" w:color="auto"/>
        <w:bottom w:val="none" w:sz="0" w:space="0" w:color="auto"/>
        <w:right w:val="none" w:sz="0" w:space="0" w:color="auto"/>
      </w:divBdr>
    </w:div>
    <w:div w:id="979576916">
      <w:bodyDiv w:val="1"/>
      <w:marLeft w:val="0"/>
      <w:marRight w:val="0"/>
      <w:marTop w:val="0"/>
      <w:marBottom w:val="0"/>
      <w:divBdr>
        <w:top w:val="none" w:sz="0" w:space="0" w:color="auto"/>
        <w:left w:val="none" w:sz="0" w:space="0" w:color="auto"/>
        <w:bottom w:val="none" w:sz="0" w:space="0" w:color="auto"/>
        <w:right w:val="none" w:sz="0" w:space="0" w:color="auto"/>
      </w:divBdr>
    </w:div>
    <w:div w:id="982462620">
      <w:bodyDiv w:val="1"/>
      <w:marLeft w:val="0"/>
      <w:marRight w:val="0"/>
      <w:marTop w:val="0"/>
      <w:marBottom w:val="0"/>
      <w:divBdr>
        <w:top w:val="none" w:sz="0" w:space="0" w:color="auto"/>
        <w:left w:val="none" w:sz="0" w:space="0" w:color="auto"/>
        <w:bottom w:val="none" w:sz="0" w:space="0" w:color="auto"/>
        <w:right w:val="none" w:sz="0" w:space="0" w:color="auto"/>
      </w:divBdr>
    </w:div>
    <w:div w:id="983268113">
      <w:bodyDiv w:val="1"/>
      <w:marLeft w:val="0"/>
      <w:marRight w:val="0"/>
      <w:marTop w:val="0"/>
      <w:marBottom w:val="0"/>
      <w:divBdr>
        <w:top w:val="none" w:sz="0" w:space="0" w:color="auto"/>
        <w:left w:val="none" w:sz="0" w:space="0" w:color="auto"/>
        <w:bottom w:val="none" w:sz="0" w:space="0" w:color="auto"/>
        <w:right w:val="none" w:sz="0" w:space="0" w:color="auto"/>
      </w:divBdr>
      <w:divsChild>
        <w:div w:id="120340741">
          <w:marLeft w:val="0"/>
          <w:marRight w:val="0"/>
          <w:marTop w:val="0"/>
          <w:marBottom w:val="0"/>
          <w:divBdr>
            <w:top w:val="none" w:sz="0" w:space="0" w:color="auto"/>
            <w:left w:val="none" w:sz="0" w:space="0" w:color="auto"/>
            <w:bottom w:val="none" w:sz="0" w:space="0" w:color="auto"/>
            <w:right w:val="none" w:sz="0" w:space="0" w:color="auto"/>
          </w:divBdr>
        </w:div>
        <w:div w:id="408120491">
          <w:marLeft w:val="0"/>
          <w:marRight w:val="0"/>
          <w:marTop w:val="0"/>
          <w:marBottom w:val="0"/>
          <w:divBdr>
            <w:top w:val="none" w:sz="0" w:space="0" w:color="auto"/>
            <w:left w:val="none" w:sz="0" w:space="0" w:color="auto"/>
            <w:bottom w:val="none" w:sz="0" w:space="0" w:color="auto"/>
            <w:right w:val="none" w:sz="0" w:space="0" w:color="auto"/>
          </w:divBdr>
        </w:div>
        <w:div w:id="1722746892">
          <w:marLeft w:val="0"/>
          <w:marRight w:val="0"/>
          <w:marTop w:val="0"/>
          <w:marBottom w:val="0"/>
          <w:divBdr>
            <w:top w:val="none" w:sz="0" w:space="0" w:color="auto"/>
            <w:left w:val="none" w:sz="0" w:space="0" w:color="auto"/>
            <w:bottom w:val="none" w:sz="0" w:space="0" w:color="auto"/>
            <w:right w:val="none" w:sz="0" w:space="0" w:color="auto"/>
          </w:divBdr>
        </w:div>
      </w:divsChild>
    </w:div>
    <w:div w:id="1014771358">
      <w:bodyDiv w:val="1"/>
      <w:marLeft w:val="0"/>
      <w:marRight w:val="0"/>
      <w:marTop w:val="0"/>
      <w:marBottom w:val="0"/>
      <w:divBdr>
        <w:top w:val="none" w:sz="0" w:space="0" w:color="auto"/>
        <w:left w:val="none" w:sz="0" w:space="0" w:color="auto"/>
        <w:bottom w:val="none" w:sz="0" w:space="0" w:color="auto"/>
        <w:right w:val="none" w:sz="0" w:space="0" w:color="auto"/>
      </w:divBdr>
    </w:div>
    <w:div w:id="1031541046">
      <w:bodyDiv w:val="1"/>
      <w:marLeft w:val="0"/>
      <w:marRight w:val="0"/>
      <w:marTop w:val="0"/>
      <w:marBottom w:val="0"/>
      <w:divBdr>
        <w:top w:val="none" w:sz="0" w:space="0" w:color="auto"/>
        <w:left w:val="none" w:sz="0" w:space="0" w:color="auto"/>
        <w:bottom w:val="none" w:sz="0" w:space="0" w:color="auto"/>
        <w:right w:val="none" w:sz="0" w:space="0" w:color="auto"/>
      </w:divBdr>
    </w:div>
    <w:div w:id="1044914011">
      <w:bodyDiv w:val="1"/>
      <w:marLeft w:val="0"/>
      <w:marRight w:val="0"/>
      <w:marTop w:val="0"/>
      <w:marBottom w:val="0"/>
      <w:divBdr>
        <w:top w:val="none" w:sz="0" w:space="0" w:color="auto"/>
        <w:left w:val="none" w:sz="0" w:space="0" w:color="auto"/>
        <w:bottom w:val="none" w:sz="0" w:space="0" w:color="auto"/>
        <w:right w:val="none" w:sz="0" w:space="0" w:color="auto"/>
      </w:divBdr>
      <w:divsChild>
        <w:div w:id="543297262">
          <w:marLeft w:val="547"/>
          <w:marRight w:val="0"/>
          <w:marTop w:val="0"/>
          <w:marBottom w:val="0"/>
          <w:divBdr>
            <w:top w:val="none" w:sz="0" w:space="0" w:color="auto"/>
            <w:left w:val="none" w:sz="0" w:space="0" w:color="auto"/>
            <w:bottom w:val="none" w:sz="0" w:space="0" w:color="auto"/>
            <w:right w:val="none" w:sz="0" w:space="0" w:color="auto"/>
          </w:divBdr>
        </w:div>
        <w:div w:id="1194541429">
          <w:marLeft w:val="547"/>
          <w:marRight w:val="0"/>
          <w:marTop w:val="0"/>
          <w:marBottom w:val="0"/>
          <w:divBdr>
            <w:top w:val="none" w:sz="0" w:space="0" w:color="auto"/>
            <w:left w:val="none" w:sz="0" w:space="0" w:color="auto"/>
            <w:bottom w:val="none" w:sz="0" w:space="0" w:color="auto"/>
            <w:right w:val="none" w:sz="0" w:space="0" w:color="auto"/>
          </w:divBdr>
        </w:div>
      </w:divsChild>
    </w:div>
    <w:div w:id="1054738598">
      <w:bodyDiv w:val="1"/>
      <w:marLeft w:val="0"/>
      <w:marRight w:val="0"/>
      <w:marTop w:val="0"/>
      <w:marBottom w:val="0"/>
      <w:divBdr>
        <w:top w:val="none" w:sz="0" w:space="0" w:color="auto"/>
        <w:left w:val="none" w:sz="0" w:space="0" w:color="auto"/>
        <w:bottom w:val="none" w:sz="0" w:space="0" w:color="auto"/>
        <w:right w:val="none" w:sz="0" w:space="0" w:color="auto"/>
      </w:divBdr>
    </w:div>
    <w:div w:id="1065376750">
      <w:bodyDiv w:val="1"/>
      <w:marLeft w:val="0"/>
      <w:marRight w:val="0"/>
      <w:marTop w:val="0"/>
      <w:marBottom w:val="0"/>
      <w:divBdr>
        <w:top w:val="none" w:sz="0" w:space="0" w:color="auto"/>
        <w:left w:val="none" w:sz="0" w:space="0" w:color="auto"/>
        <w:bottom w:val="none" w:sz="0" w:space="0" w:color="auto"/>
        <w:right w:val="none" w:sz="0" w:space="0" w:color="auto"/>
      </w:divBdr>
    </w:div>
    <w:div w:id="1079254806">
      <w:bodyDiv w:val="1"/>
      <w:marLeft w:val="0"/>
      <w:marRight w:val="0"/>
      <w:marTop w:val="0"/>
      <w:marBottom w:val="0"/>
      <w:divBdr>
        <w:top w:val="none" w:sz="0" w:space="0" w:color="auto"/>
        <w:left w:val="none" w:sz="0" w:space="0" w:color="auto"/>
        <w:bottom w:val="none" w:sz="0" w:space="0" w:color="auto"/>
        <w:right w:val="none" w:sz="0" w:space="0" w:color="auto"/>
      </w:divBdr>
    </w:div>
    <w:div w:id="1080759256">
      <w:bodyDiv w:val="1"/>
      <w:marLeft w:val="0"/>
      <w:marRight w:val="0"/>
      <w:marTop w:val="0"/>
      <w:marBottom w:val="0"/>
      <w:divBdr>
        <w:top w:val="none" w:sz="0" w:space="0" w:color="auto"/>
        <w:left w:val="none" w:sz="0" w:space="0" w:color="auto"/>
        <w:bottom w:val="none" w:sz="0" w:space="0" w:color="auto"/>
        <w:right w:val="none" w:sz="0" w:space="0" w:color="auto"/>
      </w:divBdr>
    </w:div>
    <w:div w:id="1116876080">
      <w:bodyDiv w:val="1"/>
      <w:marLeft w:val="0"/>
      <w:marRight w:val="0"/>
      <w:marTop w:val="0"/>
      <w:marBottom w:val="0"/>
      <w:divBdr>
        <w:top w:val="none" w:sz="0" w:space="0" w:color="auto"/>
        <w:left w:val="none" w:sz="0" w:space="0" w:color="auto"/>
        <w:bottom w:val="none" w:sz="0" w:space="0" w:color="auto"/>
        <w:right w:val="none" w:sz="0" w:space="0" w:color="auto"/>
      </w:divBdr>
    </w:div>
    <w:div w:id="1128936396">
      <w:bodyDiv w:val="1"/>
      <w:marLeft w:val="0"/>
      <w:marRight w:val="0"/>
      <w:marTop w:val="0"/>
      <w:marBottom w:val="0"/>
      <w:divBdr>
        <w:top w:val="none" w:sz="0" w:space="0" w:color="auto"/>
        <w:left w:val="none" w:sz="0" w:space="0" w:color="auto"/>
        <w:bottom w:val="none" w:sz="0" w:space="0" w:color="auto"/>
        <w:right w:val="none" w:sz="0" w:space="0" w:color="auto"/>
      </w:divBdr>
    </w:div>
    <w:div w:id="1131558989">
      <w:bodyDiv w:val="1"/>
      <w:marLeft w:val="0"/>
      <w:marRight w:val="0"/>
      <w:marTop w:val="0"/>
      <w:marBottom w:val="0"/>
      <w:divBdr>
        <w:top w:val="none" w:sz="0" w:space="0" w:color="auto"/>
        <w:left w:val="none" w:sz="0" w:space="0" w:color="auto"/>
        <w:bottom w:val="none" w:sz="0" w:space="0" w:color="auto"/>
        <w:right w:val="none" w:sz="0" w:space="0" w:color="auto"/>
      </w:divBdr>
      <w:divsChild>
        <w:div w:id="21785074">
          <w:marLeft w:val="0"/>
          <w:marRight w:val="0"/>
          <w:marTop w:val="0"/>
          <w:marBottom w:val="0"/>
          <w:divBdr>
            <w:top w:val="none" w:sz="0" w:space="0" w:color="auto"/>
            <w:left w:val="none" w:sz="0" w:space="0" w:color="auto"/>
            <w:bottom w:val="none" w:sz="0" w:space="0" w:color="auto"/>
            <w:right w:val="none" w:sz="0" w:space="0" w:color="auto"/>
          </w:divBdr>
        </w:div>
        <w:div w:id="116340039">
          <w:marLeft w:val="0"/>
          <w:marRight w:val="0"/>
          <w:marTop w:val="0"/>
          <w:marBottom w:val="0"/>
          <w:divBdr>
            <w:top w:val="none" w:sz="0" w:space="0" w:color="auto"/>
            <w:left w:val="none" w:sz="0" w:space="0" w:color="auto"/>
            <w:bottom w:val="none" w:sz="0" w:space="0" w:color="auto"/>
            <w:right w:val="none" w:sz="0" w:space="0" w:color="auto"/>
          </w:divBdr>
        </w:div>
        <w:div w:id="165904230">
          <w:marLeft w:val="0"/>
          <w:marRight w:val="0"/>
          <w:marTop w:val="0"/>
          <w:marBottom w:val="0"/>
          <w:divBdr>
            <w:top w:val="none" w:sz="0" w:space="0" w:color="auto"/>
            <w:left w:val="none" w:sz="0" w:space="0" w:color="auto"/>
            <w:bottom w:val="none" w:sz="0" w:space="0" w:color="auto"/>
            <w:right w:val="none" w:sz="0" w:space="0" w:color="auto"/>
          </w:divBdr>
        </w:div>
        <w:div w:id="352656806">
          <w:marLeft w:val="0"/>
          <w:marRight w:val="0"/>
          <w:marTop w:val="0"/>
          <w:marBottom w:val="0"/>
          <w:divBdr>
            <w:top w:val="none" w:sz="0" w:space="0" w:color="auto"/>
            <w:left w:val="none" w:sz="0" w:space="0" w:color="auto"/>
            <w:bottom w:val="none" w:sz="0" w:space="0" w:color="auto"/>
            <w:right w:val="none" w:sz="0" w:space="0" w:color="auto"/>
          </w:divBdr>
        </w:div>
        <w:div w:id="423377899">
          <w:marLeft w:val="0"/>
          <w:marRight w:val="0"/>
          <w:marTop w:val="0"/>
          <w:marBottom w:val="0"/>
          <w:divBdr>
            <w:top w:val="none" w:sz="0" w:space="0" w:color="auto"/>
            <w:left w:val="none" w:sz="0" w:space="0" w:color="auto"/>
            <w:bottom w:val="none" w:sz="0" w:space="0" w:color="auto"/>
            <w:right w:val="none" w:sz="0" w:space="0" w:color="auto"/>
          </w:divBdr>
        </w:div>
        <w:div w:id="492919496">
          <w:marLeft w:val="0"/>
          <w:marRight w:val="0"/>
          <w:marTop w:val="0"/>
          <w:marBottom w:val="0"/>
          <w:divBdr>
            <w:top w:val="none" w:sz="0" w:space="0" w:color="auto"/>
            <w:left w:val="none" w:sz="0" w:space="0" w:color="auto"/>
            <w:bottom w:val="none" w:sz="0" w:space="0" w:color="auto"/>
            <w:right w:val="none" w:sz="0" w:space="0" w:color="auto"/>
          </w:divBdr>
        </w:div>
        <w:div w:id="572547149">
          <w:marLeft w:val="0"/>
          <w:marRight w:val="0"/>
          <w:marTop w:val="0"/>
          <w:marBottom w:val="0"/>
          <w:divBdr>
            <w:top w:val="none" w:sz="0" w:space="0" w:color="auto"/>
            <w:left w:val="none" w:sz="0" w:space="0" w:color="auto"/>
            <w:bottom w:val="none" w:sz="0" w:space="0" w:color="auto"/>
            <w:right w:val="none" w:sz="0" w:space="0" w:color="auto"/>
          </w:divBdr>
        </w:div>
        <w:div w:id="702285861">
          <w:marLeft w:val="0"/>
          <w:marRight w:val="0"/>
          <w:marTop w:val="0"/>
          <w:marBottom w:val="0"/>
          <w:divBdr>
            <w:top w:val="none" w:sz="0" w:space="0" w:color="auto"/>
            <w:left w:val="none" w:sz="0" w:space="0" w:color="auto"/>
            <w:bottom w:val="none" w:sz="0" w:space="0" w:color="auto"/>
            <w:right w:val="none" w:sz="0" w:space="0" w:color="auto"/>
          </w:divBdr>
        </w:div>
        <w:div w:id="750081647">
          <w:marLeft w:val="0"/>
          <w:marRight w:val="0"/>
          <w:marTop w:val="0"/>
          <w:marBottom w:val="0"/>
          <w:divBdr>
            <w:top w:val="none" w:sz="0" w:space="0" w:color="auto"/>
            <w:left w:val="none" w:sz="0" w:space="0" w:color="auto"/>
            <w:bottom w:val="none" w:sz="0" w:space="0" w:color="auto"/>
            <w:right w:val="none" w:sz="0" w:space="0" w:color="auto"/>
          </w:divBdr>
        </w:div>
        <w:div w:id="936713869">
          <w:marLeft w:val="0"/>
          <w:marRight w:val="0"/>
          <w:marTop w:val="0"/>
          <w:marBottom w:val="0"/>
          <w:divBdr>
            <w:top w:val="none" w:sz="0" w:space="0" w:color="auto"/>
            <w:left w:val="none" w:sz="0" w:space="0" w:color="auto"/>
            <w:bottom w:val="none" w:sz="0" w:space="0" w:color="auto"/>
            <w:right w:val="none" w:sz="0" w:space="0" w:color="auto"/>
          </w:divBdr>
        </w:div>
        <w:div w:id="1396246354">
          <w:marLeft w:val="0"/>
          <w:marRight w:val="0"/>
          <w:marTop w:val="0"/>
          <w:marBottom w:val="0"/>
          <w:divBdr>
            <w:top w:val="none" w:sz="0" w:space="0" w:color="auto"/>
            <w:left w:val="none" w:sz="0" w:space="0" w:color="auto"/>
            <w:bottom w:val="none" w:sz="0" w:space="0" w:color="auto"/>
            <w:right w:val="none" w:sz="0" w:space="0" w:color="auto"/>
          </w:divBdr>
        </w:div>
        <w:div w:id="1419136263">
          <w:marLeft w:val="0"/>
          <w:marRight w:val="0"/>
          <w:marTop w:val="0"/>
          <w:marBottom w:val="0"/>
          <w:divBdr>
            <w:top w:val="none" w:sz="0" w:space="0" w:color="auto"/>
            <w:left w:val="none" w:sz="0" w:space="0" w:color="auto"/>
            <w:bottom w:val="none" w:sz="0" w:space="0" w:color="auto"/>
            <w:right w:val="none" w:sz="0" w:space="0" w:color="auto"/>
          </w:divBdr>
        </w:div>
        <w:div w:id="1420298224">
          <w:marLeft w:val="0"/>
          <w:marRight w:val="0"/>
          <w:marTop w:val="0"/>
          <w:marBottom w:val="0"/>
          <w:divBdr>
            <w:top w:val="none" w:sz="0" w:space="0" w:color="auto"/>
            <w:left w:val="none" w:sz="0" w:space="0" w:color="auto"/>
            <w:bottom w:val="none" w:sz="0" w:space="0" w:color="auto"/>
            <w:right w:val="none" w:sz="0" w:space="0" w:color="auto"/>
          </w:divBdr>
        </w:div>
        <w:div w:id="1831286760">
          <w:marLeft w:val="0"/>
          <w:marRight w:val="0"/>
          <w:marTop w:val="0"/>
          <w:marBottom w:val="0"/>
          <w:divBdr>
            <w:top w:val="none" w:sz="0" w:space="0" w:color="auto"/>
            <w:left w:val="none" w:sz="0" w:space="0" w:color="auto"/>
            <w:bottom w:val="none" w:sz="0" w:space="0" w:color="auto"/>
            <w:right w:val="none" w:sz="0" w:space="0" w:color="auto"/>
          </w:divBdr>
        </w:div>
        <w:div w:id="2015303321">
          <w:marLeft w:val="0"/>
          <w:marRight w:val="0"/>
          <w:marTop w:val="0"/>
          <w:marBottom w:val="0"/>
          <w:divBdr>
            <w:top w:val="none" w:sz="0" w:space="0" w:color="auto"/>
            <w:left w:val="none" w:sz="0" w:space="0" w:color="auto"/>
            <w:bottom w:val="none" w:sz="0" w:space="0" w:color="auto"/>
            <w:right w:val="none" w:sz="0" w:space="0" w:color="auto"/>
          </w:divBdr>
        </w:div>
        <w:div w:id="2127500137">
          <w:marLeft w:val="0"/>
          <w:marRight w:val="0"/>
          <w:marTop w:val="0"/>
          <w:marBottom w:val="0"/>
          <w:divBdr>
            <w:top w:val="none" w:sz="0" w:space="0" w:color="auto"/>
            <w:left w:val="none" w:sz="0" w:space="0" w:color="auto"/>
            <w:bottom w:val="none" w:sz="0" w:space="0" w:color="auto"/>
            <w:right w:val="none" w:sz="0" w:space="0" w:color="auto"/>
          </w:divBdr>
        </w:div>
      </w:divsChild>
    </w:div>
    <w:div w:id="1135292536">
      <w:bodyDiv w:val="1"/>
      <w:marLeft w:val="0"/>
      <w:marRight w:val="0"/>
      <w:marTop w:val="0"/>
      <w:marBottom w:val="0"/>
      <w:divBdr>
        <w:top w:val="none" w:sz="0" w:space="0" w:color="auto"/>
        <w:left w:val="none" w:sz="0" w:space="0" w:color="auto"/>
        <w:bottom w:val="none" w:sz="0" w:space="0" w:color="auto"/>
        <w:right w:val="none" w:sz="0" w:space="0" w:color="auto"/>
      </w:divBdr>
    </w:div>
    <w:div w:id="1140004574">
      <w:bodyDiv w:val="1"/>
      <w:marLeft w:val="0"/>
      <w:marRight w:val="0"/>
      <w:marTop w:val="0"/>
      <w:marBottom w:val="0"/>
      <w:divBdr>
        <w:top w:val="none" w:sz="0" w:space="0" w:color="auto"/>
        <w:left w:val="none" w:sz="0" w:space="0" w:color="auto"/>
        <w:bottom w:val="none" w:sz="0" w:space="0" w:color="auto"/>
        <w:right w:val="none" w:sz="0" w:space="0" w:color="auto"/>
      </w:divBdr>
      <w:divsChild>
        <w:div w:id="1609660836">
          <w:marLeft w:val="0"/>
          <w:marRight w:val="0"/>
          <w:marTop w:val="0"/>
          <w:marBottom w:val="0"/>
          <w:divBdr>
            <w:top w:val="none" w:sz="0" w:space="0" w:color="auto"/>
            <w:left w:val="none" w:sz="0" w:space="0" w:color="auto"/>
            <w:bottom w:val="none" w:sz="0" w:space="0" w:color="auto"/>
            <w:right w:val="none" w:sz="0" w:space="0" w:color="auto"/>
          </w:divBdr>
        </w:div>
      </w:divsChild>
    </w:div>
    <w:div w:id="1153793732">
      <w:bodyDiv w:val="1"/>
      <w:marLeft w:val="0"/>
      <w:marRight w:val="0"/>
      <w:marTop w:val="0"/>
      <w:marBottom w:val="0"/>
      <w:divBdr>
        <w:top w:val="none" w:sz="0" w:space="0" w:color="auto"/>
        <w:left w:val="none" w:sz="0" w:space="0" w:color="auto"/>
        <w:bottom w:val="none" w:sz="0" w:space="0" w:color="auto"/>
        <w:right w:val="none" w:sz="0" w:space="0" w:color="auto"/>
      </w:divBdr>
      <w:divsChild>
        <w:div w:id="42991804">
          <w:marLeft w:val="0"/>
          <w:marRight w:val="0"/>
          <w:marTop w:val="0"/>
          <w:marBottom w:val="0"/>
          <w:divBdr>
            <w:top w:val="none" w:sz="0" w:space="0" w:color="auto"/>
            <w:left w:val="none" w:sz="0" w:space="0" w:color="auto"/>
            <w:bottom w:val="none" w:sz="0" w:space="0" w:color="auto"/>
            <w:right w:val="none" w:sz="0" w:space="0" w:color="auto"/>
          </w:divBdr>
        </w:div>
        <w:div w:id="395670656">
          <w:marLeft w:val="0"/>
          <w:marRight w:val="0"/>
          <w:marTop w:val="0"/>
          <w:marBottom w:val="0"/>
          <w:divBdr>
            <w:top w:val="none" w:sz="0" w:space="0" w:color="auto"/>
            <w:left w:val="none" w:sz="0" w:space="0" w:color="auto"/>
            <w:bottom w:val="none" w:sz="0" w:space="0" w:color="auto"/>
            <w:right w:val="none" w:sz="0" w:space="0" w:color="auto"/>
          </w:divBdr>
        </w:div>
        <w:div w:id="535894701">
          <w:marLeft w:val="0"/>
          <w:marRight w:val="0"/>
          <w:marTop w:val="0"/>
          <w:marBottom w:val="0"/>
          <w:divBdr>
            <w:top w:val="none" w:sz="0" w:space="0" w:color="auto"/>
            <w:left w:val="none" w:sz="0" w:space="0" w:color="auto"/>
            <w:bottom w:val="none" w:sz="0" w:space="0" w:color="auto"/>
            <w:right w:val="none" w:sz="0" w:space="0" w:color="auto"/>
          </w:divBdr>
        </w:div>
        <w:div w:id="737165036">
          <w:marLeft w:val="0"/>
          <w:marRight w:val="0"/>
          <w:marTop w:val="0"/>
          <w:marBottom w:val="0"/>
          <w:divBdr>
            <w:top w:val="none" w:sz="0" w:space="0" w:color="auto"/>
            <w:left w:val="none" w:sz="0" w:space="0" w:color="auto"/>
            <w:bottom w:val="none" w:sz="0" w:space="0" w:color="auto"/>
            <w:right w:val="none" w:sz="0" w:space="0" w:color="auto"/>
          </w:divBdr>
        </w:div>
        <w:div w:id="854610508">
          <w:marLeft w:val="0"/>
          <w:marRight w:val="0"/>
          <w:marTop w:val="0"/>
          <w:marBottom w:val="0"/>
          <w:divBdr>
            <w:top w:val="none" w:sz="0" w:space="0" w:color="auto"/>
            <w:left w:val="none" w:sz="0" w:space="0" w:color="auto"/>
            <w:bottom w:val="none" w:sz="0" w:space="0" w:color="auto"/>
            <w:right w:val="none" w:sz="0" w:space="0" w:color="auto"/>
          </w:divBdr>
        </w:div>
        <w:div w:id="1283730289">
          <w:marLeft w:val="0"/>
          <w:marRight w:val="0"/>
          <w:marTop w:val="0"/>
          <w:marBottom w:val="0"/>
          <w:divBdr>
            <w:top w:val="none" w:sz="0" w:space="0" w:color="auto"/>
            <w:left w:val="none" w:sz="0" w:space="0" w:color="auto"/>
            <w:bottom w:val="none" w:sz="0" w:space="0" w:color="auto"/>
            <w:right w:val="none" w:sz="0" w:space="0" w:color="auto"/>
          </w:divBdr>
        </w:div>
        <w:div w:id="1487352956">
          <w:marLeft w:val="0"/>
          <w:marRight w:val="0"/>
          <w:marTop w:val="0"/>
          <w:marBottom w:val="0"/>
          <w:divBdr>
            <w:top w:val="none" w:sz="0" w:space="0" w:color="auto"/>
            <w:left w:val="none" w:sz="0" w:space="0" w:color="auto"/>
            <w:bottom w:val="none" w:sz="0" w:space="0" w:color="auto"/>
            <w:right w:val="none" w:sz="0" w:space="0" w:color="auto"/>
          </w:divBdr>
        </w:div>
        <w:div w:id="1509632588">
          <w:marLeft w:val="0"/>
          <w:marRight w:val="0"/>
          <w:marTop w:val="0"/>
          <w:marBottom w:val="0"/>
          <w:divBdr>
            <w:top w:val="none" w:sz="0" w:space="0" w:color="auto"/>
            <w:left w:val="none" w:sz="0" w:space="0" w:color="auto"/>
            <w:bottom w:val="none" w:sz="0" w:space="0" w:color="auto"/>
            <w:right w:val="none" w:sz="0" w:space="0" w:color="auto"/>
          </w:divBdr>
        </w:div>
        <w:div w:id="1924487113">
          <w:marLeft w:val="0"/>
          <w:marRight w:val="0"/>
          <w:marTop w:val="0"/>
          <w:marBottom w:val="0"/>
          <w:divBdr>
            <w:top w:val="none" w:sz="0" w:space="0" w:color="auto"/>
            <w:left w:val="none" w:sz="0" w:space="0" w:color="auto"/>
            <w:bottom w:val="none" w:sz="0" w:space="0" w:color="auto"/>
            <w:right w:val="none" w:sz="0" w:space="0" w:color="auto"/>
          </w:divBdr>
        </w:div>
        <w:div w:id="1962687927">
          <w:marLeft w:val="0"/>
          <w:marRight w:val="0"/>
          <w:marTop w:val="0"/>
          <w:marBottom w:val="0"/>
          <w:divBdr>
            <w:top w:val="none" w:sz="0" w:space="0" w:color="auto"/>
            <w:left w:val="none" w:sz="0" w:space="0" w:color="auto"/>
            <w:bottom w:val="none" w:sz="0" w:space="0" w:color="auto"/>
            <w:right w:val="none" w:sz="0" w:space="0" w:color="auto"/>
          </w:divBdr>
        </w:div>
        <w:div w:id="2138447520">
          <w:marLeft w:val="0"/>
          <w:marRight w:val="0"/>
          <w:marTop w:val="0"/>
          <w:marBottom w:val="0"/>
          <w:divBdr>
            <w:top w:val="none" w:sz="0" w:space="0" w:color="auto"/>
            <w:left w:val="none" w:sz="0" w:space="0" w:color="auto"/>
            <w:bottom w:val="none" w:sz="0" w:space="0" w:color="auto"/>
            <w:right w:val="none" w:sz="0" w:space="0" w:color="auto"/>
          </w:divBdr>
        </w:div>
      </w:divsChild>
    </w:div>
    <w:div w:id="1167746591">
      <w:bodyDiv w:val="1"/>
      <w:marLeft w:val="0"/>
      <w:marRight w:val="0"/>
      <w:marTop w:val="0"/>
      <w:marBottom w:val="0"/>
      <w:divBdr>
        <w:top w:val="none" w:sz="0" w:space="0" w:color="auto"/>
        <w:left w:val="none" w:sz="0" w:space="0" w:color="auto"/>
        <w:bottom w:val="none" w:sz="0" w:space="0" w:color="auto"/>
        <w:right w:val="none" w:sz="0" w:space="0" w:color="auto"/>
      </w:divBdr>
    </w:div>
    <w:div w:id="1193149156">
      <w:bodyDiv w:val="1"/>
      <w:marLeft w:val="0"/>
      <w:marRight w:val="0"/>
      <w:marTop w:val="0"/>
      <w:marBottom w:val="0"/>
      <w:divBdr>
        <w:top w:val="none" w:sz="0" w:space="0" w:color="auto"/>
        <w:left w:val="none" w:sz="0" w:space="0" w:color="auto"/>
        <w:bottom w:val="none" w:sz="0" w:space="0" w:color="auto"/>
        <w:right w:val="none" w:sz="0" w:space="0" w:color="auto"/>
      </w:divBdr>
    </w:div>
    <w:div w:id="1193422538">
      <w:bodyDiv w:val="1"/>
      <w:marLeft w:val="0"/>
      <w:marRight w:val="0"/>
      <w:marTop w:val="0"/>
      <w:marBottom w:val="0"/>
      <w:divBdr>
        <w:top w:val="none" w:sz="0" w:space="0" w:color="auto"/>
        <w:left w:val="none" w:sz="0" w:space="0" w:color="auto"/>
        <w:bottom w:val="none" w:sz="0" w:space="0" w:color="auto"/>
        <w:right w:val="none" w:sz="0" w:space="0" w:color="auto"/>
      </w:divBdr>
    </w:div>
    <w:div w:id="1214734332">
      <w:bodyDiv w:val="1"/>
      <w:marLeft w:val="0"/>
      <w:marRight w:val="0"/>
      <w:marTop w:val="0"/>
      <w:marBottom w:val="0"/>
      <w:divBdr>
        <w:top w:val="none" w:sz="0" w:space="0" w:color="auto"/>
        <w:left w:val="none" w:sz="0" w:space="0" w:color="auto"/>
        <w:bottom w:val="none" w:sz="0" w:space="0" w:color="auto"/>
        <w:right w:val="none" w:sz="0" w:space="0" w:color="auto"/>
      </w:divBdr>
      <w:divsChild>
        <w:div w:id="69929712">
          <w:marLeft w:val="0"/>
          <w:marRight w:val="0"/>
          <w:marTop w:val="0"/>
          <w:marBottom w:val="0"/>
          <w:divBdr>
            <w:top w:val="none" w:sz="0" w:space="0" w:color="auto"/>
            <w:left w:val="none" w:sz="0" w:space="0" w:color="auto"/>
            <w:bottom w:val="none" w:sz="0" w:space="0" w:color="auto"/>
            <w:right w:val="none" w:sz="0" w:space="0" w:color="auto"/>
          </w:divBdr>
        </w:div>
        <w:div w:id="169563047">
          <w:marLeft w:val="0"/>
          <w:marRight w:val="0"/>
          <w:marTop w:val="0"/>
          <w:marBottom w:val="0"/>
          <w:divBdr>
            <w:top w:val="none" w:sz="0" w:space="0" w:color="auto"/>
            <w:left w:val="none" w:sz="0" w:space="0" w:color="auto"/>
            <w:bottom w:val="none" w:sz="0" w:space="0" w:color="auto"/>
            <w:right w:val="none" w:sz="0" w:space="0" w:color="auto"/>
          </w:divBdr>
        </w:div>
        <w:div w:id="174079728">
          <w:marLeft w:val="0"/>
          <w:marRight w:val="0"/>
          <w:marTop w:val="0"/>
          <w:marBottom w:val="0"/>
          <w:divBdr>
            <w:top w:val="none" w:sz="0" w:space="0" w:color="auto"/>
            <w:left w:val="none" w:sz="0" w:space="0" w:color="auto"/>
            <w:bottom w:val="none" w:sz="0" w:space="0" w:color="auto"/>
            <w:right w:val="none" w:sz="0" w:space="0" w:color="auto"/>
          </w:divBdr>
        </w:div>
        <w:div w:id="462817178">
          <w:marLeft w:val="0"/>
          <w:marRight w:val="0"/>
          <w:marTop w:val="0"/>
          <w:marBottom w:val="0"/>
          <w:divBdr>
            <w:top w:val="none" w:sz="0" w:space="0" w:color="auto"/>
            <w:left w:val="none" w:sz="0" w:space="0" w:color="auto"/>
            <w:bottom w:val="none" w:sz="0" w:space="0" w:color="auto"/>
            <w:right w:val="none" w:sz="0" w:space="0" w:color="auto"/>
          </w:divBdr>
        </w:div>
        <w:div w:id="615254216">
          <w:marLeft w:val="0"/>
          <w:marRight w:val="0"/>
          <w:marTop w:val="0"/>
          <w:marBottom w:val="0"/>
          <w:divBdr>
            <w:top w:val="none" w:sz="0" w:space="0" w:color="auto"/>
            <w:left w:val="none" w:sz="0" w:space="0" w:color="auto"/>
            <w:bottom w:val="none" w:sz="0" w:space="0" w:color="auto"/>
            <w:right w:val="none" w:sz="0" w:space="0" w:color="auto"/>
          </w:divBdr>
        </w:div>
        <w:div w:id="760300277">
          <w:marLeft w:val="0"/>
          <w:marRight w:val="0"/>
          <w:marTop w:val="0"/>
          <w:marBottom w:val="0"/>
          <w:divBdr>
            <w:top w:val="none" w:sz="0" w:space="0" w:color="auto"/>
            <w:left w:val="none" w:sz="0" w:space="0" w:color="auto"/>
            <w:bottom w:val="none" w:sz="0" w:space="0" w:color="auto"/>
            <w:right w:val="none" w:sz="0" w:space="0" w:color="auto"/>
          </w:divBdr>
        </w:div>
        <w:div w:id="831603140">
          <w:marLeft w:val="0"/>
          <w:marRight w:val="0"/>
          <w:marTop w:val="0"/>
          <w:marBottom w:val="0"/>
          <w:divBdr>
            <w:top w:val="none" w:sz="0" w:space="0" w:color="auto"/>
            <w:left w:val="none" w:sz="0" w:space="0" w:color="auto"/>
            <w:bottom w:val="none" w:sz="0" w:space="0" w:color="auto"/>
            <w:right w:val="none" w:sz="0" w:space="0" w:color="auto"/>
          </w:divBdr>
        </w:div>
        <w:div w:id="1053968793">
          <w:marLeft w:val="0"/>
          <w:marRight w:val="0"/>
          <w:marTop w:val="0"/>
          <w:marBottom w:val="0"/>
          <w:divBdr>
            <w:top w:val="none" w:sz="0" w:space="0" w:color="auto"/>
            <w:left w:val="none" w:sz="0" w:space="0" w:color="auto"/>
            <w:bottom w:val="none" w:sz="0" w:space="0" w:color="auto"/>
            <w:right w:val="none" w:sz="0" w:space="0" w:color="auto"/>
          </w:divBdr>
        </w:div>
        <w:div w:id="1348677562">
          <w:marLeft w:val="0"/>
          <w:marRight w:val="0"/>
          <w:marTop w:val="0"/>
          <w:marBottom w:val="0"/>
          <w:divBdr>
            <w:top w:val="none" w:sz="0" w:space="0" w:color="auto"/>
            <w:left w:val="none" w:sz="0" w:space="0" w:color="auto"/>
            <w:bottom w:val="none" w:sz="0" w:space="0" w:color="auto"/>
            <w:right w:val="none" w:sz="0" w:space="0" w:color="auto"/>
          </w:divBdr>
        </w:div>
        <w:div w:id="1514295173">
          <w:marLeft w:val="0"/>
          <w:marRight w:val="0"/>
          <w:marTop w:val="0"/>
          <w:marBottom w:val="0"/>
          <w:divBdr>
            <w:top w:val="none" w:sz="0" w:space="0" w:color="auto"/>
            <w:left w:val="none" w:sz="0" w:space="0" w:color="auto"/>
            <w:bottom w:val="none" w:sz="0" w:space="0" w:color="auto"/>
            <w:right w:val="none" w:sz="0" w:space="0" w:color="auto"/>
          </w:divBdr>
        </w:div>
        <w:div w:id="1530947194">
          <w:marLeft w:val="0"/>
          <w:marRight w:val="0"/>
          <w:marTop w:val="0"/>
          <w:marBottom w:val="0"/>
          <w:divBdr>
            <w:top w:val="none" w:sz="0" w:space="0" w:color="auto"/>
            <w:left w:val="none" w:sz="0" w:space="0" w:color="auto"/>
            <w:bottom w:val="none" w:sz="0" w:space="0" w:color="auto"/>
            <w:right w:val="none" w:sz="0" w:space="0" w:color="auto"/>
          </w:divBdr>
        </w:div>
        <w:div w:id="2053458586">
          <w:marLeft w:val="0"/>
          <w:marRight w:val="0"/>
          <w:marTop w:val="0"/>
          <w:marBottom w:val="0"/>
          <w:divBdr>
            <w:top w:val="none" w:sz="0" w:space="0" w:color="auto"/>
            <w:left w:val="none" w:sz="0" w:space="0" w:color="auto"/>
            <w:bottom w:val="none" w:sz="0" w:space="0" w:color="auto"/>
            <w:right w:val="none" w:sz="0" w:space="0" w:color="auto"/>
          </w:divBdr>
        </w:div>
        <w:div w:id="2076928286">
          <w:marLeft w:val="0"/>
          <w:marRight w:val="0"/>
          <w:marTop w:val="0"/>
          <w:marBottom w:val="0"/>
          <w:divBdr>
            <w:top w:val="none" w:sz="0" w:space="0" w:color="auto"/>
            <w:left w:val="none" w:sz="0" w:space="0" w:color="auto"/>
            <w:bottom w:val="none" w:sz="0" w:space="0" w:color="auto"/>
            <w:right w:val="none" w:sz="0" w:space="0" w:color="auto"/>
          </w:divBdr>
        </w:div>
      </w:divsChild>
    </w:div>
    <w:div w:id="1216434788">
      <w:bodyDiv w:val="1"/>
      <w:marLeft w:val="0"/>
      <w:marRight w:val="0"/>
      <w:marTop w:val="0"/>
      <w:marBottom w:val="0"/>
      <w:divBdr>
        <w:top w:val="none" w:sz="0" w:space="0" w:color="auto"/>
        <w:left w:val="none" w:sz="0" w:space="0" w:color="auto"/>
        <w:bottom w:val="none" w:sz="0" w:space="0" w:color="auto"/>
        <w:right w:val="none" w:sz="0" w:space="0" w:color="auto"/>
      </w:divBdr>
    </w:div>
    <w:div w:id="1233849608">
      <w:bodyDiv w:val="1"/>
      <w:marLeft w:val="0"/>
      <w:marRight w:val="0"/>
      <w:marTop w:val="0"/>
      <w:marBottom w:val="0"/>
      <w:divBdr>
        <w:top w:val="none" w:sz="0" w:space="0" w:color="auto"/>
        <w:left w:val="none" w:sz="0" w:space="0" w:color="auto"/>
        <w:bottom w:val="none" w:sz="0" w:space="0" w:color="auto"/>
        <w:right w:val="none" w:sz="0" w:space="0" w:color="auto"/>
      </w:divBdr>
    </w:div>
    <w:div w:id="1268002473">
      <w:bodyDiv w:val="1"/>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
        <w:div w:id="418714355">
          <w:marLeft w:val="0"/>
          <w:marRight w:val="0"/>
          <w:marTop w:val="0"/>
          <w:marBottom w:val="0"/>
          <w:divBdr>
            <w:top w:val="none" w:sz="0" w:space="0" w:color="auto"/>
            <w:left w:val="none" w:sz="0" w:space="0" w:color="auto"/>
            <w:bottom w:val="none" w:sz="0" w:space="0" w:color="auto"/>
            <w:right w:val="none" w:sz="0" w:space="0" w:color="auto"/>
          </w:divBdr>
        </w:div>
        <w:div w:id="835194957">
          <w:marLeft w:val="0"/>
          <w:marRight w:val="0"/>
          <w:marTop w:val="0"/>
          <w:marBottom w:val="0"/>
          <w:divBdr>
            <w:top w:val="none" w:sz="0" w:space="0" w:color="auto"/>
            <w:left w:val="none" w:sz="0" w:space="0" w:color="auto"/>
            <w:bottom w:val="none" w:sz="0" w:space="0" w:color="auto"/>
            <w:right w:val="none" w:sz="0" w:space="0" w:color="auto"/>
          </w:divBdr>
        </w:div>
        <w:div w:id="911082016">
          <w:marLeft w:val="0"/>
          <w:marRight w:val="0"/>
          <w:marTop w:val="0"/>
          <w:marBottom w:val="0"/>
          <w:divBdr>
            <w:top w:val="none" w:sz="0" w:space="0" w:color="auto"/>
            <w:left w:val="none" w:sz="0" w:space="0" w:color="auto"/>
            <w:bottom w:val="none" w:sz="0" w:space="0" w:color="auto"/>
            <w:right w:val="none" w:sz="0" w:space="0" w:color="auto"/>
          </w:divBdr>
        </w:div>
        <w:div w:id="1064983871">
          <w:marLeft w:val="0"/>
          <w:marRight w:val="0"/>
          <w:marTop w:val="0"/>
          <w:marBottom w:val="0"/>
          <w:divBdr>
            <w:top w:val="none" w:sz="0" w:space="0" w:color="auto"/>
            <w:left w:val="none" w:sz="0" w:space="0" w:color="auto"/>
            <w:bottom w:val="none" w:sz="0" w:space="0" w:color="auto"/>
            <w:right w:val="none" w:sz="0" w:space="0" w:color="auto"/>
          </w:divBdr>
        </w:div>
        <w:div w:id="1103577352">
          <w:marLeft w:val="0"/>
          <w:marRight w:val="0"/>
          <w:marTop w:val="0"/>
          <w:marBottom w:val="0"/>
          <w:divBdr>
            <w:top w:val="none" w:sz="0" w:space="0" w:color="auto"/>
            <w:left w:val="none" w:sz="0" w:space="0" w:color="auto"/>
            <w:bottom w:val="none" w:sz="0" w:space="0" w:color="auto"/>
            <w:right w:val="none" w:sz="0" w:space="0" w:color="auto"/>
          </w:divBdr>
        </w:div>
        <w:div w:id="1196386337">
          <w:marLeft w:val="0"/>
          <w:marRight w:val="0"/>
          <w:marTop w:val="0"/>
          <w:marBottom w:val="0"/>
          <w:divBdr>
            <w:top w:val="none" w:sz="0" w:space="0" w:color="auto"/>
            <w:left w:val="none" w:sz="0" w:space="0" w:color="auto"/>
            <w:bottom w:val="none" w:sz="0" w:space="0" w:color="auto"/>
            <w:right w:val="none" w:sz="0" w:space="0" w:color="auto"/>
          </w:divBdr>
        </w:div>
        <w:div w:id="1278828279">
          <w:marLeft w:val="0"/>
          <w:marRight w:val="0"/>
          <w:marTop w:val="0"/>
          <w:marBottom w:val="0"/>
          <w:divBdr>
            <w:top w:val="none" w:sz="0" w:space="0" w:color="auto"/>
            <w:left w:val="none" w:sz="0" w:space="0" w:color="auto"/>
            <w:bottom w:val="none" w:sz="0" w:space="0" w:color="auto"/>
            <w:right w:val="none" w:sz="0" w:space="0" w:color="auto"/>
          </w:divBdr>
        </w:div>
        <w:div w:id="1406413418">
          <w:marLeft w:val="0"/>
          <w:marRight w:val="0"/>
          <w:marTop w:val="0"/>
          <w:marBottom w:val="0"/>
          <w:divBdr>
            <w:top w:val="none" w:sz="0" w:space="0" w:color="auto"/>
            <w:left w:val="none" w:sz="0" w:space="0" w:color="auto"/>
            <w:bottom w:val="none" w:sz="0" w:space="0" w:color="auto"/>
            <w:right w:val="none" w:sz="0" w:space="0" w:color="auto"/>
          </w:divBdr>
        </w:div>
        <w:div w:id="1473718080">
          <w:marLeft w:val="0"/>
          <w:marRight w:val="0"/>
          <w:marTop w:val="0"/>
          <w:marBottom w:val="0"/>
          <w:divBdr>
            <w:top w:val="none" w:sz="0" w:space="0" w:color="auto"/>
            <w:left w:val="none" w:sz="0" w:space="0" w:color="auto"/>
            <w:bottom w:val="none" w:sz="0" w:space="0" w:color="auto"/>
            <w:right w:val="none" w:sz="0" w:space="0" w:color="auto"/>
          </w:divBdr>
        </w:div>
        <w:div w:id="1510287394">
          <w:marLeft w:val="0"/>
          <w:marRight w:val="0"/>
          <w:marTop w:val="0"/>
          <w:marBottom w:val="0"/>
          <w:divBdr>
            <w:top w:val="none" w:sz="0" w:space="0" w:color="auto"/>
            <w:left w:val="none" w:sz="0" w:space="0" w:color="auto"/>
            <w:bottom w:val="none" w:sz="0" w:space="0" w:color="auto"/>
            <w:right w:val="none" w:sz="0" w:space="0" w:color="auto"/>
          </w:divBdr>
        </w:div>
        <w:div w:id="1741489099">
          <w:marLeft w:val="0"/>
          <w:marRight w:val="0"/>
          <w:marTop w:val="0"/>
          <w:marBottom w:val="0"/>
          <w:divBdr>
            <w:top w:val="none" w:sz="0" w:space="0" w:color="auto"/>
            <w:left w:val="none" w:sz="0" w:space="0" w:color="auto"/>
            <w:bottom w:val="none" w:sz="0" w:space="0" w:color="auto"/>
            <w:right w:val="none" w:sz="0" w:space="0" w:color="auto"/>
          </w:divBdr>
        </w:div>
        <w:div w:id="1853714118">
          <w:marLeft w:val="0"/>
          <w:marRight w:val="0"/>
          <w:marTop w:val="0"/>
          <w:marBottom w:val="0"/>
          <w:divBdr>
            <w:top w:val="none" w:sz="0" w:space="0" w:color="auto"/>
            <w:left w:val="none" w:sz="0" w:space="0" w:color="auto"/>
            <w:bottom w:val="none" w:sz="0" w:space="0" w:color="auto"/>
            <w:right w:val="none" w:sz="0" w:space="0" w:color="auto"/>
          </w:divBdr>
        </w:div>
        <w:div w:id="2021349126">
          <w:marLeft w:val="0"/>
          <w:marRight w:val="0"/>
          <w:marTop w:val="0"/>
          <w:marBottom w:val="0"/>
          <w:divBdr>
            <w:top w:val="none" w:sz="0" w:space="0" w:color="auto"/>
            <w:left w:val="none" w:sz="0" w:space="0" w:color="auto"/>
            <w:bottom w:val="none" w:sz="0" w:space="0" w:color="auto"/>
            <w:right w:val="none" w:sz="0" w:space="0" w:color="auto"/>
          </w:divBdr>
        </w:div>
      </w:divsChild>
    </w:div>
    <w:div w:id="1277369757">
      <w:bodyDiv w:val="1"/>
      <w:marLeft w:val="0"/>
      <w:marRight w:val="0"/>
      <w:marTop w:val="0"/>
      <w:marBottom w:val="0"/>
      <w:divBdr>
        <w:top w:val="none" w:sz="0" w:space="0" w:color="auto"/>
        <w:left w:val="none" w:sz="0" w:space="0" w:color="auto"/>
        <w:bottom w:val="none" w:sz="0" w:space="0" w:color="auto"/>
        <w:right w:val="none" w:sz="0" w:space="0" w:color="auto"/>
      </w:divBdr>
    </w:div>
    <w:div w:id="1374160880">
      <w:bodyDiv w:val="1"/>
      <w:marLeft w:val="0"/>
      <w:marRight w:val="0"/>
      <w:marTop w:val="0"/>
      <w:marBottom w:val="0"/>
      <w:divBdr>
        <w:top w:val="none" w:sz="0" w:space="0" w:color="auto"/>
        <w:left w:val="none" w:sz="0" w:space="0" w:color="auto"/>
        <w:bottom w:val="none" w:sz="0" w:space="0" w:color="auto"/>
        <w:right w:val="none" w:sz="0" w:space="0" w:color="auto"/>
      </w:divBdr>
    </w:div>
    <w:div w:id="1378511238">
      <w:bodyDiv w:val="1"/>
      <w:marLeft w:val="0"/>
      <w:marRight w:val="0"/>
      <w:marTop w:val="0"/>
      <w:marBottom w:val="0"/>
      <w:divBdr>
        <w:top w:val="none" w:sz="0" w:space="0" w:color="auto"/>
        <w:left w:val="none" w:sz="0" w:space="0" w:color="auto"/>
        <w:bottom w:val="none" w:sz="0" w:space="0" w:color="auto"/>
        <w:right w:val="none" w:sz="0" w:space="0" w:color="auto"/>
      </w:divBdr>
    </w:div>
    <w:div w:id="1402094773">
      <w:bodyDiv w:val="1"/>
      <w:marLeft w:val="0"/>
      <w:marRight w:val="0"/>
      <w:marTop w:val="0"/>
      <w:marBottom w:val="0"/>
      <w:divBdr>
        <w:top w:val="none" w:sz="0" w:space="0" w:color="auto"/>
        <w:left w:val="none" w:sz="0" w:space="0" w:color="auto"/>
        <w:bottom w:val="none" w:sz="0" w:space="0" w:color="auto"/>
        <w:right w:val="none" w:sz="0" w:space="0" w:color="auto"/>
      </w:divBdr>
    </w:div>
    <w:div w:id="1408650838">
      <w:bodyDiv w:val="1"/>
      <w:marLeft w:val="0"/>
      <w:marRight w:val="0"/>
      <w:marTop w:val="0"/>
      <w:marBottom w:val="0"/>
      <w:divBdr>
        <w:top w:val="none" w:sz="0" w:space="0" w:color="auto"/>
        <w:left w:val="none" w:sz="0" w:space="0" w:color="auto"/>
        <w:bottom w:val="none" w:sz="0" w:space="0" w:color="auto"/>
        <w:right w:val="none" w:sz="0" w:space="0" w:color="auto"/>
      </w:divBdr>
    </w:div>
    <w:div w:id="1419063090">
      <w:bodyDiv w:val="1"/>
      <w:marLeft w:val="0"/>
      <w:marRight w:val="0"/>
      <w:marTop w:val="0"/>
      <w:marBottom w:val="0"/>
      <w:divBdr>
        <w:top w:val="none" w:sz="0" w:space="0" w:color="auto"/>
        <w:left w:val="none" w:sz="0" w:space="0" w:color="auto"/>
        <w:bottom w:val="none" w:sz="0" w:space="0" w:color="auto"/>
        <w:right w:val="none" w:sz="0" w:space="0" w:color="auto"/>
      </w:divBdr>
    </w:div>
    <w:div w:id="1422139327">
      <w:bodyDiv w:val="1"/>
      <w:marLeft w:val="0"/>
      <w:marRight w:val="0"/>
      <w:marTop w:val="0"/>
      <w:marBottom w:val="0"/>
      <w:divBdr>
        <w:top w:val="none" w:sz="0" w:space="0" w:color="auto"/>
        <w:left w:val="none" w:sz="0" w:space="0" w:color="auto"/>
        <w:bottom w:val="none" w:sz="0" w:space="0" w:color="auto"/>
        <w:right w:val="none" w:sz="0" w:space="0" w:color="auto"/>
      </w:divBdr>
    </w:div>
    <w:div w:id="1446273032">
      <w:bodyDiv w:val="1"/>
      <w:marLeft w:val="0"/>
      <w:marRight w:val="0"/>
      <w:marTop w:val="0"/>
      <w:marBottom w:val="0"/>
      <w:divBdr>
        <w:top w:val="none" w:sz="0" w:space="0" w:color="auto"/>
        <w:left w:val="none" w:sz="0" w:space="0" w:color="auto"/>
        <w:bottom w:val="none" w:sz="0" w:space="0" w:color="auto"/>
        <w:right w:val="none" w:sz="0" w:space="0" w:color="auto"/>
      </w:divBdr>
      <w:divsChild>
        <w:div w:id="54547366">
          <w:marLeft w:val="0"/>
          <w:marRight w:val="0"/>
          <w:marTop w:val="0"/>
          <w:marBottom w:val="0"/>
          <w:divBdr>
            <w:top w:val="none" w:sz="0" w:space="0" w:color="auto"/>
            <w:left w:val="none" w:sz="0" w:space="0" w:color="auto"/>
            <w:bottom w:val="none" w:sz="0" w:space="0" w:color="auto"/>
            <w:right w:val="none" w:sz="0" w:space="0" w:color="auto"/>
          </w:divBdr>
        </w:div>
        <w:div w:id="93479647">
          <w:marLeft w:val="0"/>
          <w:marRight w:val="0"/>
          <w:marTop w:val="0"/>
          <w:marBottom w:val="0"/>
          <w:divBdr>
            <w:top w:val="none" w:sz="0" w:space="0" w:color="auto"/>
            <w:left w:val="none" w:sz="0" w:space="0" w:color="auto"/>
            <w:bottom w:val="none" w:sz="0" w:space="0" w:color="auto"/>
            <w:right w:val="none" w:sz="0" w:space="0" w:color="auto"/>
          </w:divBdr>
        </w:div>
        <w:div w:id="110365212">
          <w:marLeft w:val="0"/>
          <w:marRight w:val="0"/>
          <w:marTop w:val="0"/>
          <w:marBottom w:val="0"/>
          <w:divBdr>
            <w:top w:val="none" w:sz="0" w:space="0" w:color="auto"/>
            <w:left w:val="none" w:sz="0" w:space="0" w:color="auto"/>
            <w:bottom w:val="none" w:sz="0" w:space="0" w:color="auto"/>
            <w:right w:val="none" w:sz="0" w:space="0" w:color="auto"/>
          </w:divBdr>
        </w:div>
        <w:div w:id="235239207">
          <w:marLeft w:val="0"/>
          <w:marRight w:val="0"/>
          <w:marTop w:val="0"/>
          <w:marBottom w:val="0"/>
          <w:divBdr>
            <w:top w:val="none" w:sz="0" w:space="0" w:color="auto"/>
            <w:left w:val="none" w:sz="0" w:space="0" w:color="auto"/>
            <w:bottom w:val="none" w:sz="0" w:space="0" w:color="auto"/>
            <w:right w:val="none" w:sz="0" w:space="0" w:color="auto"/>
          </w:divBdr>
        </w:div>
        <w:div w:id="407768045">
          <w:marLeft w:val="0"/>
          <w:marRight w:val="0"/>
          <w:marTop w:val="0"/>
          <w:marBottom w:val="0"/>
          <w:divBdr>
            <w:top w:val="none" w:sz="0" w:space="0" w:color="auto"/>
            <w:left w:val="none" w:sz="0" w:space="0" w:color="auto"/>
            <w:bottom w:val="none" w:sz="0" w:space="0" w:color="auto"/>
            <w:right w:val="none" w:sz="0" w:space="0" w:color="auto"/>
          </w:divBdr>
        </w:div>
        <w:div w:id="727607283">
          <w:marLeft w:val="0"/>
          <w:marRight w:val="0"/>
          <w:marTop w:val="0"/>
          <w:marBottom w:val="0"/>
          <w:divBdr>
            <w:top w:val="none" w:sz="0" w:space="0" w:color="auto"/>
            <w:left w:val="none" w:sz="0" w:space="0" w:color="auto"/>
            <w:bottom w:val="none" w:sz="0" w:space="0" w:color="auto"/>
            <w:right w:val="none" w:sz="0" w:space="0" w:color="auto"/>
          </w:divBdr>
        </w:div>
        <w:div w:id="780803336">
          <w:marLeft w:val="0"/>
          <w:marRight w:val="0"/>
          <w:marTop w:val="0"/>
          <w:marBottom w:val="0"/>
          <w:divBdr>
            <w:top w:val="none" w:sz="0" w:space="0" w:color="auto"/>
            <w:left w:val="none" w:sz="0" w:space="0" w:color="auto"/>
            <w:bottom w:val="none" w:sz="0" w:space="0" w:color="auto"/>
            <w:right w:val="none" w:sz="0" w:space="0" w:color="auto"/>
          </w:divBdr>
        </w:div>
        <w:div w:id="870999818">
          <w:marLeft w:val="0"/>
          <w:marRight w:val="0"/>
          <w:marTop w:val="0"/>
          <w:marBottom w:val="0"/>
          <w:divBdr>
            <w:top w:val="none" w:sz="0" w:space="0" w:color="auto"/>
            <w:left w:val="none" w:sz="0" w:space="0" w:color="auto"/>
            <w:bottom w:val="none" w:sz="0" w:space="0" w:color="auto"/>
            <w:right w:val="none" w:sz="0" w:space="0" w:color="auto"/>
          </w:divBdr>
        </w:div>
        <w:div w:id="914245224">
          <w:marLeft w:val="0"/>
          <w:marRight w:val="0"/>
          <w:marTop w:val="0"/>
          <w:marBottom w:val="0"/>
          <w:divBdr>
            <w:top w:val="none" w:sz="0" w:space="0" w:color="auto"/>
            <w:left w:val="none" w:sz="0" w:space="0" w:color="auto"/>
            <w:bottom w:val="none" w:sz="0" w:space="0" w:color="auto"/>
            <w:right w:val="none" w:sz="0" w:space="0" w:color="auto"/>
          </w:divBdr>
        </w:div>
        <w:div w:id="921065801">
          <w:marLeft w:val="0"/>
          <w:marRight w:val="0"/>
          <w:marTop w:val="0"/>
          <w:marBottom w:val="0"/>
          <w:divBdr>
            <w:top w:val="none" w:sz="0" w:space="0" w:color="auto"/>
            <w:left w:val="none" w:sz="0" w:space="0" w:color="auto"/>
            <w:bottom w:val="none" w:sz="0" w:space="0" w:color="auto"/>
            <w:right w:val="none" w:sz="0" w:space="0" w:color="auto"/>
          </w:divBdr>
        </w:div>
        <w:div w:id="1312905916">
          <w:marLeft w:val="0"/>
          <w:marRight w:val="0"/>
          <w:marTop w:val="0"/>
          <w:marBottom w:val="0"/>
          <w:divBdr>
            <w:top w:val="none" w:sz="0" w:space="0" w:color="auto"/>
            <w:left w:val="none" w:sz="0" w:space="0" w:color="auto"/>
            <w:bottom w:val="none" w:sz="0" w:space="0" w:color="auto"/>
            <w:right w:val="none" w:sz="0" w:space="0" w:color="auto"/>
          </w:divBdr>
        </w:div>
        <w:div w:id="1438214655">
          <w:marLeft w:val="0"/>
          <w:marRight w:val="0"/>
          <w:marTop w:val="0"/>
          <w:marBottom w:val="0"/>
          <w:divBdr>
            <w:top w:val="none" w:sz="0" w:space="0" w:color="auto"/>
            <w:left w:val="none" w:sz="0" w:space="0" w:color="auto"/>
            <w:bottom w:val="none" w:sz="0" w:space="0" w:color="auto"/>
            <w:right w:val="none" w:sz="0" w:space="0" w:color="auto"/>
          </w:divBdr>
        </w:div>
        <w:div w:id="1780298995">
          <w:marLeft w:val="0"/>
          <w:marRight w:val="0"/>
          <w:marTop w:val="0"/>
          <w:marBottom w:val="0"/>
          <w:divBdr>
            <w:top w:val="none" w:sz="0" w:space="0" w:color="auto"/>
            <w:left w:val="none" w:sz="0" w:space="0" w:color="auto"/>
            <w:bottom w:val="none" w:sz="0" w:space="0" w:color="auto"/>
            <w:right w:val="none" w:sz="0" w:space="0" w:color="auto"/>
          </w:divBdr>
        </w:div>
        <w:div w:id="1784416820">
          <w:marLeft w:val="0"/>
          <w:marRight w:val="0"/>
          <w:marTop w:val="0"/>
          <w:marBottom w:val="0"/>
          <w:divBdr>
            <w:top w:val="none" w:sz="0" w:space="0" w:color="auto"/>
            <w:left w:val="none" w:sz="0" w:space="0" w:color="auto"/>
            <w:bottom w:val="none" w:sz="0" w:space="0" w:color="auto"/>
            <w:right w:val="none" w:sz="0" w:space="0" w:color="auto"/>
          </w:divBdr>
        </w:div>
        <w:div w:id="1852596914">
          <w:marLeft w:val="0"/>
          <w:marRight w:val="0"/>
          <w:marTop w:val="0"/>
          <w:marBottom w:val="0"/>
          <w:divBdr>
            <w:top w:val="none" w:sz="0" w:space="0" w:color="auto"/>
            <w:left w:val="none" w:sz="0" w:space="0" w:color="auto"/>
            <w:bottom w:val="none" w:sz="0" w:space="0" w:color="auto"/>
            <w:right w:val="none" w:sz="0" w:space="0" w:color="auto"/>
          </w:divBdr>
        </w:div>
        <w:div w:id="1854345946">
          <w:marLeft w:val="0"/>
          <w:marRight w:val="0"/>
          <w:marTop w:val="0"/>
          <w:marBottom w:val="0"/>
          <w:divBdr>
            <w:top w:val="none" w:sz="0" w:space="0" w:color="auto"/>
            <w:left w:val="none" w:sz="0" w:space="0" w:color="auto"/>
            <w:bottom w:val="none" w:sz="0" w:space="0" w:color="auto"/>
            <w:right w:val="none" w:sz="0" w:space="0" w:color="auto"/>
          </w:divBdr>
        </w:div>
        <w:div w:id="1917588655">
          <w:marLeft w:val="0"/>
          <w:marRight w:val="0"/>
          <w:marTop w:val="0"/>
          <w:marBottom w:val="0"/>
          <w:divBdr>
            <w:top w:val="none" w:sz="0" w:space="0" w:color="auto"/>
            <w:left w:val="none" w:sz="0" w:space="0" w:color="auto"/>
            <w:bottom w:val="none" w:sz="0" w:space="0" w:color="auto"/>
            <w:right w:val="none" w:sz="0" w:space="0" w:color="auto"/>
          </w:divBdr>
        </w:div>
        <w:div w:id="1963538573">
          <w:marLeft w:val="0"/>
          <w:marRight w:val="0"/>
          <w:marTop w:val="0"/>
          <w:marBottom w:val="0"/>
          <w:divBdr>
            <w:top w:val="none" w:sz="0" w:space="0" w:color="auto"/>
            <w:left w:val="none" w:sz="0" w:space="0" w:color="auto"/>
            <w:bottom w:val="none" w:sz="0" w:space="0" w:color="auto"/>
            <w:right w:val="none" w:sz="0" w:space="0" w:color="auto"/>
          </w:divBdr>
        </w:div>
        <w:div w:id="2094623489">
          <w:marLeft w:val="0"/>
          <w:marRight w:val="0"/>
          <w:marTop w:val="0"/>
          <w:marBottom w:val="0"/>
          <w:divBdr>
            <w:top w:val="none" w:sz="0" w:space="0" w:color="auto"/>
            <w:left w:val="none" w:sz="0" w:space="0" w:color="auto"/>
            <w:bottom w:val="none" w:sz="0" w:space="0" w:color="auto"/>
            <w:right w:val="none" w:sz="0" w:space="0" w:color="auto"/>
          </w:divBdr>
        </w:div>
      </w:divsChild>
    </w:div>
    <w:div w:id="1457017759">
      <w:bodyDiv w:val="1"/>
      <w:marLeft w:val="0"/>
      <w:marRight w:val="0"/>
      <w:marTop w:val="0"/>
      <w:marBottom w:val="0"/>
      <w:divBdr>
        <w:top w:val="none" w:sz="0" w:space="0" w:color="auto"/>
        <w:left w:val="none" w:sz="0" w:space="0" w:color="auto"/>
        <w:bottom w:val="none" w:sz="0" w:space="0" w:color="auto"/>
        <w:right w:val="none" w:sz="0" w:space="0" w:color="auto"/>
      </w:divBdr>
    </w:div>
    <w:div w:id="1461607335">
      <w:bodyDiv w:val="1"/>
      <w:marLeft w:val="0"/>
      <w:marRight w:val="0"/>
      <w:marTop w:val="0"/>
      <w:marBottom w:val="0"/>
      <w:divBdr>
        <w:top w:val="none" w:sz="0" w:space="0" w:color="auto"/>
        <w:left w:val="none" w:sz="0" w:space="0" w:color="auto"/>
        <w:bottom w:val="none" w:sz="0" w:space="0" w:color="auto"/>
        <w:right w:val="none" w:sz="0" w:space="0" w:color="auto"/>
      </w:divBdr>
    </w:div>
    <w:div w:id="1468205329">
      <w:bodyDiv w:val="1"/>
      <w:marLeft w:val="0"/>
      <w:marRight w:val="0"/>
      <w:marTop w:val="0"/>
      <w:marBottom w:val="0"/>
      <w:divBdr>
        <w:top w:val="none" w:sz="0" w:space="0" w:color="auto"/>
        <w:left w:val="none" w:sz="0" w:space="0" w:color="auto"/>
        <w:bottom w:val="none" w:sz="0" w:space="0" w:color="auto"/>
        <w:right w:val="none" w:sz="0" w:space="0" w:color="auto"/>
      </w:divBdr>
    </w:div>
    <w:div w:id="1477841951">
      <w:bodyDiv w:val="1"/>
      <w:marLeft w:val="0"/>
      <w:marRight w:val="0"/>
      <w:marTop w:val="0"/>
      <w:marBottom w:val="0"/>
      <w:divBdr>
        <w:top w:val="none" w:sz="0" w:space="0" w:color="auto"/>
        <w:left w:val="none" w:sz="0" w:space="0" w:color="auto"/>
        <w:bottom w:val="none" w:sz="0" w:space="0" w:color="auto"/>
        <w:right w:val="none" w:sz="0" w:space="0" w:color="auto"/>
      </w:divBdr>
    </w:div>
    <w:div w:id="1491797598">
      <w:bodyDiv w:val="1"/>
      <w:marLeft w:val="0"/>
      <w:marRight w:val="0"/>
      <w:marTop w:val="0"/>
      <w:marBottom w:val="0"/>
      <w:divBdr>
        <w:top w:val="none" w:sz="0" w:space="0" w:color="auto"/>
        <w:left w:val="none" w:sz="0" w:space="0" w:color="auto"/>
        <w:bottom w:val="none" w:sz="0" w:space="0" w:color="auto"/>
        <w:right w:val="none" w:sz="0" w:space="0" w:color="auto"/>
      </w:divBdr>
    </w:div>
    <w:div w:id="1498688746">
      <w:bodyDiv w:val="1"/>
      <w:marLeft w:val="0"/>
      <w:marRight w:val="0"/>
      <w:marTop w:val="0"/>
      <w:marBottom w:val="0"/>
      <w:divBdr>
        <w:top w:val="none" w:sz="0" w:space="0" w:color="auto"/>
        <w:left w:val="none" w:sz="0" w:space="0" w:color="auto"/>
        <w:bottom w:val="none" w:sz="0" w:space="0" w:color="auto"/>
        <w:right w:val="none" w:sz="0" w:space="0" w:color="auto"/>
      </w:divBdr>
    </w:div>
    <w:div w:id="1501845458">
      <w:bodyDiv w:val="1"/>
      <w:marLeft w:val="0"/>
      <w:marRight w:val="0"/>
      <w:marTop w:val="0"/>
      <w:marBottom w:val="0"/>
      <w:divBdr>
        <w:top w:val="none" w:sz="0" w:space="0" w:color="auto"/>
        <w:left w:val="none" w:sz="0" w:space="0" w:color="auto"/>
        <w:bottom w:val="none" w:sz="0" w:space="0" w:color="auto"/>
        <w:right w:val="none" w:sz="0" w:space="0" w:color="auto"/>
      </w:divBdr>
      <w:divsChild>
        <w:div w:id="189954832">
          <w:marLeft w:val="0"/>
          <w:marRight w:val="0"/>
          <w:marTop w:val="0"/>
          <w:marBottom w:val="0"/>
          <w:divBdr>
            <w:top w:val="none" w:sz="0" w:space="0" w:color="auto"/>
            <w:left w:val="none" w:sz="0" w:space="0" w:color="auto"/>
            <w:bottom w:val="none" w:sz="0" w:space="0" w:color="auto"/>
            <w:right w:val="none" w:sz="0" w:space="0" w:color="auto"/>
          </w:divBdr>
        </w:div>
        <w:div w:id="398862786">
          <w:marLeft w:val="0"/>
          <w:marRight w:val="0"/>
          <w:marTop w:val="0"/>
          <w:marBottom w:val="0"/>
          <w:divBdr>
            <w:top w:val="none" w:sz="0" w:space="0" w:color="auto"/>
            <w:left w:val="none" w:sz="0" w:space="0" w:color="auto"/>
            <w:bottom w:val="none" w:sz="0" w:space="0" w:color="auto"/>
            <w:right w:val="none" w:sz="0" w:space="0" w:color="auto"/>
          </w:divBdr>
        </w:div>
        <w:div w:id="544218892">
          <w:marLeft w:val="0"/>
          <w:marRight w:val="0"/>
          <w:marTop w:val="0"/>
          <w:marBottom w:val="0"/>
          <w:divBdr>
            <w:top w:val="none" w:sz="0" w:space="0" w:color="auto"/>
            <w:left w:val="none" w:sz="0" w:space="0" w:color="auto"/>
            <w:bottom w:val="none" w:sz="0" w:space="0" w:color="auto"/>
            <w:right w:val="none" w:sz="0" w:space="0" w:color="auto"/>
          </w:divBdr>
        </w:div>
        <w:div w:id="573930329">
          <w:marLeft w:val="0"/>
          <w:marRight w:val="0"/>
          <w:marTop w:val="0"/>
          <w:marBottom w:val="0"/>
          <w:divBdr>
            <w:top w:val="none" w:sz="0" w:space="0" w:color="auto"/>
            <w:left w:val="none" w:sz="0" w:space="0" w:color="auto"/>
            <w:bottom w:val="none" w:sz="0" w:space="0" w:color="auto"/>
            <w:right w:val="none" w:sz="0" w:space="0" w:color="auto"/>
          </w:divBdr>
        </w:div>
        <w:div w:id="604731768">
          <w:marLeft w:val="0"/>
          <w:marRight w:val="0"/>
          <w:marTop w:val="0"/>
          <w:marBottom w:val="0"/>
          <w:divBdr>
            <w:top w:val="none" w:sz="0" w:space="0" w:color="auto"/>
            <w:left w:val="none" w:sz="0" w:space="0" w:color="auto"/>
            <w:bottom w:val="none" w:sz="0" w:space="0" w:color="auto"/>
            <w:right w:val="none" w:sz="0" w:space="0" w:color="auto"/>
          </w:divBdr>
        </w:div>
        <w:div w:id="624968234">
          <w:marLeft w:val="0"/>
          <w:marRight w:val="0"/>
          <w:marTop w:val="0"/>
          <w:marBottom w:val="0"/>
          <w:divBdr>
            <w:top w:val="none" w:sz="0" w:space="0" w:color="auto"/>
            <w:left w:val="none" w:sz="0" w:space="0" w:color="auto"/>
            <w:bottom w:val="none" w:sz="0" w:space="0" w:color="auto"/>
            <w:right w:val="none" w:sz="0" w:space="0" w:color="auto"/>
          </w:divBdr>
        </w:div>
        <w:div w:id="982810567">
          <w:marLeft w:val="0"/>
          <w:marRight w:val="0"/>
          <w:marTop w:val="0"/>
          <w:marBottom w:val="0"/>
          <w:divBdr>
            <w:top w:val="none" w:sz="0" w:space="0" w:color="auto"/>
            <w:left w:val="none" w:sz="0" w:space="0" w:color="auto"/>
            <w:bottom w:val="none" w:sz="0" w:space="0" w:color="auto"/>
            <w:right w:val="none" w:sz="0" w:space="0" w:color="auto"/>
          </w:divBdr>
        </w:div>
        <w:div w:id="1110393562">
          <w:marLeft w:val="0"/>
          <w:marRight w:val="0"/>
          <w:marTop w:val="0"/>
          <w:marBottom w:val="0"/>
          <w:divBdr>
            <w:top w:val="none" w:sz="0" w:space="0" w:color="auto"/>
            <w:left w:val="none" w:sz="0" w:space="0" w:color="auto"/>
            <w:bottom w:val="none" w:sz="0" w:space="0" w:color="auto"/>
            <w:right w:val="none" w:sz="0" w:space="0" w:color="auto"/>
          </w:divBdr>
        </w:div>
        <w:div w:id="1327516997">
          <w:marLeft w:val="0"/>
          <w:marRight w:val="0"/>
          <w:marTop w:val="0"/>
          <w:marBottom w:val="0"/>
          <w:divBdr>
            <w:top w:val="none" w:sz="0" w:space="0" w:color="auto"/>
            <w:left w:val="none" w:sz="0" w:space="0" w:color="auto"/>
            <w:bottom w:val="none" w:sz="0" w:space="0" w:color="auto"/>
            <w:right w:val="none" w:sz="0" w:space="0" w:color="auto"/>
          </w:divBdr>
        </w:div>
        <w:div w:id="1861703593">
          <w:marLeft w:val="0"/>
          <w:marRight w:val="0"/>
          <w:marTop w:val="0"/>
          <w:marBottom w:val="0"/>
          <w:divBdr>
            <w:top w:val="none" w:sz="0" w:space="0" w:color="auto"/>
            <w:left w:val="none" w:sz="0" w:space="0" w:color="auto"/>
            <w:bottom w:val="none" w:sz="0" w:space="0" w:color="auto"/>
            <w:right w:val="none" w:sz="0" w:space="0" w:color="auto"/>
          </w:divBdr>
        </w:div>
      </w:divsChild>
    </w:div>
    <w:div w:id="1515459662">
      <w:bodyDiv w:val="1"/>
      <w:marLeft w:val="0"/>
      <w:marRight w:val="0"/>
      <w:marTop w:val="0"/>
      <w:marBottom w:val="0"/>
      <w:divBdr>
        <w:top w:val="none" w:sz="0" w:space="0" w:color="auto"/>
        <w:left w:val="none" w:sz="0" w:space="0" w:color="auto"/>
        <w:bottom w:val="none" w:sz="0" w:space="0" w:color="auto"/>
        <w:right w:val="none" w:sz="0" w:space="0" w:color="auto"/>
      </w:divBdr>
    </w:div>
    <w:div w:id="1545368210">
      <w:bodyDiv w:val="1"/>
      <w:marLeft w:val="0"/>
      <w:marRight w:val="0"/>
      <w:marTop w:val="0"/>
      <w:marBottom w:val="0"/>
      <w:divBdr>
        <w:top w:val="none" w:sz="0" w:space="0" w:color="auto"/>
        <w:left w:val="none" w:sz="0" w:space="0" w:color="auto"/>
        <w:bottom w:val="none" w:sz="0" w:space="0" w:color="auto"/>
        <w:right w:val="none" w:sz="0" w:space="0" w:color="auto"/>
      </w:divBdr>
    </w:div>
    <w:div w:id="1586383461">
      <w:bodyDiv w:val="1"/>
      <w:marLeft w:val="0"/>
      <w:marRight w:val="0"/>
      <w:marTop w:val="0"/>
      <w:marBottom w:val="0"/>
      <w:divBdr>
        <w:top w:val="none" w:sz="0" w:space="0" w:color="auto"/>
        <w:left w:val="none" w:sz="0" w:space="0" w:color="auto"/>
        <w:bottom w:val="none" w:sz="0" w:space="0" w:color="auto"/>
        <w:right w:val="none" w:sz="0" w:space="0" w:color="auto"/>
      </w:divBdr>
    </w:div>
    <w:div w:id="1649742933">
      <w:bodyDiv w:val="1"/>
      <w:marLeft w:val="0"/>
      <w:marRight w:val="0"/>
      <w:marTop w:val="0"/>
      <w:marBottom w:val="0"/>
      <w:divBdr>
        <w:top w:val="none" w:sz="0" w:space="0" w:color="auto"/>
        <w:left w:val="none" w:sz="0" w:space="0" w:color="auto"/>
        <w:bottom w:val="none" w:sz="0" w:space="0" w:color="auto"/>
        <w:right w:val="none" w:sz="0" w:space="0" w:color="auto"/>
      </w:divBdr>
    </w:div>
    <w:div w:id="1650016408">
      <w:bodyDiv w:val="1"/>
      <w:marLeft w:val="0"/>
      <w:marRight w:val="0"/>
      <w:marTop w:val="0"/>
      <w:marBottom w:val="0"/>
      <w:divBdr>
        <w:top w:val="none" w:sz="0" w:space="0" w:color="auto"/>
        <w:left w:val="none" w:sz="0" w:space="0" w:color="auto"/>
        <w:bottom w:val="none" w:sz="0" w:space="0" w:color="auto"/>
        <w:right w:val="none" w:sz="0" w:space="0" w:color="auto"/>
      </w:divBdr>
    </w:div>
    <w:div w:id="1707365926">
      <w:bodyDiv w:val="1"/>
      <w:marLeft w:val="0"/>
      <w:marRight w:val="0"/>
      <w:marTop w:val="0"/>
      <w:marBottom w:val="0"/>
      <w:divBdr>
        <w:top w:val="none" w:sz="0" w:space="0" w:color="auto"/>
        <w:left w:val="none" w:sz="0" w:space="0" w:color="auto"/>
        <w:bottom w:val="none" w:sz="0" w:space="0" w:color="auto"/>
        <w:right w:val="none" w:sz="0" w:space="0" w:color="auto"/>
      </w:divBdr>
      <w:divsChild>
        <w:div w:id="900335245">
          <w:marLeft w:val="0"/>
          <w:marRight w:val="0"/>
          <w:marTop w:val="0"/>
          <w:marBottom w:val="0"/>
          <w:divBdr>
            <w:top w:val="none" w:sz="0" w:space="0" w:color="auto"/>
            <w:left w:val="none" w:sz="0" w:space="0" w:color="auto"/>
            <w:bottom w:val="none" w:sz="0" w:space="0" w:color="auto"/>
            <w:right w:val="none" w:sz="0" w:space="0" w:color="auto"/>
          </w:divBdr>
        </w:div>
        <w:div w:id="1247303595">
          <w:marLeft w:val="0"/>
          <w:marRight w:val="0"/>
          <w:marTop w:val="0"/>
          <w:marBottom w:val="0"/>
          <w:divBdr>
            <w:top w:val="none" w:sz="0" w:space="0" w:color="auto"/>
            <w:left w:val="none" w:sz="0" w:space="0" w:color="auto"/>
            <w:bottom w:val="none" w:sz="0" w:space="0" w:color="auto"/>
            <w:right w:val="none" w:sz="0" w:space="0" w:color="auto"/>
          </w:divBdr>
        </w:div>
        <w:div w:id="1523321552">
          <w:marLeft w:val="0"/>
          <w:marRight w:val="0"/>
          <w:marTop w:val="0"/>
          <w:marBottom w:val="0"/>
          <w:divBdr>
            <w:top w:val="none" w:sz="0" w:space="0" w:color="auto"/>
            <w:left w:val="none" w:sz="0" w:space="0" w:color="auto"/>
            <w:bottom w:val="none" w:sz="0" w:space="0" w:color="auto"/>
            <w:right w:val="none" w:sz="0" w:space="0" w:color="auto"/>
          </w:divBdr>
        </w:div>
        <w:div w:id="1611233758">
          <w:marLeft w:val="0"/>
          <w:marRight w:val="0"/>
          <w:marTop w:val="0"/>
          <w:marBottom w:val="0"/>
          <w:divBdr>
            <w:top w:val="none" w:sz="0" w:space="0" w:color="auto"/>
            <w:left w:val="none" w:sz="0" w:space="0" w:color="auto"/>
            <w:bottom w:val="none" w:sz="0" w:space="0" w:color="auto"/>
            <w:right w:val="none" w:sz="0" w:space="0" w:color="auto"/>
          </w:divBdr>
        </w:div>
        <w:div w:id="1665350980">
          <w:marLeft w:val="0"/>
          <w:marRight w:val="0"/>
          <w:marTop w:val="0"/>
          <w:marBottom w:val="0"/>
          <w:divBdr>
            <w:top w:val="none" w:sz="0" w:space="0" w:color="auto"/>
            <w:left w:val="none" w:sz="0" w:space="0" w:color="auto"/>
            <w:bottom w:val="none" w:sz="0" w:space="0" w:color="auto"/>
            <w:right w:val="none" w:sz="0" w:space="0" w:color="auto"/>
          </w:divBdr>
        </w:div>
        <w:div w:id="1908302056">
          <w:marLeft w:val="0"/>
          <w:marRight w:val="0"/>
          <w:marTop w:val="0"/>
          <w:marBottom w:val="0"/>
          <w:divBdr>
            <w:top w:val="none" w:sz="0" w:space="0" w:color="auto"/>
            <w:left w:val="none" w:sz="0" w:space="0" w:color="auto"/>
            <w:bottom w:val="none" w:sz="0" w:space="0" w:color="auto"/>
            <w:right w:val="none" w:sz="0" w:space="0" w:color="auto"/>
          </w:divBdr>
        </w:div>
        <w:div w:id="2086488184">
          <w:marLeft w:val="0"/>
          <w:marRight w:val="0"/>
          <w:marTop w:val="0"/>
          <w:marBottom w:val="0"/>
          <w:divBdr>
            <w:top w:val="none" w:sz="0" w:space="0" w:color="auto"/>
            <w:left w:val="none" w:sz="0" w:space="0" w:color="auto"/>
            <w:bottom w:val="none" w:sz="0" w:space="0" w:color="auto"/>
            <w:right w:val="none" w:sz="0" w:space="0" w:color="auto"/>
          </w:divBdr>
        </w:div>
      </w:divsChild>
    </w:div>
    <w:div w:id="1712344287">
      <w:bodyDiv w:val="1"/>
      <w:marLeft w:val="0"/>
      <w:marRight w:val="0"/>
      <w:marTop w:val="0"/>
      <w:marBottom w:val="0"/>
      <w:divBdr>
        <w:top w:val="none" w:sz="0" w:space="0" w:color="auto"/>
        <w:left w:val="none" w:sz="0" w:space="0" w:color="auto"/>
        <w:bottom w:val="none" w:sz="0" w:space="0" w:color="auto"/>
        <w:right w:val="none" w:sz="0" w:space="0" w:color="auto"/>
      </w:divBdr>
    </w:div>
    <w:div w:id="1729691975">
      <w:bodyDiv w:val="1"/>
      <w:marLeft w:val="0"/>
      <w:marRight w:val="0"/>
      <w:marTop w:val="0"/>
      <w:marBottom w:val="0"/>
      <w:divBdr>
        <w:top w:val="none" w:sz="0" w:space="0" w:color="auto"/>
        <w:left w:val="none" w:sz="0" w:space="0" w:color="auto"/>
        <w:bottom w:val="none" w:sz="0" w:space="0" w:color="auto"/>
        <w:right w:val="none" w:sz="0" w:space="0" w:color="auto"/>
      </w:divBdr>
    </w:div>
    <w:div w:id="1756978174">
      <w:bodyDiv w:val="1"/>
      <w:marLeft w:val="0"/>
      <w:marRight w:val="0"/>
      <w:marTop w:val="0"/>
      <w:marBottom w:val="0"/>
      <w:divBdr>
        <w:top w:val="none" w:sz="0" w:space="0" w:color="auto"/>
        <w:left w:val="none" w:sz="0" w:space="0" w:color="auto"/>
        <w:bottom w:val="none" w:sz="0" w:space="0" w:color="auto"/>
        <w:right w:val="none" w:sz="0" w:space="0" w:color="auto"/>
      </w:divBdr>
      <w:divsChild>
        <w:div w:id="626742921">
          <w:marLeft w:val="0"/>
          <w:marRight w:val="0"/>
          <w:marTop w:val="0"/>
          <w:marBottom w:val="0"/>
          <w:divBdr>
            <w:top w:val="none" w:sz="0" w:space="0" w:color="auto"/>
            <w:left w:val="none" w:sz="0" w:space="0" w:color="auto"/>
            <w:bottom w:val="none" w:sz="0" w:space="0" w:color="auto"/>
            <w:right w:val="none" w:sz="0" w:space="0" w:color="auto"/>
          </w:divBdr>
        </w:div>
      </w:divsChild>
    </w:div>
    <w:div w:id="1771314763">
      <w:bodyDiv w:val="1"/>
      <w:marLeft w:val="0"/>
      <w:marRight w:val="0"/>
      <w:marTop w:val="0"/>
      <w:marBottom w:val="0"/>
      <w:divBdr>
        <w:top w:val="none" w:sz="0" w:space="0" w:color="auto"/>
        <w:left w:val="none" w:sz="0" w:space="0" w:color="auto"/>
        <w:bottom w:val="none" w:sz="0" w:space="0" w:color="auto"/>
        <w:right w:val="none" w:sz="0" w:space="0" w:color="auto"/>
      </w:divBdr>
    </w:div>
    <w:div w:id="1785685707">
      <w:bodyDiv w:val="1"/>
      <w:marLeft w:val="0"/>
      <w:marRight w:val="0"/>
      <w:marTop w:val="0"/>
      <w:marBottom w:val="0"/>
      <w:divBdr>
        <w:top w:val="none" w:sz="0" w:space="0" w:color="auto"/>
        <w:left w:val="none" w:sz="0" w:space="0" w:color="auto"/>
        <w:bottom w:val="none" w:sz="0" w:space="0" w:color="auto"/>
        <w:right w:val="none" w:sz="0" w:space="0" w:color="auto"/>
      </w:divBdr>
    </w:div>
    <w:div w:id="1810442792">
      <w:bodyDiv w:val="1"/>
      <w:marLeft w:val="0"/>
      <w:marRight w:val="0"/>
      <w:marTop w:val="0"/>
      <w:marBottom w:val="0"/>
      <w:divBdr>
        <w:top w:val="none" w:sz="0" w:space="0" w:color="auto"/>
        <w:left w:val="none" w:sz="0" w:space="0" w:color="auto"/>
        <w:bottom w:val="none" w:sz="0" w:space="0" w:color="auto"/>
        <w:right w:val="none" w:sz="0" w:space="0" w:color="auto"/>
      </w:divBdr>
    </w:div>
    <w:div w:id="1814786778">
      <w:bodyDiv w:val="1"/>
      <w:marLeft w:val="0"/>
      <w:marRight w:val="0"/>
      <w:marTop w:val="0"/>
      <w:marBottom w:val="0"/>
      <w:divBdr>
        <w:top w:val="none" w:sz="0" w:space="0" w:color="auto"/>
        <w:left w:val="none" w:sz="0" w:space="0" w:color="auto"/>
        <w:bottom w:val="none" w:sz="0" w:space="0" w:color="auto"/>
        <w:right w:val="none" w:sz="0" w:space="0" w:color="auto"/>
      </w:divBdr>
      <w:divsChild>
        <w:div w:id="487134793">
          <w:marLeft w:val="547"/>
          <w:marRight w:val="0"/>
          <w:marTop w:val="0"/>
          <w:marBottom w:val="0"/>
          <w:divBdr>
            <w:top w:val="none" w:sz="0" w:space="0" w:color="auto"/>
            <w:left w:val="none" w:sz="0" w:space="0" w:color="auto"/>
            <w:bottom w:val="none" w:sz="0" w:space="0" w:color="auto"/>
            <w:right w:val="none" w:sz="0" w:space="0" w:color="auto"/>
          </w:divBdr>
        </w:div>
        <w:div w:id="1191912961">
          <w:marLeft w:val="547"/>
          <w:marRight w:val="0"/>
          <w:marTop w:val="0"/>
          <w:marBottom w:val="0"/>
          <w:divBdr>
            <w:top w:val="none" w:sz="0" w:space="0" w:color="auto"/>
            <w:left w:val="none" w:sz="0" w:space="0" w:color="auto"/>
            <w:bottom w:val="none" w:sz="0" w:space="0" w:color="auto"/>
            <w:right w:val="none" w:sz="0" w:space="0" w:color="auto"/>
          </w:divBdr>
        </w:div>
        <w:div w:id="1396660182">
          <w:marLeft w:val="547"/>
          <w:marRight w:val="0"/>
          <w:marTop w:val="0"/>
          <w:marBottom w:val="0"/>
          <w:divBdr>
            <w:top w:val="none" w:sz="0" w:space="0" w:color="auto"/>
            <w:left w:val="none" w:sz="0" w:space="0" w:color="auto"/>
            <w:bottom w:val="none" w:sz="0" w:space="0" w:color="auto"/>
            <w:right w:val="none" w:sz="0" w:space="0" w:color="auto"/>
          </w:divBdr>
        </w:div>
      </w:divsChild>
    </w:div>
    <w:div w:id="1831562062">
      <w:bodyDiv w:val="1"/>
      <w:marLeft w:val="0"/>
      <w:marRight w:val="0"/>
      <w:marTop w:val="0"/>
      <w:marBottom w:val="0"/>
      <w:divBdr>
        <w:top w:val="none" w:sz="0" w:space="0" w:color="auto"/>
        <w:left w:val="none" w:sz="0" w:space="0" w:color="auto"/>
        <w:bottom w:val="none" w:sz="0" w:space="0" w:color="auto"/>
        <w:right w:val="none" w:sz="0" w:space="0" w:color="auto"/>
      </w:divBdr>
    </w:div>
    <w:div w:id="1841770956">
      <w:bodyDiv w:val="1"/>
      <w:marLeft w:val="0"/>
      <w:marRight w:val="0"/>
      <w:marTop w:val="0"/>
      <w:marBottom w:val="0"/>
      <w:divBdr>
        <w:top w:val="none" w:sz="0" w:space="0" w:color="auto"/>
        <w:left w:val="none" w:sz="0" w:space="0" w:color="auto"/>
        <w:bottom w:val="none" w:sz="0" w:space="0" w:color="auto"/>
        <w:right w:val="none" w:sz="0" w:space="0" w:color="auto"/>
      </w:divBdr>
      <w:divsChild>
        <w:div w:id="305819133">
          <w:marLeft w:val="446"/>
          <w:marRight w:val="0"/>
          <w:marTop w:val="0"/>
          <w:marBottom w:val="0"/>
          <w:divBdr>
            <w:top w:val="none" w:sz="0" w:space="0" w:color="auto"/>
            <w:left w:val="none" w:sz="0" w:space="0" w:color="auto"/>
            <w:bottom w:val="none" w:sz="0" w:space="0" w:color="auto"/>
            <w:right w:val="none" w:sz="0" w:space="0" w:color="auto"/>
          </w:divBdr>
        </w:div>
        <w:div w:id="610824073">
          <w:marLeft w:val="446"/>
          <w:marRight w:val="0"/>
          <w:marTop w:val="0"/>
          <w:marBottom w:val="0"/>
          <w:divBdr>
            <w:top w:val="none" w:sz="0" w:space="0" w:color="auto"/>
            <w:left w:val="none" w:sz="0" w:space="0" w:color="auto"/>
            <w:bottom w:val="none" w:sz="0" w:space="0" w:color="auto"/>
            <w:right w:val="none" w:sz="0" w:space="0" w:color="auto"/>
          </w:divBdr>
        </w:div>
        <w:div w:id="1502157691">
          <w:marLeft w:val="446"/>
          <w:marRight w:val="0"/>
          <w:marTop w:val="0"/>
          <w:marBottom w:val="0"/>
          <w:divBdr>
            <w:top w:val="none" w:sz="0" w:space="0" w:color="auto"/>
            <w:left w:val="none" w:sz="0" w:space="0" w:color="auto"/>
            <w:bottom w:val="none" w:sz="0" w:space="0" w:color="auto"/>
            <w:right w:val="none" w:sz="0" w:space="0" w:color="auto"/>
          </w:divBdr>
        </w:div>
        <w:div w:id="2123303796">
          <w:marLeft w:val="446"/>
          <w:marRight w:val="0"/>
          <w:marTop w:val="0"/>
          <w:marBottom w:val="0"/>
          <w:divBdr>
            <w:top w:val="none" w:sz="0" w:space="0" w:color="auto"/>
            <w:left w:val="none" w:sz="0" w:space="0" w:color="auto"/>
            <w:bottom w:val="none" w:sz="0" w:space="0" w:color="auto"/>
            <w:right w:val="none" w:sz="0" w:space="0" w:color="auto"/>
          </w:divBdr>
        </w:div>
      </w:divsChild>
    </w:div>
    <w:div w:id="1856069774">
      <w:bodyDiv w:val="1"/>
      <w:marLeft w:val="0"/>
      <w:marRight w:val="0"/>
      <w:marTop w:val="0"/>
      <w:marBottom w:val="0"/>
      <w:divBdr>
        <w:top w:val="none" w:sz="0" w:space="0" w:color="auto"/>
        <w:left w:val="none" w:sz="0" w:space="0" w:color="auto"/>
        <w:bottom w:val="none" w:sz="0" w:space="0" w:color="auto"/>
        <w:right w:val="none" w:sz="0" w:space="0" w:color="auto"/>
      </w:divBdr>
      <w:divsChild>
        <w:div w:id="108938591">
          <w:marLeft w:val="0"/>
          <w:marRight w:val="0"/>
          <w:marTop w:val="0"/>
          <w:marBottom w:val="0"/>
          <w:divBdr>
            <w:top w:val="none" w:sz="0" w:space="0" w:color="auto"/>
            <w:left w:val="none" w:sz="0" w:space="0" w:color="auto"/>
            <w:bottom w:val="none" w:sz="0" w:space="0" w:color="auto"/>
            <w:right w:val="none" w:sz="0" w:space="0" w:color="auto"/>
          </w:divBdr>
          <w:divsChild>
            <w:div w:id="1170758082">
              <w:marLeft w:val="0"/>
              <w:marRight w:val="0"/>
              <w:marTop w:val="0"/>
              <w:marBottom w:val="0"/>
              <w:divBdr>
                <w:top w:val="none" w:sz="0" w:space="0" w:color="auto"/>
                <w:left w:val="none" w:sz="0" w:space="0" w:color="auto"/>
                <w:bottom w:val="none" w:sz="0" w:space="0" w:color="auto"/>
                <w:right w:val="none" w:sz="0" w:space="0" w:color="auto"/>
              </w:divBdr>
              <w:divsChild>
                <w:div w:id="825323793">
                  <w:marLeft w:val="0"/>
                  <w:marRight w:val="0"/>
                  <w:marTop w:val="0"/>
                  <w:marBottom w:val="0"/>
                  <w:divBdr>
                    <w:top w:val="none" w:sz="0" w:space="0" w:color="auto"/>
                    <w:left w:val="none" w:sz="0" w:space="0" w:color="auto"/>
                    <w:bottom w:val="none" w:sz="0" w:space="0" w:color="auto"/>
                    <w:right w:val="none" w:sz="0" w:space="0" w:color="auto"/>
                  </w:divBdr>
                  <w:divsChild>
                    <w:div w:id="14458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273648">
      <w:bodyDiv w:val="1"/>
      <w:marLeft w:val="0"/>
      <w:marRight w:val="0"/>
      <w:marTop w:val="0"/>
      <w:marBottom w:val="0"/>
      <w:divBdr>
        <w:top w:val="none" w:sz="0" w:space="0" w:color="auto"/>
        <w:left w:val="none" w:sz="0" w:space="0" w:color="auto"/>
        <w:bottom w:val="none" w:sz="0" w:space="0" w:color="auto"/>
        <w:right w:val="none" w:sz="0" w:space="0" w:color="auto"/>
      </w:divBdr>
    </w:div>
    <w:div w:id="1906841223">
      <w:bodyDiv w:val="1"/>
      <w:marLeft w:val="0"/>
      <w:marRight w:val="0"/>
      <w:marTop w:val="0"/>
      <w:marBottom w:val="0"/>
      <w:divBdr>
        <w:top w:val="none" w:sz="0" w:space="0" w:color="auto"/>
        <w:left w:val="none" w:sz="0" w:space="0" w:color="auto"/>
        <w:bottom w:val="none" w:sz="0" w:space="0" w:color="auto"/>
        <w:right w:val="none" w:sz="0" w:space="0" w:color="auto"/>
      </w:divBdr>
    </w:div>
    <w:div w:id="1909028040">
      <w:bodyDiv w:val="1"/>
      <w:marLeft w:val="0"/>
      <w:marRight w:val="0"/>
      <w:marTop w:val="0"/>
      <w:marBottom w:val="0"/>
      <w:divBdr>
        <w:top w:val="none" w:sz="0" w:space="0" w:color="auto"/>
        <w:left w:val="none" w:sz="0" w:space="0" w:color="auto"/>
        <w:bottom w:val="none" w:sz="0" w:space="0" w:color="auto"/>
        <w:right w:val="none" w:sz="0" w:space="0" w:color="auto"/>
      </w:divBdr>
      <w:divsChild>
        <w:div w:id="1134904374">
          <w:marLeft w:val="0"/>
          <w:marRight w:val="0"/>
          <w:marTop w:val="0"/>
          <w:marBottom w:val="0"/>
          <w:divBdr>
            <w:top w:val="none" w:sz="0" w:space="0" w:color="auto"/>
            <w:left w:val="none" w:sz="0" w:space="0" w:color="auto"/>
            <w:bottom w:val="none" w:sz="0" w:space="0" w:color="auto"/>
            <w:right w:val="none" w:sz="0" w:space="0" w:color="auto"/>
          </w:divBdr>
        </w:div>
      </w:divsChild>
    </w:div>
    <w:div w:id="1915044244">
      <w:bodyDiv w:val="1"/>
      <w:marLeft w:val="0"/>
      <w:marRight w:val="0"/>
      <w:marTop w:val="0"/>
      <w:marBottom w:val="0"/>
      <w:divBdr>
        <w:top w:val="none" w:sz="0" w:space="0" w:color="auto"/>
        <w:left w:val="none" w:sz="0" w:space="0" w:color="auto"/>
        <w:bottom w:val="none" w:sz="0" w:space="0" w:color="auto"/>
        <w:right w:val="none" w:sz="0" w:space="0" w:color="auto"/>
      </w:divBdr>
    </w:div>
    <w:div w:id="1953709220">
      <w:bodyDiv w:val="1"/>
      <w:marLeft w:val="0"/>
      <w:marRight w:val="0"/>
      <w:marTop w:val="0"/>
      <w:marBottom w:val="0"/>
      <w:divBdr>
        <w:top w:val="none" w:sz="0" w:space="0" w:color="auto"/>
        <w:left w:val="none" w:sz="0" w:space="0" w:color="auto"/>
        <w:bottom w:val="none" w:sz="0" w:space="0" w:color="auto"/>
        <w:right w:val="none" w:sz="0" w:space="0" w:color="auto"/>
      </w:divBdr>
    </w:div>
    <w:div w:id="1974404808">
      <w:bodyDiv w:val="1"/>
      <w:marLeft w:val="0"/>
      <w:marRight w:val="0"/>
      <w:marTop w:val="0"/>
      <w:marBottom w:val="0"/>
      <w:divBdr>
        <w:top w:val="none" w:sz="0" w:space="0" w:color="auto"/>
        <w:left w:val="none" w:sz="0" w:space="0" w:color="auto"/>
        <w:bottom w:val="none" w:sz="0" w:space="0" w:color="auto"/>
        <w:right w:val="none" w:sz="0" w:space="0" w:color="auto"/>
      </w:divBdr>
    </w:div>
    <w:div w:id="1976792156">
      <w:bodyDiv w:val="1"/>
      <w:marLeft w:val="0"/>
      <w:marRight w:val="0"/>
      <w:marTop w:val="0"/>
      <w:marBottom w:val="0"/>
      <w:divBdr>
        <w:top w:val="none" w:sz="0" w:space="0" w:color="auto"/>
        <w:left w:val="none" w:sz="0" w:space="0" w:color="auto"/>
        <w:bottom w:val="none" w:sz="0" w:space="0" w:color="auto"/>
        <w:right w:val="none" w:sz="0" w:space="0" w:color="auto"/>
      </w:divBdr>
      <w:divsChild>
        <w:div w:id="873735784">
          <w:marLeft w:val="547"/>
          <w:marRight w:val="0"/>
          <w:marTop w:val="0"/>
          <w:marBottom w:val="0"/>
          <w:divBdr>
            <w:top w:val="none" w:sz="0" w:space="0" w:color="auto"/>
            <w:left w:val="none" w:sz="0" w:space="0" w:color="auto"/>
            <w:bottom w:val="none" w:sz="0" w:space="0" w:color="auto"/>
            <w:right w:val="none" w:sz="0" w:space="0" w:color="auto"/>
          </w:divBdr>
        </w:div>
        <w:div w:id="1284189305">
          <w:marLeft w:val="547"/>
          <w:marRight w:val="0"/>
          <w:marTop w:val="0"/>
          <w:marBottom w:val="0"/>
          <w:divBdr>
            <w:top w:val="none" w:sz="0" w:space="0" w:color="auto"/>
            <w:left w:val="none" w:sz="0" w:space="0" w:color="auto"/>
            <w:bottom w:val="none" w:sz="0" w:space="0" w:color="auto"/>
            <w:right w:val="none" w:sz="0" w:space="0" w:color="auto"/>
          </w:divBdr>
        </w:div>
      </w:divsChild>
    </w:div>
    <w:div w:id="1985427822">
      <w:bodyDiv w:val="1"/>
      <w:marLeft w:val="0"/>
      <w:marRight w:val="0"/>
      <w:marTop w:val="0"/>
      <w:marBottom w:val="0"/>
      <w:divBdr>
        <w:top w:val="none" w:sz="0" w:space="0" w:color="auto"/>
        <w:left w:val="none" w:sz="0" w:space="0" w:color="auto"/>
        <w:bottom w:val="none" w:sz="0" w:space="0" w:color="auto"/>
        <w:right w:val="none" w:sz="0" w:space="0" w:color="auto"/>
      </w:divBdr>
    </w:div>
    <w:div w:id="1996716901">
      <w:bodyDiv w:val="1"/>
      <w:marLeft w:val="0"/>
      <w:marRight w:val="0"/>
      <w:marTop w:val="0"/>
      <w:marBottom w:val="0"/>
      <w:divBdr>
        <w:top w:val="none" w:sz="0" w:space="0" w:color="auto"/>
        <w:left w:val="none" w:sz="0" w:space="0" w:color="auto"/>
        <w:bottom w:val="none" w:sz="0" w:space="0" w:color="auto"/>
        <w:right w:val="none" w:sz="0" w:space="0" w:color="auto"/>
      </w:divBdr>
      <w:divsChild>
        <w:div w:id="684332209">
          <w:marLeft w:val="446"/>
          <w:marRight w:val="0"/>
          <w:marTop w:val="0"/>
          <w:marBottom w:val="0"/>
          <w:divBdr>
            <w:top w:val="none" w:sz="0" w:space="0" w:color="auto"/>
            <w:left w:val="none" w:sz="0" w:space="0" w:color="auto"/>
            <w:bottom w:val="none" w:sz="0" w:space="0" w:color="auto"/>
            <w:right w:val="none" w:sz="0" w:space="0" w:color="auto"/>
          </w:divBdr>
        </w:div>
        <w:div w:id="1344354151">
          <w:marLeft w:val="446"/>
          <w:marRight w:val="0"/>
          <w:marTop w:val="0"/>
          <w:marBottom w:val="0"/>
          <w:divBdr>
            <w:top w:val="none" w:sz="0" w:space="0" w:color="auto"/>
            <w:left w:val="none" w:sz="0" w:space="0" w:color="auto"/>
            <w:bottom w:val="none" w:sz="0" w:space="0" w:color="auto"/>
            <w:right w:val="none" w:sz="0" w:space="0" w:color="auto"/>
          </w:divBdr>
        </w:div>
        <w:div w:id="1753694367">
          <w:marLeft w:val="446"/>
          <w:marRight w:val="0"/>
          <w:marTop w:val="0"/>
          <w:marBottom w:val="0"/>
          <w:divBdr>
            <w:top w:val="none" w:sz="0" w:space="0" w:color="auto"/>
            <w:left w:val="none" w:sz="0" w:space="0" w:color="auto"/>
            <w:bottom w:val="none" w:sz="0" w:space="0" w:color="auto"/>
            <w:right w:val="none" w:sz="0" w:space="0" w:color="auto"/>
          </w:divBdr>
        </w:div>
        <w:div w:id="1782064545">
          <w:marLeft w:val="446"/>
          <w:marRight w:val="0"/>
          <w:marTop w:val="0"/>
          <w:marBottom w:val="0"/>
          <w:divBdr>
            <w:top w:val="none" w:sz="0" w:space="0" w:color="auto"/>
            <w:left w:val="none" w:sz="0" w:space="0" w:color="auto"/>
            <w:bottom w:val="none" w:sz="0" w:space="0" w:color="auto"/>
            <w:right w:val="none" w:sz="0" w:space="0" w:color="auto"/>
          </w:divBdr>
        </w:div>
        <w:div w:id="1810857279">
          <w:marLeft w:val="446"/>
          <w:marRight w:val="0"/>
          <w:marTop w:val="0"/>
          <w:marBottom w:val="0"/>
          <w:divBdr>
            <w:top w:val="none" w:sz="0" w:space="0" w:color="auto"/>
            <w:left w:val="none" w:sz="0" w:space="0" w:color="auto"/>
            <w:bottom w:val="none" w:sz="0" w:space="0" w:color="auto"/>
            <w:right w:val="none" w:sz="0" w:space="0" w:color="auto"/>
          </w:divBdr>
        </w:div>
      </w:divsChild>
    </w:div>
    <w:div w:id="2003779287">
      <w:bodyDiv w:val="1"/>
      <w:marLeft w:val="0"/>
      <w:marRight w:val="0"/>
      <w:marTop w:val="0"/>
      <w:marBottom w:val="0"/>
      <w:divBdr>
        <w:top w:val="none" w:sz="0" w:space="0" w:color="auto"/>
        <w:left w:val="none" w:sz="0" w:space="0" w:color="auto"/>
        <w:bottom w:val="none" w:sz="0" w:space="0" w:color="auto"/>
        <w:right w:val="none" w:sz="0" w:space="0" w:color="auto"/>
      </w:divBdr>
      <w:divsChild>
        <w:div w:id="74523262">
          <w:marLeft w:val="0"/>
          <w:marRight w:val="0"/>
          <w:marTop w:val="0"/>
          <w:marBottom w:val="0"/>
          <w:divBdr>
            <w:top w:val="none" w:sz="0" w:space="0" w:color="auto"/>
            <w:left w:val="none" w:sz="0" w:space="0" w:color="auto"/>
            <w:bottom w:val="none" w:sz="0" w:space="0" w:color="auto"/>
            <w:right w:val="none" w:sz="0" w:space="0" w:color="auto"/>
          </w:divBdr>
        </w:div>
        <w:div w:id="330376016">
          <w:marLeft w:val="0"/>
          <w:marRight w:val="0"/>
          <w:marTop w:val="0"/>
          <w:marBottom w:val="0"/>
          <w:divBdr>
            <w:top w:val="none" w:sz="0" w:space="0" w:color="auto"/>
            <w:left w:val="none" w:sz="0" w:space="0" w:color="auto"/>
            <w:bottom w:val="none" w:sz="0" w:space="0" w:color="auto"/>
            <w:right w:val="none" w:sz="0" w:space="0" w:color="auto"/>
          </w:divBdr>
        </w:div>
        <w:div w:id="847477533">
          <w:marLeft w:val="0"/>
          <w:marRight w:val="0"/>
          <w:marTop w:val="0"/>
          <w:marBottom w:val="0"/>
          <w:divBdr>
            <w:top w:val="none" w:sz="0" w:space="0" w:color="auto"/>
            <w:left w:val="none" w:sz="0" w:space="0" w:color="auto"/>
            <w:bottom w:val="none" w:sz="0" w:space="0" w:color="auto"/>
            <w:right w:val="none" w:sz="0" w:space="0" w:color="auto"/>
          </w:divBdr>
        </w:div>
        <w:div w:id="851723174">
          <w:marLeft w:val="0"/>
          <w:marRight w:val="0"/>
          <w:marTop w:val="0"/>
          <w:marBottom w:val="0"/>
          <w:divBdr>
            <w:top w:val="none" w:sz="0" w:space="0" w:color="auto"/>
            <w:left w:val="none" w:sz="0" w:space="0" w:color="auto"/>
            <w:bottom w:val="none" w:sz="0" w:space="0" w:color="auto"/>
            <w:right w:val="none" w:sz="0" w:space="0" w:color="auto"/>
          </w:divBdr>
        </w:div>
        <w:div w:id="1040008085">
          <w:marLeft w:val="0"/>
          <w:marRight w:val="0"/>
          <w:marTop w:val="0"/>
          <w:marBottom w:val="0"/>
          <w:divBdr>
            <w:top w:val="none" w:sz="0" w:space="0" w:color="auto"/>
            <w:left w:val="none" w:sz="0" w:space="0" w:color="auto"/>
            <w:bottom w:val="none" w:sz="0" w:space="0" w:color="auto"/>
            <w:right w:val="none" w:sz="0" w:space="0" w:color="auto"/>
          </w:divBdr>
        </w:div>
        <w:div w:id="1171601410">
          <w:marLeft w:val="0"/>
          <w:marRight w:val="0"/>
          <w:marTop w:val="0"/>
          <w:marBottom w:val="0"/>
          <w:divBdr>
            <w:top w:val="none" w:sz="0" w:space="0" w:color="auto"/>
            <w:left w:val="none" w:sz="0" w:space="0" w:color="auto"/>
            <w:bottom w:val="none" w:sz="0" w:space="0" w:color="auto"/>
            <w:right w:val="none" w:sz="0" w:space="0" w:color="auto"/>
          </w:divBdr>
        </w:div>
        <w:div w:id="1195771684">
          <w:marLeft w:val="0"/>
          <w:marRight w:val="0"/>
          <w:marTop w:val="0"/>
          <w:marBottom w:val="0"/>
          <w:divBdr>
            <w:top w:val="none" w:sz="0" w:space="0" w:color="auto"/>
            <w:left w:val="none" w:sz="0" w:space="0" w:color="auto"/>
            <w:bottom w:val="none" w:sz="0" w:space="0" w:color="auto"/>
            <w:right w:val="none" w:sz="0" w:space="0" w:color="auto"/>
          </w:divBdr>
        </w:div>
        <w:div w:id="1464078261">
          <w:marLeft w:val="0"/>
          <w:marRight w:val="0"/>
          <w:marTop w:val="0"/>
          <w:marBottom w:val="0"/>
          <w:divBdr>
            <w:top w:val="none" w:sz="0" w:space="0" w:color="auto"/>
            <w:left w:val="none" w:sz="0" w:space="0" w:color="auto"/>
            <w:bottom w:val="none" w:sz="0" w:space="0" w:color="auto"/>
            <w:right w:val="none" w:sz="0" w:space="0" w:color="auto"/>
          </w:divBdr>
        </w:div>
        <w:div w:id="1488936670">
          <w:marLeft w:val="0"/>
          <w:marRight w:val="0"/>
          <w:marTop w:val="0"/>
          <w:marBottom w:val="0"/>
          <w:divBdr>
            <w:top w:val="none" w:sz="0" w:space="0" w:color="auto"/>
            <w:left w:val="none" w:sz="0" w:space="0" w:color="auto"/>
            <w:bottom w:val="none" w:sz="0" w:space="0" w:color="auto"/>
            <w:right w:val="none" w:sz="0" w:space="0" w:color="auto"/>
          </w:divBdr>
        </w:div>
        <w:div w:id="1534540297">
          <w:marLeft w:val="0"/>
          <w:marRight w:val="0"/>
          <w:marTop w:val="0"/>
          <w:marBottom w:val="0"/>
          <w:divBdr>
            <w:top w:val="none" w:sz="0" w:space="0" w:color="auto"/>
            <w:left w:val="none" w:sz="0" w:space="0" w:color="auto"/>
            <w:bottom w:val="none" w:sz="0" w:space="0" w:color="auto"/>
            <w:right w:val="none" w:sz="0" w:space="0" w:color="auto"/>
          </w:divBdr>
        </w:div>
        <w:div w:id="1590775299">
          <w:marLeft w:val="0"/>
          <w:marRight w:val="0"/>
          <w:marTop w:val="0"/>
          <w:marBottom w:val="0"/>
          <w:divBdr>
            <w:top w:val="none" w:sz="0" w:space="0" w:color="auto"/>
            <w:left w:val="none" w:sz="0" w:space="0" w:color="auto"/>
            <w:bottom w:val="none" w:sz="0" w:space="0" w:color="auto"/>
            <w:right w:val="none" w:sz="0" w:space="0" w:color="auto"/>
          </w:divBdr>
        </w:div>
        <w:div w:id="1758089364">
          <w:marLeft w:val="0"/>
          <w:marRight w:val="0"/>
          <w:marTop w:val="0"/>
          <w:marBottom w:val="0"/>
          <w:divBdr>
            <w:top w:val="none" w:sz="0" w:space="0" w:color="auto"/>
            <w:left w:val="none" w:sz="0" w:space="0" w:color="auto"/>
            <w:bottom w:val="none" w:sz="0" w:space="0" w:color="auto"/>
            <w:right w:val="none" w:sz="0" w:space="0" w:color="auto"/>
          </w:divBdr>
        </w:div>
      </w:divsChild>
    </w:div>
    <w:div w:id="2014646949">
      <w:bodyDiv w:val="1"/>
      <w:marLeft w:val="0"/>
      <w:marRight w:val="0"/>
      <w:marTop w:val="0"/>
      <w:marBottom w:val="0"/>
      <w:divBdr>
        <w:top w:val="none" w:sz="0" w:space="0" w:color="auto"/>
        <w:left w:val="none" w:sz="0" w:space="0" w:color="auto"/>
        <w:bottom w:val="none" w:sz="0" w:space="0" w:color="auto"/>
        <w:right w:val="none" w:sz="0" w:space="0" w:color="auto"/>
      </w:divBdr>
    </w:div>
    <w:div w:id="2016764750">
      <w:bodyDiv w:val="1"/>
      <w:marLeft w:val="0"/>
      <w:marRight w:val="0"/>
      <w:marTop w:val="0"/>
      <w:marBottom w:val="0"/>
      <w:divBdr>
        <w:top w:val="none" w:sz="0" w:space="0" w:color="auto"/>
        <w:left w:val="none" w:sz="0" w:space="0" w:color="auto"/>
        <w:bottom w:val="none" w:sz="0" w:space="0" w:color="auto"/>
        <w:right w:val="none" w:sz="0" w:space="0" w:color="auto"/>
      </w:divBdr>
    </w:div>
    <w:div w:id="2023242811">
      <w:bodyDiv w:val="1"/>
      <w:marLeft w:val="0"/>
      <w:marRight w:val="0"/>
      <w:marTop w:val="0"/>
      <w:marBottom w:val="0"/>
      <w:divBdr>
        <w:top w:val="none" w:sz="0" w:space="0" w:color="auto"/>
        <w:left w:val="none" w:sz="0" w:space="0" w:color="auto"/>
        <w:bottom w:val="none" w:sz="0" w:space="0" w:color="auto"/>
        <w:right w:val="none" w:sz="0" w:space="0" w:color="auto"/>
      </w:divBdr>
    </w:div>
    <w:div w:id="2049720778">
      <w:bodyDiv w:val="1"/>
      <w:marLeft w:val="0"/>
      <w:marRight w:val="0"/>
      <w:marTop w:val="0"/>
      <w:marBottom w:val="0"/>
      <w:divBdr>
        <w:top w:val="none" w:sz="0" w:space="0" w:color="auto"/>
        <w:left w:val="none" w:sz="0" w:space="0" w:color="auto"/>
        <w:bottom w:val="none" w:sz="0" w:space="0" w:color="auto"/>
        <w:right w:val="none" w:sz="0" w:space="0" w:color="auto"/>
      </w:divBdr>
    </w:div>
    <w:div w:id="2082098786">
      <w:bodyDiv w:val="1"/>
      <w:marLeft w:val="0"/>
      <w:marRight w:val="0"/>
      <w:marTop w:val="0"/>
      <w:marBottom w:val="0"/>
      <w:divBdr>
        <w:top w:val="none" w:sz="0" w:space="0" w:color="auto"/>
        <w:left w:val="none" w:sz="0" w:space="0" w:color="auto"/>
        <w:bottom w:val="none" w:sz="0" w:space="0" w:color="auto"/>
        <w:right w:val="none" w:sz="0" w:space="0" w:color="auto"/>
      </w:divBdr>
      <w:divsChild>
        <w:div w:id="2124614576">
          <w:marLeft w:val="0"/>
          <w:marRight w:val="0"/>
          <w:marTop w:val="0"/>
          <w:marBottom w:val="0"/>
          <w:divBdr>
            <w:top w:val="none" w:sz="0" w:space="0" w:color="auto"/>
            <w:left w:val="none" w:sz="0" w:space="0" w:color="auto"/>
            <w:bottom w:val="none" w:sz="0" w:space="0" w:color="auto"/>
            <w:right w:val="none" w:sz="0" w:space="0" w:color="auto"/>
          </w:divBdr>
          <w:divsChild>
            <w:div w:id="1693190465">
              <w:marLeft w:val="0"/>
              <w:marRight w:val="0"/>
              <w:marTop w:val="0"/>
              <w:marBottom w:val="0"/>
              <w:divBdr>
                <w:top w:val="none" w:sz="0" w:space="0" w:color="auto"/>
                <w:left w:val="none" w:sz="0" w:space="0" w:color="auto"/>
                <w:bottom w:val="none" w:sz="0" w:space="0" w:color="auto"/>
                <w:right w:val="none" w:sz="0" w:space="0" w:color="auto"/>
              </w:divBdr>
              <w:divsChild>
                <w:div w:id="424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1646">
      <w:bodyDiv w:val="1"/>
      <w:marLeft w:val="0"/>
      <w:marRight w:val="0"/>
      <w:marTop w:val="0"/>
      <w:marBottom w:val="0"/>
      <w:divBdr>
        <w:top w:val="none" w:sz="0" w:space="0" w:color="auto"/>
        <w:left w:val="none" w:sz="0" w:space="0" w:color="auto"/>
        <w:bottom w:val="none" w:sz="0" w:space="0" w:color="auto"/>
        <w:right w:val="none" w:sz="0" w:space="0" w:color="auto"/>
      </w:divBdr>
      <w:divsChild>
        <w:div w:id="203360403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03915164">
      <w:bodyDiv w:val="1"/>
      <w:marLeft w:val="0"/>
      <w:marRight w:val="0"/>
      <w:marTop w:val="0"/>
      <w:marBottom w:val="0"/>
      <w:divBdr>
        <w:top w:val="none" w:sz="0" w:space="0" w:color="auto"/>
        <w:left w:val="none" w:sz="0" w:space="0" w:color="auto"/>
        <w:bottom w:val="none" w:sz="0" w:space="0" w:color="auto"/>
        <w:right w:val="none" w:sz="0" w:space="0" w:color="auto"/>
      </w:divBdr>
      <w:divsChild>
        <w:div w:id="176505332">
          <w:marLeft w:val="547"/>
          <w:marRight w:val="0"/>
          <w:marTop w:val="0"/>
          <w:marBottom w:val="0"/>
          <w:divBdr>
            <w:top w:val="none" w:sz="0" w:space="0" w:color="auto"/>
            <w:left w:val="none" w:sz="0" w:space="0" w:color="auto"/>
            <w:bottom w:val="none" w:sz="0" w:space="0" w:color="auto"/>
            <w:right w:val="none" w:sz="0" w:space="0" w:color="auto"/>
          </w:divBdr>
        </w:div>
        <w:div w:id="206574660">
          <w:marLeft w:val="547"/>
          <w:marRight w:val="0"/>
          <w:marTop w:val="0"/>
          <w:marBottom w:val="0"/>
          <w:divBdr>
            <w:top w:val="none" w:sz="0" w:space="0" w:color="auto"/>
            <w:left w:val="none" w:sz="0" w:space="0" w:color="auto"/>
            <w:bottom w:val="none" w:sz="0" w:space="0" w:color="auto"/>
            <w:right w:val="none" w:sz="0" w:space="0" w:color="auto"/>
          </w:divBdr>
        </w:div>
        <w:div w:id="781876094">
          <w:marLeft w:val="547"/>
          <w:marRight w:val="0"/>
          <w:marTop w:val="0"/>
          <w:marBottom w:val="0"/>
          <w:divBdr>
            <w:top w:val="none" w:sz="0" w:space="0" w:color="auto"/>
            <w:left w:val="none" w:sz="0" w:space="0" w:color="auto"/>
            <w:bottom w:val="none" w:sz="0" w:space="0" w:color="auto"/>
            <w:right w:val="none" w:sz="0" w:space="0" w:color="auto"/>
          </w:divBdr>
        </w:div>
        <w:div w:id="2032996300">
          <w:marLeft w:val="547"/>
          <w:marRight w:val="0"/>
          <w:marTop w:val="0"/>
          <w:marBottom w:val="0"/>
          <w:divBdr>
            <w:top w:val="none" w:sz="0" w:space="0" w:color="auto"/>
            <w:left w:val="none" w:sz="0" w:space="0" w:color="auto"/>
            <w:bottom w:val="none" w:sz="0" w:space="0" w:color="auto"/>
            <w:right w:val="none" w:sz="0" w:space="0" w:color="auto"/>
          </w:divBdr>
        </w:div>
      </w:divsChild>
    </w:div>
    <w:div w:id="2138988588">
      <w:bodyDiv w:val="1"/>
      <w:marLeft w:val="0"/>
      <w:marRight w:val="0"/>
      <w:marTop w:val="0"/>
      <w:marBottom w:val="0"/>
      <w:divBdr>
        <w:top w:val="none" w:sz="0" w:space="0" w:color="auto"/>
        <w:left w:val="none" w:sz="0" w:space="0" w:color="auto"/>
        <w:bottom w:val="none" w:sz="0" w:space="0" w:color="auto"/>
        <w:right w:val="none" w:sz="0" w:space="0" w:color="auto"/>
      </w:divBdr>
    </w:div>
    <w:div w:id="214349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g"/><Relationship Id="rId15" Type="http://schemas.openxmlformats.org/officeDocument/2006/relationships/image" Target="media/image5.png"/><Relationship Id="rId16" Type="http://schemas.openxmlformats.org/officeDocument/2006/relationships/footer" Target="footer1.xm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2.xml"/><Relationship Id="rId50" Type="http://schemas.openxmlformats.org/officeDocument/2006/relationships/hyperlink" Target="http://www.ifc.org/" TargetMode="External"/><Relationship Id="rId51" Type="http://schemas.openxmlformats.org/officeDocument/2006/relationships/hyperlink" Target="http://www.jica.go.jp/" TargetMode="External"/><Relationship Id="rId52" Type="http://schemas.openxmlformats.org/officeDocument/2006/relationships/hyperlink" Target="http://mucodec.com/" TargetMode="External"/><Relationship Id="rId53" Type="http://schemas.openxmlformats.org/officeDocument/2006/relationships/hyperlink" Target="http://www.norad.no/" TargetMode="External"/><Relationship Id="rId54" Type="http://schemas.openxmlformats.org/officeDocument/2006/relationships/hyperlink" Target="http://www.opic.gov/" TargetMode="External"/><Relationship Id="rId55" Type="http://schemas.openxmlformats.org/officeDocument/2006/relationships/hyperlink" Target="http://www.proparco.fr/" TargetMode="External"/><Relationship Id="rId56" Type="http://schemas.openxmlformats.org/officeDocument/2006/relationships/hyperlink" Target="http://www.usaid.gov/" TargetMode="Externa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hyperlink" Target="http://www.cafi.org/" TargetMode="External"/><Relationship Id="rId41" Type="http://schemas.openxmlformats.org/officeDocument/2006/relationships/hyperlink" Target="http://carpe.umd.edu/" TargetMode="External"/><Relationship Id="rId42" Type="http://schemas.openxmlformats.org/officeDocument/2006/relationships/hyperlink" Target="http://www.cdcgroup.com/" TargetMode="External"/><Relationship Id="rId43" Type="http://schemas.openxmlformats.org/officeDocument/2006/relationships/hyperlink" Target="http://www.euredd.efi.int/" TargetMode="External"/><Relationship Id="rId44" Type="http://schemas.openxmlformats.org/officeDocument/2006/relationships/hyperlink" Target="http://ec.europa.eu/europeaid/" TargetMode="External"/><Relationship Id="rId45" Type="http://schemas.openxmlformats.org/officeDocument/2006/relationships/hyperlink" Target="http://www.forestcarbonpartnership.org/" TargetMode="External"/><Relationship Id="rId46" Type="http://schemas.openxmlformats.org/officeDocument/2006/relationships/hyperlink" Target="http://www.thegef.org/" TargetMode="External"/><Relationship Id="rId47" Type="http://schemas.openxmlformats.org/officeDocument/2006/relationships/hyperlink" Target="https://www-cif.climateinvestmentfunds.org/" TargetMode="External"/><Relationship Id="rId48" Type="http://schemas.openxmlformats.org/officeDocument/2006/relationships/hyperlink" Target="http://www.ifad.org/" TargetMode="External"/><Relationship Id="rId49" Type="http://schemas.openxmlformats.org/officeDocument/2006/relationships/hyperlink" Target="http://www.greenclimate.fund/"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hyperlink" Target="http://www.afdb.org/fileadmin/uploads/afdb/Documents/Generic-Documents/ACCF_2014_Annual_Report.pdf" TargetMode="External"/><Relationship Id="rId31" Type="http://schemas.openxmlformats.org/officeDocument/2006/relationships/hyperlink" Target="http://www.ifad.org/gbdocs/eb/98/e/EB-2009-98-R-20.pdf" TargetMode="External"/><Relationship Id="rId32" Type="http://schemas.openxmlformats.org/officeDocument/2006/relationships/hyperlink" Target="http://www.ifad.org/pub/brochure/ifadglance_f.pdf" TargetMode="External"/><Relationship Id="rId33" Type="http://schemas.openxmlformats.org/officeDocument/2006/relationships/hyperlink" Target="http://www.lesclesdumoyenorient.com/Aide-au-developpement-des-pays.html" TargetMode="External"/><Relationship Id="rId34" Type="http://schemas.openxmlformats.org/officeDocument/2006/relationships/hyperlink" Target="http://www.adaptation-fund.org/" TargetMode="External"/><Relationship Id="rId35" Type="http://schemas.openxmlformats.org/officeDocument/2006/relationships/hyperlink" Target="http://www.badea.org/" TargetMode="External"/><Relationship Id="rId36" Type="http://schemas.openxmlformats.org/officeDocument/2006/relationships/hyperlink" Target="http://www.worldbank.org/" TargetMode="External"/><Relationship Id="rId37" Type="http://schemas.openxmlformats.org/officeDocument/2006/relationships/hyperlink" Target="http://www.bdeac.org/" TargetMode="External"/><Relationship Id="rId38" Type="http://schemas.openxmlformats.org/officeDocument/2006/relationships/hyperlink" Target="http://www.bmz.de/" TargetMode="External"/><Relationship Id="rId39" Type="http://schemas.openxmlformats.org/officeDocument/2006/relationships/hyperlink" Target="http://www.cadfund.com/" TargetMode="External"/><Relationship Id="rId20" Type="http://schemas.openxmlformats.org/officeDocument/2006/relationships/header" Target="header3.xml"/><Relationship Id="rId21" Type="http://schemas.openxmlformats.org/officeDocument/2006/relationships/image" Target="media/image6.emf"/><Relationship Id="rId22" Type="http://schemas.openxmlformats.org/officeDocument/2006/relationships/image" Target="media/image7.emf"/><Relationship Id="rId23" Type="http://schemas.openxmlformats.org/officeDocument/2006/relationships/image" Target="media/image8.png"/><Relationship Id="rId24" Type="http://schemas.openxmlformats.org/officeDocument/2006/relationships/image" Target="media/image9.jpeg"/><Relationship Id="rId25" Type="http://schemas.openxmlformats.org/officeDocument/2006/relationships/hyperlink" Target="http://www.euredd.efi.int/roc" TargetMode="External"/><Relationship Id="rId26" Type="http://schemas.openxmlformats.org/officeDocument/2006/relationships/chart" Target="charts/chart1.xml"/><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www.afdb.org" TargetMode="External"/><Relationship Id="rId14" Type="http://schemas.openxmlformats.org/officeDocument/2006/relationships/hyperlink" Target="http://cbn-group.com/fr/actu.php?idPost=1436273539" TargetMode="External"/><Relationship Id="rId15" Type="http://schemas.openxmlformats.org/officeDocument/2006/relationships/hyperlink" Target="https://www.bdeac.org/" TargetMode="External"/><Relationship Id="rId16" Type="http://schemas.openxmlformats.org/officeDocument/2006/relationships/hyperlink" Target="http://gabonreview.com/blog/guichet-concessionnel-beac/" TargetMode="External"/><Relationship Id="rId17" Type="http://schemas.openxmlformats.org/officeDocument/2006/relationships/hyperlink" Target="http://www.ifad.org" TargetMode="External"/><Relationship Id="rId18" Type="http://schemas.openxmlformats.org/officeDocument/2006/relationships/hyperlink" Target="https://www.ifad.org/en/topic/asap/tags/climate_change/2782790" TargetMode="External"/><Relationship Id="rId19" Type="http://schemas.openxmlformats.org/officeDocument/2006/relationships/hyperlink" Target="http://www.development-finance.org" TargetMode="External"/><Relationship Id="rId63" Type="http://schemas.openxmlformats.org/officeDocument/2006/relationships/hyperlink" Target="http://www.fondationtns.org" TargetMode="External"/><Relationship Id="rId64" Type="http://schemas.openxmlformats.org/officeDocument/2006/relationships/hyperlink" Target="http://www.worldbank.org" TargetMode="External"/><Relationship Id="rId65" Type="http://schemas.openxmlformats.org/officeDocument/2006/relationships/hyperlink" Target="http://www.investmentmap.org/prioritySector.aspx?selCtry=COG&amp;selInds=&amp;selOpt=inward&amp;selYear" TargetMode="External"/><Relationship Id="rId66" Type="http://schemas.openxmlformats.org/officeDocument/2006/relationships/hyperlink" Target="http://donnees.banquemondiale.org/indicateur/BX.KLT.DINV.CD.WD" TargetMode="External"/><Relationship Id="rId67" Type="http://schemas.openxmlformats.org/officeDocument/2006/relationships/hyperlink" Target="http://www.gatesfoundation.org" TargetMode="External"/><Relationship Id="rId68" Type="http://schemas.openxmlformats.org/officeDocument/2006/relationships/hyperlink" Target="http://www.macfound.org" TargetMode="External"/><Relationship Id="rId69" Type="http://schemas.openxmlformats.org/officeDocument/2006/relationships/hyperlink" Target="http://www.moore.org" TargetMode="External"/><Relationship Id="rId50" Type="http://schemas.openxmlformats.org/officeDocument/2006/relationships/hyperlink" Target="https://www.gov.uk/government/publications/international-climate-fund/international-climate-fund" TargetMode="External"/><Relationship Id="rId51" Type="http://schemas.openxmlformats.org/officeDocument/2006/relationships/hyperlink" Target="http://www.climatefundsupdate.org/listing/international-climate-fund" TargetMode="External"/><Relationship Id="rId52" Type="http://schemas.openxmlformats.org/officeDocument/2006/relationships/hyperlink" Target="https://www.norad.no/" TargetMode="External"/><Relationship Id="rId53" Type="http://schemas.openxmlformats.org/officeDocument/2006/relationships/hyperlink" Target="https://www.regjeringen.no/en/topics/climate-and-environment/climate/climate-and-forest-initiative/id2000712/" TargetMode="External"/><Relationship Id="rId54" Type="http://schemas.openxmlformats.org/officeDocument/2006/relationships/hyperlink" Target="http://www.ipsinternational.org/fr/_note.asp?idnews=7510" TargetMode="External"/><Relationship Id="rId55" Type="http://schemas.openxmlformats.org/officeDocument/2006/relationships/hyperlink" Target="http://www.cadfund.com/fr/index.aspx" TargetMode="External"/><Relationship Id="rId56" Type="http://schemas.openxmlformats.org/officeDocument/2006/relationships/hyperlink" Target="http://www.focac.org/fra/zxxx/t1105041.htm" TargetMode="External"/><Relationship Id="rId57" Type="http://schemas.openxmlformats.org/officeDocument/2006/relationships/hyperlink" Target="http://french.peopledaily.com.cn/Chine/n3/2016/0108/c31354-9000658.html" TargetMode="External"/><Relationship Id="rId58" Type="http://schemas.openxmlformats.org/officeDocument/2006/relationships/hyperlink" Target="http://www.jica.go.jp/" TargetMode="External"/><Relationship Id="rId59" Type="http://schemas.openxmlformats.org/officeDocument/2006/relationships/hyperlink" Target="http://fr.allafrica.com/stories/201602260866.html" TargetMode="External"/><Relationship Id="rId40" Type="http://schemas.openxmlformats.org/officeDocument/2006/relationships/hyperlink" Target="https://www.deginvest.de/International-financing/DEG/Die-DEG" TargetMode="External"/><Relationship Id="rId41" Type="http://schemas.openxmlformats.org/officeDocument/2006/relationships/hyperlink" Target="https://www.international-climate-initiative.com/" TargetMode="External"/><Relationship Id="rId42" Type="http://schemas.openxmlformats.org/officeDocument/2006/relationships/hyperlink" Target="http://www.ecosystemmarketplace.com/articles/redd-early-movers-program-expands-ecuador-colombia/" TargetMode="External"/><Relationship Id="rId43" Type="http://schemas.openxmlformats.org/officeDocument/2006/relationships/hyperlink" Target="http://gcpf.lu/" TargetMode="External"/><Relationship Id="rId44" Type="http://schemas.openxmlformats.org/officeDocument/2006/relationships/hyperlink" Target="https://www.usaid.gov/" TargetMode="External"/><Relationship Id="rId45" Type="http://schemas.openxmlformats.org/officeDocument/2006/relationships/hyperlink" Target="http://www.opic.gov" TargetMode="External"/><Relationship Id="rId46" Type="http://schemas.openxmlformats.org/officeDocument/2006/relationships/hyperlink" Target="https://www.usaid.gov/climate/program-profiles" TargetMode="External"/><Relationship Id="rId47" Type="http://schemas.openxmlformats.org/officeDocument/2006/relationships/hyperlink" Target="http://carpe.umd.edu/" TargetMode="External"/><Relationship Id="rId48" Type="http://schemas.openxmlformats.org/officeDocument/2006/relationships/hyperlink" Target="http://www.gov.uk/government/organisations/department-for-international-development" TargetMode="External"/><Relationship Id="rId49" Type="http://schemas.openxmlformats.org/officeDocument/2006/relationships/hyperlink" Target="http://www.apvflegtcongo.info/index.php/actualite/117-projet-appui-a-la-mise-en-oeuvre-de-l-apv-flegt-en-republique-du-congo-signature-du-contrat-entre-le-mefdd-et-le-consortium-frmi-atibt-pour-la-fourniture-de-l-assistance-technique-principale" TargetMode="External"/><Relationship Id="rId1" Type="http://schemas.openxmlformats.org/officeDocument/2006/relationships/hyperlink" Target="http://www.oecd.org/fr/cad/stats/aidepubliqueaudeveloppementdefinitionetchampcouvert.htm" TargetMode="External"/><Relationship Id="rId2" Type="http://schemas.openxmlformats.org/officeDocument/2006/relationships/hyperlink" Target="http://www.oecd.org" TargetMode="External"/><Relationship Id="rId3" Type="http://schemas.openxmlformats.org/officeDocument/2006/relationships/hyperlink" Target="http://www.worldbank.org/en/country/congo" TargetMode="External"/><Relationship Id="rId4" Type="http://schemas.openxmlformats.org/officeDocument/2006/relationships/hyperlink" Target="http://documents.banquemondiale.org/curated/fr/2012/09/16966277/congo-republic-country-partnership-strategy-period-fy13-fy16" TargetMode="External"/><Relationship Id="rId5" Type="http://schemas.openxmlformats.org/officeDocument/2006/relationships/hyperlink" Target="http://www.diplomatie.gouv.fr/fr/politique-etrangere-de-la-france/aide-au-developpement/dispositif-institutionnel-et-canaux-d-acheminement-de-l-aide-francaise/canaux-d-acheminement-de-l-aide/article/les-institutions-financieres" TargetMode="External"/><Relationship Id="rId6" Type="http://schemas.openxmlformats.org/officeDocument/2006/relationships/hyperlink" Target="http://www.ifc.org" TargetMode="External"/><Relationship Id="rId7" Type="http://schemas.openxmlformats.org/officeDocument/2006/relationships/hyperlink" Target="http://ifcext.ifc.org/IFCExt/pressroom/IFCPressRoom.nsf/0/2496FA9F4832D2B385257CF2003D78FE?OpenDocument" TargetMode="External"/><Relationship Id="rId8" Type="http://schemas.openxmlformats.org/officeDocument/2006/relationships/hyperlink" Target="http://ifcext.ifc.org/IFCExt/pressroom/IFCPressRoom.nsf/0/904DDB2AE13A298F85257D6E005EF651?OpenDocument" TargetMode="External"/><Relationship Id="rId9" Type="http://schemas.openxmlformats.org/officeDocument/2006/relationships/hyperlink" Target="http://www.forestcarbonpartnership.org" TargetMode="External"/><Relationship Id="rId30" Type="http://schemas.openxmlformats.org/officeDocument/2006/relationships/hyperlink" Target="https://www.forestcarbonpartnership.org/sites/fcp/files/2015/August/FCPF_August2015_RoC.pdf" TargetMode="External"/><Relationship Id="rId31" Type="http://schemas.openxmlformats.org/officeDocument/2006/relationships/hyperlink" Target="https://www.adaptation-fund.org/" TargetMode="External"/><Relationship Id="rId32" Type="http://schemas.openxmlformats.org/officeDocument/2006/relationships/hyperlink" Target="https://data.oecd.org/fr/oda/apd-nette.htm" TargetMode="External"/><Relationship Id="rId33" Type="http://schemas.openxmlformats.org/officeDocument/2006/relationships/hyperlink" Target="http://www.afd.fr" TargetMode="External"/><Relationship Id="rId34" Type="http://schemas.openxmlformats.org/officeDocument/2006/relationships/hyperlink" Target="http://www.proparco.fr/" TargetMode="External"/><Relationship Id="rId35" Type="http://schemas.openxmlformats.org/officeDocument/2006/relationships/hyperlink" Target="http://www.ffem.fr/" TargetMode="External"/><Relationship Id="rId36" Type="http://schemas.openxmlformats.org/officeDocument/2006/relationships/hyperlink" Target="http://www.proparco.fr/webdav/site/proparco/shared/ELEMENTS_COMMUNS/PROPARCO/Nos_activites/Climat/Multipays_ICCF_Proparco-FR.pdf" TargetMode="External"/><Relationship Id="rId37" Type="http://schemas.openxmlformats.org/officeDocument/2006/relationships/hyperlink" Target="http://www.tresor.economie.gouv.fr/fasep" TargetMode="External"/><Relationship Id="rId38" Type="http://schemas.openxmlformats.org/officeDocument/2006/relationships/hyperlink" Target="http://www.bmz.de/" TargetMode="External"/><Relationship Id="rId39" Type="http://schemas.openxmlformats.org/officeDocument/2006/relationships/hyperlink" Target="http://www.comifac.org" TargetMode="External"/><Relationship Id="rId80" Type="http://schemas.openxmlformats.org/officeDocument/2006/relationships/hyperlink" Target="http://mucodec.com/" TargetMode="External"/><Relationship Id="rId81" Type="http://schemas.openxmlformats.org/officeDocument/2006/relationships/hyperlink" Target="http://www.portail242.info/Le-Congo-Brazzaville-va-ouvrir-le-Capital-de-46-entreprises-publiques-a-des-investisseurs-etrangers_a771.html" TargetMode="External"/><Relationship Id="rId70" Type="http://schemas.openxmlformats.org/officeDocument/2006/relationships/hyperlink" Target="http://janegoodall.fr/" TargetMode="External"/><Relationship Id="rId71" Type="http://schemas.openxmlformats.org/officeDocument/2006/relationships/hyperlink" Target="http://www.aspinallfoundation.org" TargetMode="External"/><Relationship Id="rId72" Type="http://schemas.openxmlformats.org/officeDocument/2006/relationships/hyperlink" Target="http://adiac-congo.com/content/fonds-routier-50-milliards-fcfa-un-budget-en-regression-pour-lexercice-2015-37737" TargetMode="External"/><Relationship Id="rId20" Type="http://schemas.openxmlformats.org/officeDocument/2006/relationships/hyperlink" Target="http://www.ofid.org" TargetMode="External"/><Relationship Id="rId21" Type="http://schemas.openxmlformats.org/officeDocument/2006/relationships/hyperlink" Target="http://www.badea.org" TargetMode="External"/><Relationship Id="rId22" Type="http://schemas.openxmlformats.org/officeDocument/2006/relationships/hyperlink" Target="http://ec.europa.eu/europeaid/" TargetMode="External"/><Relationship Id="rId23" Type="http://schemas.openxmlformats.org/officeDocument/2006/relationships/hyperlink" Target="http://www.touteleurope.eu/les-politiques-europeennes/aide-au-developpement/synthese/fonctionnement-de-l-aide-au-developpement-de-l-union-europeenne.html" TargetMode="External"/><Relationship Id="rId24" Type="http://schemas.openxmlformats.org/officeDocument/2006/relationships/hyperlink" Target="http://eeas.europa.eu/delegations/congo/projects/overview/index_fr.htm" TargetMode="External"/><Relationship Id="rId25" Type="http://schemas.openxmlformats.org/officeDocument/2006/relationships/hyperlink" Target="http://apvflegtcongo.info/index.php/actualite/113-mise-en-oeuvre-de-l-apv-flegt-lancement-des-activites-du-projet-systeme-informatique-de-verification-de-la-legalite-des-bois-et-produits-derives-en-republique-du-congo" TargetMode="External"/><Relationship Id="rId26" Type="http://schemas.openxmlformats.org/officeDocument/2006/relationships/hyperlink" Target="http://www.gcca.eu/fr/a-propos-de-lamcc/quest-ce-que-lamccamcc" TargetMode="External"/><Relationship Id="rId27" Type="http://schemas.openxmlformats.org/officeDocument/2006/relationships/hyperlink" Target="http://www.greenclimate.fund/" TargetMode="External"/><Relationship Id="rId28" Type="http://schemas.openxmlformats.org/officeDocument/2006/relationships/hyperlink" Target="http://www.cop21.gouv.fr/les-huit-premiers-projets-finances-par-le-fonds-vert-pour-le-climat/" TargetMode="External"/><Relationship Id="rId29" Type="http://schemas.openxmlformats.org/officeDocument/2006/relationships/hyperlink" Target="https://www.thegef.org/" TargetMode="External"/><Relationship Id="rId73" Type="http://schemas.openxmlformats.org/officeDocument/2006/relationships/hyperlink" Target="http://francais.doingbusiness.org/data/exploreeconomies/congo-rep" TargetMode="External"/><Relationship Id="rId74" Type="http://schemas.openxmlformats.org/officeDocument/2006/relationships/hyperlink" Target="https://www.mfw4a.org/fr/republique-du-congo/le-secteur-financier.html" TargetMode="External"/><Relationship Id="rId75" Type="http://schemas.openxmlformats.org/officeDocument/2006/relationships/hyperlink" Target="http://www.afd.fr/home/pays/afrique/geo-afr/congo/Projets-congo/appui-au-secteur-prive" TargetMode="External"/><Relationship Id="rId76" Type="http://schemas.openxmlformats.org/officeDocument/2006/relationships/hyperlink" Target="https://www.beac.int/download/Liste_Banques_%20Congo_28oct2014.pdf" TargetMode="External"/><Relationship Id="rId77" Type="http://schemas.openxmlformats.org/officeDocument/2006/relationships/hyperlink" Target="http://fr.infosgabon.com/conference-de-brazzaville-sur-lacces-aux-services-financiers-en-zone-cemac/" TargetMode="External"/><Relationship Id="rId78" Type="http://schemas.openxmlformats.org/officeDocument/2006/relationships/hyperlink" Target="http://www.jeuneafrique.com/271504/economie/agricultural-bank-of-china-sinstalle-a-brazzaville/" TargetMode="External"/><Relationship Id="rId79" Type="http://schemas.openxmlformats.org/officeDocument/2006/relationships/hyperlink" Target="http://www.microfinancegateway.org/fr/pays/r%C3%A9publique-du-congo" TargetMode="External"/><Relationship Id="rId60" Type="http://schemas.openxmlformats.org/officeDocument/2006/relationships/hyperlink" Target="http://fr.allafrica.com/stories/201502210520.html" TargetMode="External"/><Relationship Id="rId61" Type="http://schemas.openxmlformats.org/officeDocument/2006/relationships/hyperlink" Target="http://www.canadainternational.gc.ca/congo/bilateral_relations_bilaterales/canada_rc.aspx?lang=fra" TargetMode="External"/><Relationship Id="rId62" Type="http://schemas.openxmlformats.org/officeDocument/2006/relationships/hyperlink" Target="http://www.sida.se/contentassets/897af6e1851747c896128f001e0b2b57/miljofolder_orig.pdf" TargetMode="External"/><Relationship Id="rId10" Type="http://schemas.openxmlformats.org/officeDocument/2006/relationships/hyperlink" Target="https://www-cif.climateinvestmentfunds.org" TargetMode="External"/><Relationship Id="rId11" Type="http://schemas.openxmlformats.org/officeDocument/2006/relationships/hyperlink" Target="http://www.cafi.org" TargetMode="External"/><Relationship Id="rId12" Type="http://schemas.openxmlformats.org/officeDocument/2006/relationships/hyperlink" Target="http://www.unredd.net/index.php?option=com_content&amp;view=article&amp;id=2406:us-200-million-agreement-signed-between-cafi-and-the-drc-set-to-prevent-tree-loss-and-ensure-sustainable-development&amp;catid=98:general&amp;Itemid=74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233;r&#244;me\Documents\J&#233;r&#244;me\Boulot\TEREA\2014_10%20AO%20TEREA%20Guyane\Proposition%20technique\2014%2010%2002%20Canevas%20AO%20Guyane%20avec%20char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Feuil1!$A$8:$A$19</c:f>
              <c:strCache>
                <c:ptCount val="12"/>
                <c:pt idx="0">
                  <c:v>États-Unis</c:v>
                </c:pt>
                <c:pt idx="1">
                  <c:v>Royaume-Uni</c:v>
                </c:pt>
                <c:pt idx="2">
                  <c:v>France</c:v>
                </c:pt>
                <c:pt idx="3">
                  <c:v>Allemagne</c:v>
                </c:pt>
                <c:pt idx="4">
                  <c:v>Japon</c:v>
                </c:pt>
                <c:pt idx="5">
                  <c:v>Canada</c:v>
                </c:pt>
                <c:pt idx="6">
                  <c:v>Suède</c:v>
                </c:pt>
                <c:pt idx="7">
                  <c:v>Norvège</c:v>
                </c:pt>
                <c:pt idx="8">
                  <c:v>Pays-Bas</c:v>
                </c:pt>
                <c:pt idx="9">
                  <c:v>Danemark</c:v>
                </c:pt>
                <c:pt idx="10">
                  <c:v>Suisse</c:v>
                </c:pt>
                <c:pt idx="11">
                  <c:v>Belgique</c:v>
                </c:pt>
              </c:strCache>
            </c:strRef>
          </c:cat>
          <c:val>
            <c:numRef>
              <c:f>Feuil1!$B$8:$B$19</c:f>
              <c:numCache>
                <c:formatCode>#\ ##0_m;\-#\ ##0_m;"-"_m</c:formatCode>
                <c:ptCount val="12"/>
                <c:pt idx="0">
                  <c:v>9313.65</c:v>
                </c:pt>
                <c:pt idx="1">
                  <c:v>3677.216699999999</c:v>
                </c:pt>
                <c:pt idx="2">
                  <c:v>2062.82</c:v>
                </c:pt>
                <c:pt idx="3">
                  <c:v>1733.90648</c:v>
                </c:pt>
                <c:pt idx="4">
                  <c:v>1267.630000000001</c:v>
                </c:pt>
                <c:pt idx="5">
                  <c:v>1203.01427</c:v>
                </c:pt>
                <c:pt idx="6">
                  <c:v>1022.50401</c:v>
                </c:pt>
                <c:pt idx="7">
                  <c:v>885.3920999999999</c:v>
                </c:pt>
                <c:pt idx="8">
                  <c:v>736.2789100000002</c:v>
                </c:pt>
                <c:pt idx="9">
                  <c:v>586.00325</c:v>
                </c:pt>
                <c:pt idx="10">
                  <c:v>530.17</c:v>
                </c:pt>
                <c:pt idx="11">
                  <c:v>504.9000000000001</c:v>
                </c:pt>
              </c:numCache>
            </c:numRef>
          </c:val>
        </c:ser>
        <c:dLbls>
          <c:showLegendKey val="0"/>
          <c:showVal val="0"/>
          <c:showCatName val="0"/>
          <c:showSerName val="0"/>
          <c:showPercent val="0"/>
          <c:showBubbleSize val="0"/>
        </c:dLbls>
        <c:gapWidth val="150"/>
        <c:axId val="2083406232"/>
        <c:axId val="2083419080"/>
      </c:barChart>
      <c:catAx>
        <c:axId val="208340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419080"/>
        <c:crosses val="autoZero"/>
        <c:auto val="1"/>
        <c:lblAlgn val="ctr"/>
        <c:lblOffset val="100"/>
        <c:noMultiLvlLbl val="0"/>
      </c:catAx>
      <c:valAx>
        <c:axId val="2083419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millions</a:t>
                </a:r>
                <a:r>
                  <a:rPr lang="fr-FR" baseline="0"/>
                  <a:t> </a:t>
                </a:r>
                <a:r>
                  <a:rPr lang="fr-FR" sz="1000" b="0" i="0" u="none" strike="noStrike" kern="1200" baseline="0">
                    <a:solidFill>
                      <a:sysClr val="windowText" lastClr="000000">
                        <a:lumMod val="65000"/>
                        <a:lumOff val="35000"/>
                      </a:sysClr>
                    </a:solidFill>
                    <a:latin typeface="+mn-lt"/>
                    <a:ea typeface="+mn-ea"/>
                    <a:cs typeface="+mn-cs"/>
                  </a:rPr>
                  <a:t>d’USD</a:t>
                </a:r>
                <a:endParaRPr lang="fr-FR"/>
              </a:p>
            </c:rich>
          </c:tx>
          <c:layout/>
          <c:overlay val="0"/>
          <c:spPr>
            <a:noFill/>
            <a:ln>
              <a:noFill/>
            </a:ln>
            <a:effectLst/>
          </c:spPr>
        </c:title>
        <c:numFmt formatCode="#\ ##0_m;\-#\ ##0_m;&quot;-&quot;_m"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406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3.jpeg"/><Relationship Id="rId2" Type="http://schemas.openxmlformats.org/officeDocument/2006/relationships/image" Target="../media/image14.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
  <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B15EA98B-2241-4B26-B144-7EAE4DB42745}">
  <ds:schemaRefs>
    <ds:schemaRef ds:uri="http://schemas.microsoft.com/sharepoint/v3/contenttype/forms"/>
  </ds:schemaRefs>
</ds:datastoreItem>
</file>

<file path=customXml/itemProps3.xml><?xml version="1.0" encoding="utf-8"?>
<ds:datastoreItem xmlns:ds="http://schemas.openxmlformats.org/officeDocument/2006/customXml" ds:itemID="{C8FF184B-440D-CB4B-90D6-713DAE465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\Users\Jérôme\Documents\Jérôme\Boulot\TEREA\2014_10 AO TEREA Guyane\Proposition technique\2014 10 02 Canevas AO Guyane avec charte.dotx</Template>
  <TotalTime>7</TotalTime>
  <Pages>69</Pages>
  <Words>26640</Words>
  <Characters>151854</Characters>
  <Application>Microsoft Macintosh Word</Application>
  <DocSecurity>0</DocSecurity>
  <Lines>1265</Lines>
  <Paragraphs>356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PROFORMA 2014-044</vt:lpstr>
      <vt:lpstr>PROFORMA 2014-044</vt:lpstr>
    </vt:vector>
  </TitlesOfParts>
  <Company>Grizli777</Company>
  <LinksUpToDate>false</LinksUpToDate>
  <CharactersWithSpaces>178138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PROFORMA 2014-044</dc:title>
  <dc:subject/>
  <dc:creator>Jérôme</dc:creator>
  <cp:keywords/>
  <dc:description/>
  <cp:lastModifiedBy>user</cp:lastModifiedBy>
  <cp:revision>2</cp:revision>
  <cp:lastPrinted>2016-04-23T20:29:00Z</cp:lastPrinted>
  <dcterms:created xsi:type="dcterms:W3CDTF">2016-07-04T09:49:00Z</dcterms:created>
  <dcterms:modified xsi:type="dcterms:W3CDTF">2016-07-04T09:49:00Z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