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0FFB85" w14:textId="6F482DCF" w:rsidR="00AE49D7" w:rsidRPr="00350038" w:rsidRDefault="007701D0">
      <w:pPr>
        <w:spacing w:after="0" w:line="240" w:lineRule="auto"/>
        <w:ind w:left="-142"/>
        <w:rPr>
          <w:lang w:val="fr-FR"/>
        </w:rPr>
      </w:pPr>
      <w:r>
        <w:rPr>
          <w:noProof/>
          <w:sz w:val="24"/>
          <w:lang w:val="en-US" w:eastAsia="en-US"/>
        </w:rPr>
        <w:drawing>
          <wp:inline distT="0" distB="0" distL="0" distR="0" wp14:anchorId="75BC4624" wp14:editId="2A508D44">
            <wp:extent cx="1133475" cy="739140"/>
            <wp:effectExtent l="0" t="0" r="9525" b="381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739140"/>
                    </a:xfrm>
                    <a:prstGeom prst="rect">
                      <a:avLst/>
                    </a:prstGeom>
                    <a:noFill/>
                    <a:ln>
                      <a:noFill/>
                    </a:ln>
                  </pic:spPr>
                </pic:pic>
              </a:graphicData>
            </a:graphic>
          </wp:inline>
        </w:drawing>
      </w:r>
    </w:p>
    <w:p w14:paraId="6B30F8F4" w14:textId="77777777" w:rsidR="00AE49D7" w:rsidRPr="00350038" w:rsidRDefault="00AE49D7">
      <w:pPr>
        <w:rPr>
          <w:lang w:val="fr-FR"/>
        </w:rPr>
      </w:pPr>
    </w:p>
    <w:p w14:paraId="50CB8819" w14:textId="77777777" w:rsidR="00AE49D7" w:rsidRPr="00350038" w:rsidRDefault="00AE49D7">
      <w:pPr>
        <w:rPr>
          <w:lang w:val="fr-FR"/>
        </w:rPr>
      </w:pPr>
    </w:p>
    <w:tbl>
      <w:tblPr>
        <w:tblStyle w:val="Style"/>
        <w:tblW w:w="5692" w:type="dxa"/>
        <w:jc w:val="righ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2"/>
      </w:tblGrid>
      <w:tr w:rsidR="00AE49D7" w:rsidRPr="00350038" w14:paraId="04910B33" w14:textId="77777777">
        <w:trPr>
          <w:trHeight w:val="1400"/>
          <w:jc w:val="right"/>
        </w:trPr>
        <w:tc>
          <w:tcPr>
            <w:tcW w:w="5692" w:type="dxa"/>
            <w:tcBorders>
              <w:top w:val="nil"/>
              <w:left w:val="nil"/>
              <w:bottom w:val="nil"/>
              <w:right w:val="nil"/>
            </w:tcBorders>
            <w:shd w:val="clear" w:color="auto" w:fill="FFFFFF"/>
          </w:tcPr>
          <w:p w14:paraId="2B3110CF" w14:textId="77777777" w:rsidR="00AE49D7" w:rsidRPr="00350038" w:rsidRDefault="00AE49D7" w:rsidP="00E5420F">
            <w:pPr>
              <w:tabs>
                <w:tab w:val="left" w:pos="2100"/>
              </w:tabs>
              <w:spacing w:after="0" w:line="240" w:lineRule="auto"/>
              <w:rPr>
                <w:rFonts w:ascii="Franklin Gothic Book" w:hAnsi="Franklin Gothic Book" w:cs="Source Sans Pro"/>
                <w:b/>
                <w:sz w:val="56"/>
                <w:lang w:val="fr-FR"/>
              </w:rPr>
            </w:pPr>
            <w:r w:rsidRPr="00350038">
              <w:rPr>
                <w:rFonts w:ascii="Franklin Gothic Book" w:hAnsi="Franklin Gothic Book" w:cs="Source Sans Pro"/>
                <w:b/>
                <w:sz w:val="56"/>
                <w:lang w:val="fr-FR"/>
              </w:rPr>
              <w:t xml:space="preserve">Approche par pays en matière de garanties : </w:t>
            </w:r>
          </w:p>
          <w:p w14:paraId="145E93FE" w14:textId="77777777" w:rsidR="00AE49D7" w:rsidRPr="00350038" w:rsidRDefault="00AE49D7" w:rsidP="00E5420F">
            <w:pPr>
              <w:tabs>
                <w:tab w:val="left" w:pos="2100"/>
              </w:tabs>
              <w:spacing w:after="0" w:line="240" w:lineRule="auto"/>
              <w:rPr>
                <w:rFonts w:ascii="Franklin Gothic Book" w:hAnsi="Franklin Gothic Book" w:cs="Source Sans Pro"/>
                <w:b/>
                <w:sz w:val="56"/>
                <w:lang w:val="fr-FR"/>
              </w:rPr>
            </w:pPr>
          </w:p>
          <w:p w14:paraId="0B6032FF" w14:textId="77777777" w:rsidR="00AE49D7" w:rsidRPr="00350038" w:rsidRDefault="00AE49D7" w:rsidP="00E5420F">
            <w:pPr>
              <w:tabs>
                <w:tab w:val="left" w:pos="2100"/>
              </w:tabs>
              <w:spacing w:after="0" w:line="240" w:lineRule="auto"/>
              <w:rPr>
                <w:rFonts w:ascii="Franklin Gothic Book" w:hAnsi="Franklin Gothic Book"/>
                <w:b/>
                <w:sz w:val="56"/>
                <w:lang w:val="fr-FR"/>
              </w:rPr>
            </w:pPr>
            <w:r w:rsidRPr="00350038">
              <w:rPr>
                <w:rFonts w:ascii="Franklin Gothic Book" w:hAnsi="Franklin Gothic Book" w:cs="Source Sans Pro"/>
                <w:b/>
                <w:sz w:val="56"/>
                <w:lang w:val="fr-FR"/>
              </w:rPr>
              <w:t>Cadre d’évaluation des avantages et risques</w:t>
            </w:r>
          </w:p>
        </w:tc>
      </w:tr>
      <w:tr w:rsidR="00AE49D7" w:rsidRPr="00350038" w14:paraId="577E87A7" w14:textId="77777777">
        <w:trPr>
          <w:trHeight w:val="380"/>
          <w:jc w:val="right"/>
        </w:trPr>
        <w:tc>
          <w:tcPr>
            <w:tcW w:w="5692" w:type="dxa"/>
            <w:tcBorders>
              <w:left w:val="nil"/>
              <w:bottom w:val="nil"/>
              <w:right w:val="nil"/>
            </w:tcBorders>
            <w:shd w:val="clear" w:color="auto" w:fill="FFFFFF"/>
          </w:tcPr>
          <w:p w14:paraId="4B675D99" w14:textId="77777777" w:rsidR="00AE49D7" w:rsidRPr="00350038" w:rsidRDefault="00AE49D7" w:rsidP="00E5420F">
            <w:pPr>
              <w:spacing w:after="0" w:line="240" w:lineRule="auto"/>
              <w:rPr>
                <w:sz w:val="32"/>
                <w:lang w:val="fr-FR"/>
              </w:rPr>
            </w:pPr>
            <w:r w:rsidRPr="00350038">
              <w:rPr>
                <w:color w:val="548DD4"/>
                <w:sz w:val="32"/>
                <w:lang w:val="fr-FR"/>
              </w:rPr>
              <w:t>PROGRAMME ONU-REDD</w:t>
            </w:r>
          </w:p>
        </w:tc>
      </w:tr>
      <w:tr w:rsidR="00AE49D7" w:rsidRPr="00350038" w14:paraId="6F394876" w14:textId="77777777">
        <w:trPr>
          <w:trHeight w:val="340"/>
          <w:jc w:val="right"/>
        </w:trPr>
        <w:tc>
          <w:tcPr>
            <w:tcW w:w="5692" w:type="dxa"/>
            <w:tcBorders>
              <w:left w:val="nil"/>
              <w:bottom w:val="nil"/>
              <w:right w:val="nil"/>
            </w:tcBorders>
            <w:shd w:val="clear" w:color="auto" w:fill="FFFFFF"/>
          </w:tcPr>
          <w:p w14:paraId="2C27000A" w14:textId="77777777" w:rsidR="00AE49D7" w:rsidRPr="00350038" w:rsidRDefault="00AE49D7" w:rsidP="00B70276">
            <w:pPr>
              <w:spacing w:after="0" w:line="240" w:lineRule="auto"/>
              <w:rPr>
                <w:lang w:val="fr-FR"/>
              </w:rPr>
            </w:pPr>
            <w:r w:rsidRPr="00350038">
              <w:rPr>
                <w:sz w:val="28"/>
                <w:lang w:val="fr-FR"/>
              </w:rPr>
              <w:t>Juin 2015</w:t>
            </w:r>
          </w:p>
        </w:tc>
      </w:tr>
    </w:tbl>
    <w:p w14:paraId="039DC5FD" w14:textId="77777777" w:rsidR="00AE49D7" w:rsidRPr="00350038" w:rsidRDefault="00AE49D7">
      <w:pPr>
        <w:rPr>
          <w:lang w:val="fr-FR"/>
        </w:rPr>
      </w:pPr>
      <w:r w:rsidRPr="00350038">
        <w:rPr>
          <w:lang w:val="fr-FR"/>
        </w:rPr>
        <w:br w:type="page"/>
      </w:r>
    </w:p>
    <w:p w14:paraId="56C13CC5" w14:textId="77777777" w:rsidR="00AE49D7" w:rsidRPr="00350038" w:rsidRDefault="00AE49D7" w:rsidP="0074308B">
      <w:pPr>
        <w:spacing w:after="0" w:line="240" w:lineRule="auto"/>
        <w:jc w:val="both"/>
        <w:rPr>
          <w:lang w:val="fr-FR"/>
        </w:rPr>
      </w:pPr>
      <w:bookmarkStart w:id="0" w:name="h.gjdgxs" w:colFirst="0" w:colLast="0"/>
      <w:bookmarkEnd w:id="0"/>
      <w:r w:rsidRPr="00350038">
        <w:rPr>
          <w:lang w:val="fr-FR"/>
        </w:rPr>
        <w:lastRenderedPageBreak/>
        <w:t xml:space="preserve">Le présent  document </w:t>
      </w:r>
      <w:r w:rsidR="00951485">
        <w:rPr>
          <w:lang w:val="fr-FR"/>
        </w:rPr>
        <w:t>réunit</w:t>
      </w:r>
      <w:r w:rsidRPr="00350038">
        <w:rPr>
          <w:lang w:val="fr-FR"/>
        </w:rPr>
        <w:t xml:space="preserve"> une série de tableaux </w:t>
      </w:r>
      <w:r w:rsidR="00951485">
        <w:rPr>
          <w:lang w:val="fr-FR"/>
        </w:rPr>
        <w:t xml:space="preserve">mettant en évidence </w:t>
      </w:r>
      <w:r w:rsidRPr="00350038">
        <w:rPr>
          <w:lang w:val="fr-FR"/>
        </w:rPr>
        <w:t>les questions d’orientation employées dans l’outil du Programme ONU-REDD sur les avantages et les risques (</w:t>
      </w:r>
      <w:hyperlink r:id="rId9">
        <w:r w:rsidRPr="00350038">
          <w:rPr>
            <w:color w:val="1155CC"/>
            <w:u w:val="single"/>
            <w:lang w:val="fr-FR"/>
          </w:rPr>
          <w:t>BeRT v2.0</w:t>
        </w:r>
      </w:hyperlink>
      <w:r w:rsidRPr="00350038">
        <w:rPr>
          <w:lang w:val="fr-FR"/>
        </w:rPr>
        <w:t xml:space="preserve">) ; il constitue ainsi un aide-mémoire et offre un autre accès, dans un format linéaire, aux diverses composantes de l’outil. Le format tabulaire du contenu du BeRT est destiné à compléter le BeRT et </w:t>
      </w:r>
      <w:r w:rsidR="00951485">
        <w:rPr>
          <w:lang w:val="fr-FR"/>
        </w:rPr>
        <w:t xml:space="preserve">à </w:t>
      </w:r>
      <w:r w:rsidRPr="00350038">
        <w:rPr>
          <w:lang w:val="fr-FR"/>
        </w:rPr>
        <w:t xml:space="preserve">être employé en conjonction avec lui. Les utilisateurs du présent document sont invités à transmettre tous leurs commentaires concernant la teneur et la structure de ce cadre, de même que sur le BeRT, au </w:t>
      </w:r>
      <w:hyperlink r:id="rId10">
        <w:r w:rsidRPr="00350038">
          <w:rPr>
            <w:color w:val="1155CC"/>
            <w:u w:val="single"/>
            <w:lang w:val="fr-FR"/>
          </w:rPr>
          <w:t>groupe de coordination sur les garanties</w:t>
        </w:r>
      </w:hyperlink>
      <w:r w:rsidRPr="00350038">
        <w:rPr>
          <w:lang w:val="fr-FR"/>
        </w:rPr>
        <w:t xml:space="preserve"> (</w:t>
      </w:r>
      <w:hyperlink r:id="rId11">
        <w:r w:rsidRPr="00350038">
          <w:rPr>
            <w:color w:val="1155CC"/>
            <w:u w:val="single"/>
            <w:lang w:val="fr-FR"/>
          </w:rPr>
          <w:t>garanties@un-redd.org</w:t>
        </w:r>
      </w:hyperlink>
      <w:r w:rsidRPr="00350038">
        <w:rPr>
          <w:lang w:val="fr-FR"/>
        </w:rPr>
        <w:t xml:space="preserve">). Les observations des utilisateurs seront mises à profit pour nourrir les futures versions de ces outils de connaissance. </w:t>
      </w:r>
    </w:p>
    <w:p w14:paraId="4E4544CE" w14:textId="77777777" w:rsidR="00AE49D7" w:rsidRPr="00350038" w:rsidRDefault="00AE49D7" w:rsidP="0074308B">
      <w:pPr>
        <w:spacing w:after="0" w:line="240" w:lineRule="auto"/>
        <w:jc w:val="both"/>
        <w:rPr>
          <w:lang w:val="fr-FR"/>
        </w:rPr>
      </w:pPr>
    </w:p>
    <w:p w14:paraId="526D7A9C" w14:textId="77777777" w:rsidR="00AE49D7" w:rsidRPr="00350038" w:rsidRDefault="00AE49D7" w:rsidP="0074308B">
      <w:pPr>
        <w:spacing w:after="0" w:line="240" w:lineRule="auto"/>
        <w:jc w:val="both"/>
        <w:rPr>
          <w:lang w:val="fr-FR"/>
        </w:rPr>
      </w:pPr>
      <w:r w:rsidRPr="00350038">
        <w:rPr>
          <w:lang w:val="fr-FR"/>
        </w:rPr>
        <w:t>Le BeRT est destiné à aider les pays à mettre en évidence les avantages et risques associés aux actions de REDD+ ou aux politiques et mesures (P&amp;M) définis par un pays durant l’élaboration de son stratégie/plan d’action national de REDD+. Il permet de déterminer dans quelle mesure les politiques, lois et règlement</w:t>
      </w:r>
      <w:r>
        <w:rPr>
          <w:lang w:val="fr-FR"/>
        </w:rPr>
        <w:t>ation</w:t>
      </w:r>
      <w:r w:rsidRPr="00350038">
        <w:rPr>
          <w:lang w:val="fr-FR"/>
        </w:rPr>
        <w:t xml:space="preserve">s (PLR) </w:t>
      </w:r>
      <w:r>
        <w:rPr>
          <w:lang w:val="fr-FR"/>
        </w:rPr>
        <w:t>pré</w:t>
      </w:r>
      <w:r w:rsidRPr="00350038">
        <w:rPr>
          <w:lang w:val="fr-FR"/>
        </w:rPr>
        <w:t>existantes du pays remédient déjà aux risquent ou promeuvent les avantages recensés, tout en détectant les lacunes dans la prise en compte et le respect des Cancún garanties (</w:t>
      </w:r>
      <w:hyperlink r:id="rId12">
        <w:r w:rsidRPr="00350038">
          <w:rPr>
            <w:color w:val="1155CC"/>
            <w:u w:val="single"/>
            <w:lang w:val="fr-FR"/>
          </w:rPr>
          <w:t xml:space="preserve">1/CP.16, annexe I) </w:t>
        </w:r>
      </w:hyperlink>
      <w:r w:rsidRPr="00350038">
        <w:rPr>
          <w:lang w:val="fr-FR"/>
        </w:rPr>
        <w:t xml:space="preserve">à mesure que la REDD+ est mise en œuvre. Il peut contribuer à signaler aux décideurs les actions qu’il convient de prévoir dans la stratégie de REDD+ d’un pays. </w:t>
      </w:r>
    </w:p>
    <w:p w14:paraId="4D05A277" w14:textId="77777777" w:rsidR="00AE49D7" w:rsidRPr="00350038" w:rsidRDefault="00AE49D7" w:rsidP="0074308B">
      <w:pPr>
        <w:spacing w:after="0" w:line="240" w:lineRule="auto"/>
        <w:jc w:val="both"/>
        <w:rPr>
          <w:lang w:val="fr-FR"/>
        </w:rPr>
      </w:pPr>
    </w:p>
    <w:p w14:paraId="6C36895E" w14:textId="77777777" w:rsidR="00AE49D7" w:rsidRPr="00350038" w:rsidRDefault="00AE49D7" w:rsidP="0074308B">
      <w:pPr>
        <w:spacing w:after="0" w:line="240" w:lineRule="auto"/>
        <w:jc w:val="both"/>
        <w:rPr>
          <w:lang w:val="fr-FR"/>
        </w:rPr>
      </w:pPr>
      <w:r w:rsidRPr="00350038">
        <w:rPr>
          <w:lang w:val="fr-FR"/>
        </w:rPr>
        <w:t>L’outil (BeRT) contribue à l’approche par pays en matière de garanties (voir la figure ci-dessous) en évaluant les avantages et risques des P&amp;M, et il offre des éléments de contenu à reprendre dans le résumé des informations sur</w:t>
      </w:r>
      <w:r>
        <w:rPr>
          <w:lang w:val="fr-FR"/>
        </w:rPr>
        <w:t xml:space="preserve"> </w:t>
      </w:r>
      <w:r w:rsidRPr="00350038">
        <w:rPr>
          <w:lang w:val="fr-FR"/>
        </w:rPr>
        <w:t xml:space="preserve">la manière dont les pays prennent en compte et respectent les garanties dans leurs PLR existantes. </w:t>
      </w:r>
    </w:p>
    <w:p w14:paraId="0340C8B3" w14:textId="77777777" w:rsidR="00AE49D7" w:rsidRPr="00350038" w:rsidRDefault="00AE49D7" w:rsidP="0074308B">
      <w:pPr>
        <w:spacing w:after="0" w:line="240" w:lineRule="auto"/>
        <w:jc w:val="both"/>
        <w:rPr>
          <w:lang w:val="fr-FR"/>
        </w:rPr>
      </w:pPr>
    </w:p>
    <w:p w14:paraId="67601DB8" w14:textId="5FBF87D9" w:rsidR="00AE49D7" w:rsidRPr="00350038" w:rsidRDefault="007701D0" w:rsidP="0074308B">
      <w:pPr>
        <w:spacing w:after="0" w:line="240" w:lineRule="auto"/>
        <w:jc w:val="both"/>
        <w:rPr>
          <w:lang w:val="fr-FR"/>
        </w:rPr>
      </w:pPr>
      <w:r>
        <w:rPr>
          <w:noProof/>
          <w:lang w:val="en-US" w:eastAsia="en-US"/>
        </w:rPr>
        <w:drawing>
          <wp:inline distT="0" distB="0" distL="0" distR="0" wp14:anchorId="52DBB981" wp14:editId="22CE4F28">
            <wp:extent cx="6191885" cy="42849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885" cy="4284980"/>
                    </a:xfrm>
                    <a:prstGeom prst="rect">
                      <a:avLst/>
                    </a:prstGeom>
                    <a:noFill/>
                    <a:ln>
                      <a:noFill/>
                    </a:ln>
                  </pic:spPr>
                </pic:pic>
              </a:graphicData>
            </a:graphic>
          </wp:inline>
        </w:drawing>
      </w:r>
    </w:p>
    <w:p w14:paraId="6D60F981" w14:textId="77777777" w:rsidR="00AE49D7" w:rsidRPr="00350038" w:rsidRDefault="00AE49D7" w:rsidP="0074308B">
      <w:pPr>
        <w:spacing w:after="0" w:line="240" w:lineRule="auto"/>
        <w:jc w:val="both"/>
        <w:rPr>
          <w:lang w:val="fr-FR"/>
        </w:rPr>
      </w:pPr>
    </w:p>
    <w:p w14:paraId="3C50BCA7" w14:textId="77777777" w:rsidR="00AE49D7" w:rsidRPr="00350038" w:rsidRDefault="00AE49D7" w:rsidP="0074308B">
      <w:pPr>
        <w:spacing w:after="0" w:line="240" w:lineRule="auto"/>
        <w:jc w:val="both"/>
        <w:rPr>
          <w:lang w:val="fr-FR"/>
        </w:rPr>
      </w:pPr>
      <w:r w:rsidRPr="00350038">
        <w:rPr>
          <w:lang w:val="fr-FR"/>
        </w:rPr>
        <w:t xml:space="preserve">Disponible en format Excel, l’outil BeRT interactif est conçu pour contribuer aux ateliers multipartites dans le cadre de l’approche par pays en matière de garanties de la REDD+. En appliquant les trois modules de l’outil, </w:t>
      </w:r>
      <w:r w:rsidRPr="00350038">
        <w:rPr>
          <w:lang w:val="fr-FR"/>
        </w:rPr>
        <w:lastRenderedPageBreak/>
        <w:t xml:space="preserve">les parties prenantes peuvent élaborer un tableau des actions de REDD+ ou des P&amp;M candidates ; un tableau des avantages et risques potentiels soulevés par chacune des garanties ; et un tableau des PLR existantes </w:t>
      </w:r>
      <w:r w:rsidR="00951485">
        <w:rPr>
          <w:lang w:val="fr-FR"/>
        </w:rPr>
        <w:t xml:space="preserve">concernant </w:t>
      </w:r>
      <w:r w:rsidRPr="00350038">
        <w:rPr>
          <w:lang w:val="fr-FR"/>
        </w:rPr>
        <w:t xml:space="preserve">les garanties, de la manière dont les PLR abordent les avantages et risques et une liste des lacunes décelées dans les PLR. </w:t>
      </w:r>
    </w:p>
    <w:p w14:paraId="00623700" w14:textId="77777777" w:rsidR="00AE49D7" w:rsidRPr="00350038" w:rsidRDefault="00AE49D7" w:rsidP="0074308B">
      <w:pPr>
        <w:spacing w:after="0" w:line="240" w:lineRule="auto"/>
        <w:jc w:val="both"/>
        <w:rPr>
          <w:lang w:val="fr-FR"/>
        </w:rPr>
        <w:sectPr w:rsidR="00AE49D7" w:rsidRPr="00350038">
          <w:headerReference w:type="default" r:id="rId14"/>
          <w:footerReference w:type="default" r:id="rId15"/>
          <w:footerReference w:type="first" r:id="rId16"/>
          <w:pgSz w:w="11906" w:h="16838"/>
          <w:pgMar w:top="1411" w:right="1080" w:bottom="1440" w:left="1080" w:header="720" w:footer="720" w:gutter="0"/>
          <w:pgNumType w:start="1"/>
          <w:cols w:space="720"/>
          <w:titlePg/>
          <w:docGrid w:linePitch="299"/>
        </w:sectPr>
      </w:pPr>
    </w:p>
    <w:p w14:paraId="52E4B6CB" w14:textId="77777777" w:rsidR="00AE49D7" w:rsidRPr="00350038" w:rsidRDefault="00AE49D7" w:rsidP="00E528CC">
      <w:pPr>
        <w:pStyle w:val="Heading1"/>
        <w:jc w:val="center"/>
        <w:rPr>
          <w:rFonts w:ascii="Calibri" w:hAnsi="Calibri"/>
          <w:sz w:val="52"/>
          <w:lang w:val="fr-FR"/>
        </w:rPr>
      </w:pPr>
      <w:bookmarkStart w:id="1" w:name="_Toc403632336"/>
      <w:r w:rsidRPr="00350038">
        <w:rPr>
          <w:rFonts w:ascii="Calibri" w:hAnsi="Calibri"/>
          <w:sz w:val="52"/>
          <w:lang w:val="fr-FR"/>
        </w:rPr>
        <w:lastRenderedPageBreak/>
        <w:t>Garantie (a) – Cohérence avec les objectifs nationaux et les accords internationaux</w:t>
      </w:r>
      <w:bookmarkEnd w:id="1"/>
    </w:p>
    <w:tbl>
      <w:tblPr>
        <w:tblStyle w:val="TableGrid"/>
        <w:tblW w:w="0" w:type="auto"/>
        <w:tblLook w:val="00A0" w:firstRow="1" w:lastRow="0" w:firstColumn="1" w:lastColumn="0" w:noHBand="0" w:noVBand="0"/>
      </w:tblPr>
      <w:tblGrid>
        <w:gridCol w:w="11808"/>
        <w:gridCol w:w="10350"/>
      </w:tblGrid>
      <w:tr w:rsidR="00AE49D7" w:rsidRPr="00350038" w14:paraId="1FBF94EA" w14:textId="77777777">
        <w:tc>
          <w:tcPr>
            <w:tcW w:w="22158" w:type="dxa"/>
            <w:gridSpan w:val="2"/>
            <w:shd w:val="clear" w:color="auto" w:fill="44546A"/>
          </w:tcPr>
          <w:p w14:paraId="2B4561A4"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Principaux enjeux</w:t>
            </w:r>
          </w:p>
        </w:tc>
      </w:tr>
      <w:tr w:rsidR="00AE49D7" w:rsidRPr="00350038" w14:paraId="016C99BF" w14:textId="77777777">
        <w:trPr>
          <w:trHeight w:val="2899"/>
        </w:trPr>
        <w:tc>
          <w:tcPr>
            <w:tcW w:w="22158" w:type="dxa"/>
            <w:gridSpan w:val="2"/>
          </w:tcPr>
          <w:p w14:paraId="13C0A1AA"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Respect des engagements internationaux sur le climat ; contribution aux objectifs nationaux en matière de politique climatique, notamment les stratégies d’atténuation et d’adaptation.</w:t>
            </w:r>
          </w:p>
          <w:p w14:paraId="6006A343"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Respect des acquis des objectifs du millénaire pour le développement et des objectifs de développement durable pour l’après-2015 ; contribution aux stratégies nationales de réduction de la pauvreté.</w:t>
            </w:r>
          </w:p>
          <w:p w14:paraId="79B23D7E"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Respect des engagements internationaux sur l’environnement ; contribution aux politiques nationales de conservation de la biodiversité (notamment les stratégies et les plans d’action nationaux pour la biodiversité), et aux autres objectifs de gestion de l’environnement et des ressources naturelles.</w:t>
            </w:r>
          </w:p>
          <w:p w14:paraId="45EE0A27"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Respect des obligations de l’Etat en matière de droits humains découlant du droit international, notamment les principaux instruments internationaux relatifs aux droits humains et la convention n° 169 de l’OIT, le cas échéant.</w:t>
            </w:r>
          </w:p>
          <w:p w14:paraId="58084BEA"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Adéquation et complémentarité avec les objectifs du programme forestier national.</w:t>
            </w:r>
          </w:p>
          <w:p w14:paraId="5155305D"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Coordination entre les institutions et les organismes de mise en œuvre pour la REDD+, les programmes forestiers nationaux et la/les politique(s) nationale(s) appliquant les conventions et accords internationaux.</w:t>
            </w:r>
          </w:p>
          <w:p w14:paraId="4C2D5041"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Respect des autres conventions et accords internationaux applicables.</w:t>
            </w:r>
          </w:p>
        </w:tc>
      </w:tr>
      <w:tr w:rsidR="00AE49D7" w:rsidRPr="00350038" w14:paraId="592DD739" w14:textId="77777777">
        <w:tc>
          <w:tcPr>
            <w:tcW w:w="11808" w:type="dxa"/>
            <w:tcBorders>
              <w:top w:val="double" w:sz="4" w:space="0" w:color="auto"/>
              <w:left w:val="double" w:sz="4" w:space="0" w:color="auto"/>
              <w:bottom w:val="double" w:sz="4" w:space="0" w:color="auto"/>
              <w:right w:val="double" w:sz="4" w:space="0" w:color="auto"/>
            </w:tcBorders>
            <w:shd w:val="clear" w:color="auto" w:fill="44546A"/>
          </w:tcPr>
          <w:p w14:paraId="3E52D67B"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Analyse des risques/avantages</w:t>
            </w:r>
          </w:p>
        </w:tc>
        <w:tc>
          <w:tcPr>
            <w:tcW w:w="10350" w:type="dxa"/>
            <w:tcBorders>
              <w:top w:val="double" w:sz="4" w:space="0" w:color="auto"/>
              <w:left w:val="double" w:sz="4" w:space="0" w:color="auto"/>
              <w:bottom w:val="double" w:sz="4" w:space="0" w:color="auto"/>
              <w:right w:val="double" w:sz="4" w:space="0" w:color="auto"/>
            </w:tcBorders>
            <w:shd w:val="clear" w:color="auto" w:fill="44546A"/>
          </w:tcPr>
          <w:p w14:paraId="0AFAF8F7"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Examen des politiques, lois et règlements</w:t>
            </w:r>
          </w:p>
        </w:tc>
      </w:tr>
      <w:tr w:rsidR="00AE49D7" w:rsidRPr="00350038" w14:paraId="60AE98CE" w14:textId="77777777" w:rsidTr="0056516D">
        <w:trPr>
          <w:trHeight w:val="2148"/>
        </w:trPr>
        <w:tc>
          <w:tcPr>
            <w:tcW w:w="11808" w:type="dxa"/>
            <w:tcBorders>
              <w:top w:val="double" w:sz="4" w:space="0" w:color="auto"/>
              <w:left w:val="double" w:sz="4" w:space="0" w:color="auto"/>
              <w:right w:val="double" w:sz="4" w:space="0" w:color="auto"/>
            </w:tcBorders>
          </w:tcPr>
          <w:p w14:paraId="4EA68816"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Les actions de REDD+ / P&amp;M sont-elles susceptibles de :</w:t>
            </w:r>
          </w:p>
          <w:p w14:paraId="65BFA0C9"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Contribuer spécifiquement à la réalisation des objectifs du programme forestier national ?</w:t>
            </w:r>
          </w:p>
          <w:p w14:paraId="03883556"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Contribuer spécifiquement à la réalisation des objectifs de la politique d’adaptation aux changements climatiques (par ex. sur la restauration des bassins versants dégradés afin de réduire les risques d’inondation), ou des objectifs de renforcement de l’atténuation des changements climatiques ?</w:t>
            </w:r>
          </w:p>
          <w:p w14:paraId="1B72D074"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Contribuer spécifiquement à la réalisation des objectifs du millénaire pour le développement ou d’autres engagements internationaux relatifs à la réduction de la pauvreté ?</w:t>
            </w:r>
          </w:p>
          <w:p w14:paraId="1EB3AC10"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Contribuer spécifiquement à la réalisation des objectifs de la Convention sur la diversité biologique (par ex. en restaurant les forêts grâce à des espèces indigènes) ?</w:t>
            </w:r>
          </w:p>
          <w:p w14:paraId="6DDCA4F2"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Susciter des effets négatifs inéquitables ou discriminatoires pour les populations affectées, en particulier celles vivant dans la pauvreté, ou pour les individus ou les groupes marginalisés ou souffrant d’exclusion ?</w:t>
            </w:r>
            <w:r w:rsidRPr="008F04FF">
              <w:rPr>
                <w:rStyle w:val="FootnoteReference"/>
                <w:rFonts w:eastAsia="Times New Roman"/>
                <w:sz w:val="28"/>
                <w:lang w:val="fr-FR"/>
              </w:rPr>
              <w:t xml:space="preserve"> </w:t>
            </w:r>
          </w:p>
          <w:p w14:paraId="44B0CE87" w14:textId="77777777" w:rsidR="00AE49D7" w:rsidRPr="008F04FF" w:rsidRDefault="00AE49D7" w:rsidP="008F04FF">
            <w:pPr>
              <w:pStyle w:val="ListParagraph"/>
              <w:spacing w:after="0" w:line="240" w:lineRule="auto"/>
              <w:ind w:left="360"/>
              <w:rPr>
                <w:sz w:val="28"/>
                <w:lang w:val="fr-FR"/>
              </w:rPr>
            </w:pPr>
          </w:p>
          <w:p w14:paraId="4DEFD933"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Un risque de conflit existe-t-il entre les actions de REDD+ / P&amp;M candidates et :</w:t>
            </w:r>
          </w:p>
          <w:p w14:paraId="056C504C" w14:textId="77777777" w:rsidR="00AE49D7" w:rsidRPr="008F04FF" w:rsidRDefault="00AE49D7" w:rsidP="008F04FF">
            <w:pPr>
              <w:pStyle w:val="ListParagraph"/>
              <w:numPr>
                <w:ilvl w:val="0"/>
                <w:numId w:val="24"/>
              </w:numPr>
              <w:spacing w:after="0" w:line="240" w:lineRule="auto"/>
              <w:rPr>
                <w:sz w:val="28"/>
                <w:lang w:val="fr-FR"/>
              </w:rPr>
            </w:pPr>
            <w:r w:rsidRPr="008F04FF">
              <w:rPr>
                <w:sz w:val="28"/>
                <w:lang w:val="fr-FR"/>
              </w:rPr>
              <w:t>D’autres stratégies d’atténuation des changements climatiques (par ex. concernant les exigences de production bioénergétique en termes de biomasse terrestre et ligneuse, ou le développement d’énergies de substitution, telles que l’hydroélectricité ou les champs d’éoliennes) ?</w:t>
            </w:r>
          </w:p>
          <w:p w14:paraId="27513420" w14:textId="77777777" w:rsidR="00AE49D7" w:rsidRPr="008F04FF" w:rsidRDefault="00AE49D7" w:rsidP="008F04FF">
            <w:pPr>
              <w:pStyle w:val="ListParagraph"/>
              <w:numPr>
                <w:ilvl w:val="0"/>
                <w:numId w:val="24"/>
              </w:numPr>
              <w:spacing w:after="0" w:line="240" w:lineRule="auto"/>
              <w:rPr>
                <w:sz w:val="28"/>
                <w:lang w:val="fr-FR"/>
              </w:rPr>
            </w:pPr>
            <w:r w:rsidRPr="008F04FF">
              <w:rPr>
                <w:sz w:val="28"/>
                <w:lang w:val="fr-FR"/>
              </w:rPr>
              <w:t>Les stratégies nationales de réduction de la pauvreté (par ex. des projets de développement des infrastructure ou l’agriculture) ?</w:t>
            </w:r>
          </w:p>
          <w:p w14:paraId="71497229" w14:textId="77777777" w:rsidR="00AE49D7" w:rsidRPr="008F04FF" w:rsidRDefault="00AE49D7" w:rsidP="008F04FF">
            <w:pPr>
              <w:pStyle w:val="ListParagraph"/>
              <w:numPr>
                <w:ilvl w:val="0"/>
                <w:numId w:val="24"/>
              </w:numPr>
              <w:spacing w:after="0" w:line="240" w:lineRule="auto"/>
              <w:rPr>
                <w:sz w:val="28"/>
                <w:lang w:val="fr-FR"/>
              </w:rPr>
            </w:pPr>
            <w:r w:rsidRPr="008F04FF">
              <w:rPr>
                <w:sz w:val="28"/>
                <w:lang w:val="fr-FR"/>
              </w:rPr>
              <w:t xml:space="preserve">D’autres objectifs et stratégies des politiques en matière d’environnement (par ex. plans </w:t>
            </w:r>
            <w:r w:rsidR="00951485">
              <w:rPr>
                <w:sz w:val="28"/>
                <w:lang w:val="fr-FR"/>
              </w:rPr>
              <w:t>concernant les</w:t>
            </w:r>
            <w:r w:rsidRPr="008F04FF">
              <w:rPr>
                <w:sz w:val="28"/>
                <w:lang w:val="fr-FR"/>
              </w:rPr>
              <w:t xml:space="preserve"> forêts communautaires ou de production dans le cadre du programme forestier national, ou pour une extension de la superficie des zones</w:t>
            </w:r>
            <w:r w:rsidR="00951485">
              <w:rPr>
                <w:sz w:val="28"/>
                <w:lang w:val="fr-FR"/>
              </w:rPr>
              <w:t xml:space="preserve"> protégées dans le cadre de la st</w:t>
            </w:r>
            <w:r w:rsidRPr="008F04FF">
              <w:rPr>
                <w:sz w:val="28"/>
                <w:lang w:val="fr-FR"/>
              </w:rPr>
              <w:t>ratégie et plan d’action national pour la biodiversité) ?</w:t>
            </w:r>
          </w:p>
          <w:p w14:paraId="29AD7420" w14:textId="77777777" w:rsidR="00AE49D7" w:rsidRPr="008F04FF" w:rsidRDefault="00AE49D7" w:rsidP="00951485">
            <w:pPr>
              <w:pStyle w:val="ListParagraph"/>
              <w:numPr>
                <w:ilvl w:val="0"/>
                <w:numId w:val="24"/>
              </w:numPr>
              <w:spacing w:after="0" w:line="240" w:lineRule="auto"/>
              <w:rPr>
                <w:sz w:val="28"/>
                <w:lang w:val="fr-FR"/>
              </w:rPr>
            </w:pPr>
            <w:r w:rsidRPr="008F04FF">
              <w:rPr>
                <w:sz w:val="28"/>
                <w:lang w:val="fr-FR"/>
              </w:rPr>
              <w:t xml:space="preserve">Les obligations de l’Etat en matière de droits humains découlant du droit international, </w:t>
            </w:r>
            <w:r w:rsidRPr="008F04FF">
              <w:rPr>
                <w:sz w:val="28"/>
                <w:lang w:val="fr-FR"/>
              </w:rPr>
              <w:lastRenderedPageBreak/>
              <w:t>notamment les neuf principaux traités internationaux relatifs aux droits humains et la convention n°</w:t>
            </w:r>
            <w:r w:rsidR="00951485">
              <w:rPr>
                <w:sz w:val="28"/>
                <w:lang w:val="fr-FR"/>
              </w:rPr>
              <w:t> </w:t>
            </w:r>
            <w:r w:rsidRPr="008F04FF">
              <w:rPr>
                <w:sz w:val="28"/>
                <w:lang w:val="fr-FR"/>
              </w:rPr>
              <w:t>169 de l’OIT, le cas échéant ?</w:t>
            </w:r>
          </w:p>
        </w:tc>
        <w:tc>
          <w:tcPr>
            <w:tcW w:w="10350" w:type="dxa"/>
            <w:tcBorders>
              <w:top w:val="double" w:sz="4" w:space="0" w:color="auto"/>
              <w:left w:val="double" w:sz="4" w:space="0" w:color="auto"/>
              <w:right w:val="double" w:sz="4" w:space="0" w:color="auto"/>
            </w:tcBorders>
          </w:tcPr>
          <w:p w14:paraId="7E4CB262"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lastRenderedPageBreak/>
              <w:t xml:space="preserve">La stratégie ou le plan d’action national de REDD+ mentionne-t-il, dans la mise en œuvre des conventions et accords internationaux concernés, </w:t>
            </w:r>
            <w:r w:rsidR="00951485">
              <w:rPr>
                <w:color w:val="auto"/>
                <w:sz w:val="28"/>
                <w:lang w:val="fr-FR" w:eastAsia="en-US"/>
              </w:rPr>
              <w:t xml:space="preserve">les </w:t>
            </w:r>
            <w:r w:rsidRPr="008F04FF">
              <w:rPr>
                <w:color w:val="auto"/>
                <w:sz w:val="28"/>
                <w:lang w:val="fr-FR" w:eastAsia="en-US"/>
              </w:rPr>
              <w:t>législations et politiques nationales suivantes</w:t>
            </w:r>
            <w:r w:rsidR="00951485">
              <w:rPr>
                <w:color w:val="auto"/>
                <w:sz w:val="28"/>
                <w:lang w:val="fr-FR" w:eastAsia="en-US"/>
              </w:rPr>
              <w:t xml:space="preserve"> (</w:t>
            </w:r>
            <w:r w:rsidR="00951485" w:rsidRPr="00951485">
              <w:rPr>
                <w:color w:val="auto"/>
                <w:sz w:val="28"/>
                <w:lang w:val="fr-FR" w:eastAsia="en-US"/>
              </w:rPr>
              <w:t xml:space="preserve">et </w:t>
            </w:r>
            <w:r w:rsidR="00951485">
              <w:rPr>
                <w:color w:val="auto"/>
                <w:sz w:val="28"/>
                <w:lang w:val="fr-FR" w:eastAsia="en-US"/>
              </w:rPr>
              <w:t xml:space="preserve">en </w:t>
            </w:r>
            <w:r w:rsidR="00951485" w:rsidRPr="00951485">
              <w:rPr>
                <w:color w:val="auto"/>
                <w:sz w:val="28"/>
                <w:lang w:val="fr-FR" w:eastAsia="en-US"/>
              </w:rPr>
              <w:t>tire-t-il profit</w:t>
            </w:r>
            <w:r w:rsidR="00951485">
              <w:rPr>
                <w:color w:val="auto"/>
                <w:sz w:val="28"/>
                <w:lang w:val="fr-FR" w:eastAsia="en-US"/>
              </w:rPr>
              <w:t>)</w:t>
            </w:r>
            <w:r w:rsidRPr="008F04FF">
              <w:rPr>
                <w:color w:val="auto"/>
                <w:sz w:val="28"/>
                <w:lang w:val="fr-FR" w:eastAsia="en-US"/>
              </w:rPr>
              <w:t> :</w:t>
            </w:r>
          </w:p>
          <w:p w14:paraId="5F6453BC"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t>Programme forestier national ?</w:t>
            </w:r>
          </w:p>
          <w:p w14:paraId="26ED3023"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t>Code forestier/législation forestière ?</w:t>
            </w:r>
          </w:p>
          <w:p w14:paraId="745C6436"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t>Stratégie/politique d’atténuation des changements climatiques ?</w:t>
            </w:r>
          </w:p>
          <w:p w14:paraId="177D5FFC"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t>Stratégie/politique d’adaptation aux changements climatiques ?</w:t>
            </w:r>
          </w:p>
          <w:p w14:paraId="3FD7FD78"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t>Politiques de développement / stratégies nationales de réduction de la pauvreté ?</w:t>
            </w:r>
          </w:p>
          <w:p w14:paraId="5C23C3E7"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t>Loi sur la biodiversité/les services écosystémiques ?</w:t>
            </w:r>
          </w:p>
          <w:p w14:paraId="631F508E"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t>Instruments juridiques liés aux zones protégées ?</w:t>
            </w:r>
          </w:p>
          <w:p w14:paraId="4362370B"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t>Plans pour le développement des infrastructures ?</w:t>
            </w:r>
          </w:p>
          <w:p w14:paraId="29E68A92"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t>Plans et politiques de développement agricole ?</w:t>
            </w:r>
          </w:p>
          <w:p w14:paraId="0C5EDA42"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t>D’autres plans existants sur l’utilisation des terres ?</w:t>
            </w:r>
          </w:p>
          <w:p w14:paraId="2DE7D9F0"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t>Registre des concessions minières et d’exploitation forestière ?</w:t>
            </w:r>
          </w:p>
          <w:p w14:paraId="32A09C5D"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t>Régime foncier ?</w:t>
            </w:r>
          </w:p>
          <w:p w14:paraId="569B5CE6" w14:textId="77777777" w:rsidR="00AE49D7" w:rsidRPr="008F04FF" w:rsidRDefault="00AE49D7" w:rsidP="008F04FF">
            <w:pPr>
              <w:spacing w:after="0" w:line="240" w:lineRule="auto"/>
              <w:rPr>
                <w:color w:val="auto"/>
                <w:sz w:val="28"/>
                <w:lang w:val="fr-FR" w:eastAsia="en-US"/>
              </w:rPr>
            </w:pPr>
          </w:p>
          <w:p w14:paraId="2147B77A"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Des politiques, lois et règlements ou d’autres mesures existent-elles (ou sont-elles prévues) pour :</w:t>
            </w:r>
          </w:p>
          <w:p w14:paraId="57568794"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t xml:space="preserve">Recenser et corriger </w:t>
            </w:r>
            <w:r w:rsidR="00951485">
              <w:rPr>
                <w:sz w:val="28"/>
                <w:lang w:val="fr-FR"/>
              </w:rPr>
              <w:t>les éventuelles</w:t>
            </w:r>
            <w:r w:rsidRPr="008F04FF">
              <w:rPr>
                <w:sz w:val="28"/>
                <w:lang w:val="fr-FR"/>
              </w:rPr>
              <w:t xml:space="preserve"> contradiction</w:t>
            </w:r>
            <w:r w:rsidR="00951485">
              <w:rPr>
                <w:sz w:val="28"/>
                <w:lang w:val="fr-FR"/>
              </w:rPr>
              <w:t>s</w:t>
            </w:r>
            <w:r w:rsidRPr="008F04FF">
              <w:rPr>
                <w:sz w:val="28"/>
                <w:lang w:val="fr-FR"/>
              </w:rPr>
              <w:t xml:space="preserve"> entre les actions de REDD+ proposées et :</w:t>
            </w:r>
          </w:p>
          <w:p w14:paraId="2D9C24D0" w14:textId="77777777" w:rsidR="00AE49D7" w:rsidRPr="008F04FF" w:rsidRDefault="00AE49D7" w:rsidP="008F04FF">
            <w:pPr>
              <w:pStyle w:val="ListParagraph"/>
              <w:numPr>
                <w:ilvl w:val="2"/>
                <w:numId w:val="25"/>
              </w:numPr>
              <w:spacing w:after="0" w:line="240" w:lineRule="auto"/>
              <w:rPr>
                <w:sz w:val="28"/>
                <w:lang w:val="fr-FR"/>
              </w:rPr>
            </w:pPr>
            <w:r w:rsidRPr="008F04FF">
              <w:rPr>
                <w:sz w:val="28"/>
                <w:lang w:val="fr-FR"/>
              </w:rPr>
              <w:t>le Programme forestier national ?</w:t>
            </w:r>
          </w:p>
          <w:p w14:paraId="5A3D168E" w14:textId="77777777" w:rsidR="00AE49D7" w:rsidRPr="008F04FF" w:rsidRDefault="00AE49D7" w:rsidP="008F04FF">
            <w:pPr>
              <w:pStyle w:val="ListParagraph"/>
              <w:numPr>
                <w:ilvl w:val="2"/>
                <w:numId w:val="25"/>
              </w:numPr>
              <w:spacing w:after="0" w:line="240" w:lineRule="auto"/>
              <w:rPr>
                <w:sz w:val="28"/>
                <w:lang w:val="fr-FR"/>
              </w:rPr>
            </w:pPr>
            <w:r w:rsidRPr="008F04FF">
              <w:rPr>
                <w:sz w:val="28"/>
                <w:lang w:val="fr-FR"/>
              </w:rPr>
              <w:t>La mise en œuvre nationale des accords internationaux sur le climat, le développement et la biodiversité ?</w:t>
            </w:r>
          </w:p>
          <w:p w14:paraId="74971B00"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t xml:space="preserve">Déceler et consolider les complémentarités entre la REDD+ et le </w:t>
            </w:r>
            <w:r w:rsidR="00951485">
              <w:rPr>
                <w:sz w:val="28"/>
                <w:lang w:val="fr-FR"/>
              </w:rPr>
              <w:t>p</w:t>
            </w:r>
            <w:r w:rsidRPr="008F04FF">
              <w:rPr>
                <w:sz w:val="28"/>
                <w:lang w:val="fr-FR"/>
              </w:rPr>
              <w:t>rogramme forestier national et ces accords internationaux</w:t>
            </w:r>
            <w:r w:rsidR="00951485">
              <w:rPr>
                <w:sz w:val="28"/>
                <w:lang w:val="fr-FR"/>
              </w:rPr>
              <w:t>, le cas échéant</w:t>
            </w:r>
            <w:r w:rsidRPr="008F04FF">
              <w:rPr>
                <w:sz w:val="28"/>
                <w:lang w:val="fr-FR"/>
              </w:rPr>
              <w:t> ?</w:t>
            </w:r>
          </w:p>
          <w:p w14:paraId="63F3D1E6" w14:textId="77777777" w:rsidR="00AE49D7" w:rsidRPr="008F04FF" w:rsidRDefault="00AE49D7" w:rsidP="008F04FF">
            <w:pPr>
              <w:pStyle w:val="ListParagraph"/>
              <w:numPr>
                <w:ilvl w:val="1"/>
                <w:numId w:val="24"/>
              </w:numPr>
              <w:spacing w:after="0" w:line="240" w:lineRule="auto"/>
              <w:rPr>
                <w:sz w:val="28"/>
                <w:lang w:val="fr-FR"/>
              </w:rPr>
            </w:pPr>
            <w:r w:rsidRPr="008F04FF">
              <w:rPr>
                <w:sz w:val="28"/>
                <w:lang w:val="fr-FR"/>
              </w:rPr>
              <w:lastRenderedPageBreak/>
              <w:t>Faciliter la coordination et la communication entre les institutions et les acteurs mettant en œuvre ces politiques nationales et ceux qui sont impliqués dans la REDD+ ?</w:t>
            </w:r>
          </w:p>
          <w:p w14:paraId="1BC84AFC" w14:textId="77777777" w:rsidR="00AE49D7" w:rsidRPr="008F04FF" w:rsidRDefault="00AE49D7" w:rsidP="008F04FF">
            <w:pPr>
              <w:pStyle w:val="ListParagraph"/>
              <w:spacing w:after="0" w:line="240" w:lineRule="auto"/>
              <w:ind w:left="360"/>
              <w:rPr>
                <w:sz w:val="28"/>
                <w:lang w:val="fr-FR"/>
              </w:rPr>
            </w:pPr>
          </w:p>
          <w:p w14:paraId="6DF164A2"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Chacune de ces PLR est-elle accessible, prévisible et équitable, et à quel point ? Sont-elles exécutées ?</w:t>
            </w:r>
          </w:p>
        </w:tc>
      </w:tr>
    </w:tbl>
    <w:p w14:paraId="2528FDB7" w14:textId="77777777" w:rsidR="00AE49D7" w:rsidRPr="00350038" w:rsidRDefault="00AE49D7" w:rsidP="00E528CC">
      <w:pPr>
        <w:rPr>
          <w:lang w:val="fr-FR"/>
        </w:rPr>
      </w:pPr>
    </w:p>
    <w:p w14:paraId="6AAFB121" w14:textId="77777777" w:rsidR="00E72FFC" w:rsidRDefault="00E72FFC">
      <w:pPr>
        <w:spacing w:after="0" w:line="240" w:lineRule="auto"/>
        <w:rPr>
          <w:rFonts w:cs="Cambria"/>
          <w:b/>
          <w:color w:val="365F91"/>
          <w:sz w:val="52"/>
          <w:lang w:val="fr-FR"/>
        </w:rPr>
      </w:pPr>
      <w:bookmarkStart w:id="2" w:name="_Toc403632340"/>
      <w:r>
        <w:rPr>
          <w:sz w:val="52"/>
          <w:lang w:val="fr-FR"/>
        </w:rPr>
        <w:br w:type="page"/>
      </w:r>
    </w:p>
    <w:p w14:paraId="309A1805" w14:textId="563FDA8A" w:rsidR="00AE49D7" w:rsidRPr="00350038" w:rsidRDefault="00AE49D7" w:rsidP="009046DD">
      <w:pPr>
        <w:pStyle w:val="Heading1"/>
        <w:jc w:val="center"/>
        <w:rPr>
          <w:rFonts w:ascii="Calibri" w:hAnsi="Calibri"/>
          <w:sz w:val="52"/>
          <w:lang w:val="fr-FR"/>
        </w:rPr>
      </w:pPr>
      <w:r w:rsidRPr="00350038">
        <w:rPr>
          <w:rFonts w:ascii="Calibri" w:hAnsi="Calibri"/>
          <w:sz w:val="52"/>
          <w:lang w:val="fr-FR"/>
        </w:rPr>
        <w:lastRenderedPageBreak/>
        <w:t>Garantie (b) – Gouvernance forestière efficace et transparence, et souveraineté</w:t>
      </w:r>
      <w:bookmarkEnd w:id="2"/>
    </w:p>
    <w:tbl>
      <w:tblPr>
        <w:tblStyle w:val="TableGrid"/>
        <w:tblpPr w:leftFromText="141" w:rightFromText="141" w:vertAnchor="text" w:tblpY="1"/>
        <w:tblOverlap w:val="never"/>
        <w:tblW w:w="0" w:type="auto"/>
        <w:tblLook w:val="00A0" w:firstRow="1" w:lastRow="0" w:firstColumn="1" w:lastColumn="0" w:noHBand="0" w:noVBand="0"/>
      </w:tblPr>
      <w:tblGrid>
        <w:gridCol w:w="11808"/>
        <w:gridCol w:w="10350"/>
      </w:tblGrid>
      <w:tr w:rsidR="00AE49D7" w:rsidRPr="00350038" w14:paraId="44769A43" w14:textId="77777777">
        <w:tc>
          <w:tcPr>
            <w:tcW w:w="22158" w:type="dxa"/>
            <w:gridSpan w:val="2"/>
            <w:shd w:val="clear" w:color="auto" w:fill="44546A"/>
          </w:tcPr>
          <w:p w14:paraId="229836AF"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Principaux enjeux</w:t>
            </w:r>
          </w:p>
        </w:tc>
      </w:tr>
      <w:tr w:rsidR="00AE49D7" w:rsidRPr="00350038" w14:paraId="45A78CCB" w14:textId="77777777">
        <w:trPr>
          <w:trHeight w:val="2899"/>
        </w:trPr>
        <w:tc>
          <w:tcPr>
            <w:tcW w:w="22158" w:type="dxa"/>
            <w:gridSpan w:val="2"/>
          </w:tcPr>
          <w:p w14:paraId="1508C925"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Accès aux informations.</w:t>
            </w:r>
          </w:p>
          <w:p w14:paraId="0D194AE4"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Reddition des comptes.</w:t>
            </w:r>
          </w:p>
          <w:p w14:paraId="1E5AB405"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Régime foncier.</w:t>
            </w:r>
          </w:p>
          <w:p w14:paraId="06254A0D"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Primauté du droit.</w:t>
            </w:r>
          </w:p>
          <w:p w14:paraId="5F968BDE"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Accès approprié à la justice, avec des procédures à même de corriger efficacement les atteintes aux droits et de résoudre les différends (par des mécanismes de traitement des plaintes) (NB : similitudes avec la garantie (c)).</w:t>
            </w:r>
          </w:p>
          <w:p w14:paraId="2D80B7DD"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Egalité des sexes.</w:t>
            </w:r>
          </w:p>
          <w:p w14:paraId="3E1A688F"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Cohérence du cadre légal, politique et réglementaire national/infranational en faveur d’une gouvernance forestière transparente et effective.</w:t>
            </w:r>
          </w:p>
          <w:p w14:paraId="162A1689"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Risques de corruption.</w:t>
            </w:r>
          </w:p>
          <w:p w14:paraId="67AF3E6A"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Affectation des ressources/capacité à respecter le mandat institutionnel.</w:t>
            </w:r>
          </w:p>
          <w:p w14:paraId="48FA4EA3"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Participation aux processus décisionnels (NB : similitudes avec les garanties (c) et (d)).</w:t>
            </w:r>
          </w:p>
        </w:tc>
      </w:tr>
      <w:tr w:rsidR="00AE49D7" w:rsidRPr="00350038" w14:paraId="740040DF" w14:textId="77777777">
        <w:tc>
          <w:tcPr>
            <w:tcW w:w="11808" w:type="dxa"/>
            <w:tcBorders>
              <w:top w:val="double" w:sz="4" w:space="0" w:color="auto"/>
              <w:left w:val="double" w:sz="4" w:space="0" w:color="auto"/>
              <w:bottom w:val="double" w:sz="4" w:space="0" w:color="auto"/>
              <w:right w:val="double" w:sz="4" w:space="0" w:color="auto"/>
            </w:tcBorders>
            <w:shd w:val="clear" w:color="auto" w:fill="44546A"/>
          </w:tcPr>
          <w:p w14:paraId="47D12FD2"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Analyse des risques/avantages</w:t>
            </w:r>
          </w:p>
        </w:tc>
        <w:tc>
          <w:tcPr>
            <w:tcW w:w="10350" w:type="dxa"/>
            <w:tcBorders>
              <w:top w:val="double" w:sz="4" w:space="0" w:color="auto"/>
              <w:left w:val="double" w:sz="4" w:space="0" w:color="auto"/>
              <w:bottom w:val="double" w:sz="4" w:space="0" w:color="auto"/>
              <w:right w:val="double" w:sz="4" w:space="0" w:color="auto"/>
            </w:tcBorders>
            <w:shd w:val="clear" w:color="auto" w:fill="44546A"/>
          </w:tcPr>
          <w:p w14:paraId="3F247098"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Examen des politiques, lois et règlements</w:t>
            </w:r>
          </w:p>
        </w:tc>
      </w:tr>
      <w:tr w:rsidR="00AE49D7" w:rsidRPr="00350038" w14:paraId="64B5A953" w14:textId="77777777">
        <w:trPr>
          <w:trHeight w:val="7386"/>
        </w:trPr>
        <w:tc>
          <w:tcPr>
            <w:tcW w:w="11808" w:type="dxa"/>
            <w:tcBorders>
              <w:top w:val="double" w:sz="4" w:space="0" w:color="auto"/>
              <w:left w:val="double" w:sz="4" w:space="0" w:color="auto"/>
              <w:right w:val="double" w:sz="4" w:space="0" w:color="auto"/>
            </w:tcBorders>
          </w:tcPr>
          <w:p w14:paraId="48C59A0E"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Les actions de REDD+ / P&amp;M candidates sont-elles susceptibles de :</w:t>
            </w:r>
          </w:p>
          <w:p w14:paraId="5FB3EC6B"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Produire et diffuser des informations pertinentes et en temps utile (c.à.d. des informations financières, des informations sur les processus décisionnels, les appels d’offre et les processus de passation de marchés, etc.) avec les parties prenantes dans la langue et le format appropriés ?</w:t>
            </w:r>
          </w:p>
          <w:p w14:paraId="14819CD7"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Mettre en place dans les organisations de nouvelles structures décisionnelles en matière forestière, ou renforcer les structures existantes, avec des rôles ou responsabilités clairs et définis ?</w:t>
            </w:r>
          </w:p>
          <w:p w14:paraId="4B6AA106"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Être évaluées en fonction d’un ensemble de cibles claires, mesurables et définies dans le temps ?</w:t>
            </w:r>
          </w:p>
          <w:p w14:paraId="54B03081"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Être encadrées et codifiées par des systèmes légaux/réglementaires dotés des moyens de faire appliquer les règles ?</w:t>
            </w:r>
          </w:p>
          <w:p w14:paraId="0641B017"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Créer et appliquer les sanctions appropriées ?</w:t>
            </w:r>
          </w:p>
          <w:p w14:paraId="210D1310"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Être protégées des risques de corruption grâce à des mesures supplémentaires spécifiques de détection, de prévention et de sanction ?</w:t>
            </w:r>
          </w:p>
          <w:p w14:paraId="0DA102D7"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Avoir les capacités appropriées (individuelles, institutionnelles, collaboratives, financières) pour être mises en œuvre efficacement ?</w:t>
            </w:r>
          </w:p>
          <w:p w14:paraId="74F6A428" w14:textId="471D2CDC"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 xml:space="preserve">Susciter des effets négatifs inéquitables en termes d’égalité des sexes et/ou </w:t>
            </w:r>
            <w:r w:rsidR="003B11A3">
              <w:rPr>
                <w:sz w:val="28"/>
                <w:lang w:val="fr-FR"/>
              </w:rPr>
              <w:t xml:space="preserve">pour </w:t>
            </w:r>
            <w:r w:rsidRPr="008F04FF">
              <w:rPr>
                <w:sz w:val="28"/>
                <w:lang w:val="fr-FR"/>
              </w:rPr>
              <w:t>la situation des femmes et des filles ?</w:t>
            </w:r>
          </w:p>
          <w:p w14:paraId="35047942"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Discriminer les femmes ou tout autre groupe pour des motifs liés au genre, en particulier dans leur participation à la conception et la mise en œuvre ou l’accès aux débouchés et aux avantages ?</w:t>
            </w:r>
          </w:p>
          <w:p w14:paraId="07ACB405"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Avoir des incidences qui pourraient saper la capacité des femmes et des hommes à employer, élaborer et protéger les ressources naturelles, en tenant compte des différents rôles joués et les positions occupées par les femmes et les hommes dans l’accès aux biens et services environnementaux ?</w:t>
            </w:r>
          </w:p>
        </w:tc>
        <w:tc>
          <w:tcPr>
            <w:tcW w:w="10350" w:type="dxa"/>
            <w:tcBorders>
              <w:top w:val="double" w:sz="4" w:space="0" w:color="auto"/>
              <w:left w:val="double" w:sz="4" w:space="0" w:color="auto"/>
              <w:right w:val="double" w:sz="4" w:space="0" w:color="auto"/>
            </w:tcBorders>
          </w:tcPr>
          <w:p w14:paraId="0782CB88"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Des politiques, législations, réglementations ou toute autre mesure sont-elles en vigueur (ou prévues) pour :</w:t>
            </w:r>
          </w:p>
          <w:p w14:paraId="3FC6DE39"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Donner accès à des informations opportunes, pertinentes et utilisables sur les actions de REDD+ ?</w:t>
            </w:r>
          </w:p>
          <w:p w14:paraId="4B4804ED"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Créer des procédures de communication des informations ?</w:t>
            </w:r>
          </w:p>
          <w:p w14:paraId="24F1D83C"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Diffuser activement l’information via des canaux multiples et appropriés ?</w:t>
            </w:r>
          </w:p>
          <w:p w14:paraId="6D012AFE"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Enseigner aux parties prenantes les moyens d’accéder aux informations ?</w:t>
            </w:r>
          </w:p>
          <w:p w14:paraId="60DB5120" w14:textId="7D7D2962" w:rsidR="00AE49D7" w:rsidRPr="008F04FF" w:rsidRDefault="003B11A3" w:rsidP="008F04FF">
            <w:pPr>
              <w:pStyle w:val="ListParagraph"/>
              <w:numPr>
                <w:ilvl w:val="0"/>
                <w:numId w:val="26"/>
              </w:numPr>
              <w:spacing w:after="0" w:line="240" w:lineRule="auto"/>
              <w:rPr>
                <w:sz w:val="28"/>
                <w:lang w:val="fr-FR"/>
              </w:rPr>
            </w:pPr>
            <w:r>
              <w:rPr>
                <w:sz w:val="28"/>
                <w:lang w:val="fr-FR"/>
              </w:rPr>
              <w:t xml:space="preserve">Désigner </w:t>
            </w:r>
            <w:r w:rsidR="00AE49D7" w:rsidRPr="008F04FF">
              <w:rPr>
                <w:sz w:val="28"/>
                <w:lang w:val="fr-FR"/>
              </w:rPr>
              <w:t>au sein des instances de REDD+ des points focaux responsables et redevables d’un partage efficace des informations ?</w:t>
            </w:r>
          </w:p>
          <w:p w14:paraId="58C42665" w14:textId="2AE9AD14"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 xml:space="preserve">Créer des structures décisionnelles dans les organisations, </w:t>
            </w:r>
            <w:r w:rsidR="003B11A3">
              <w:rPr>
                <w:sz w:val="28"/>
                <w:lang w:val="fr-FR"/>
              </w:rPr>
              <w:t>assorties d’</w:t>
            </w:r>
            <w:r w:rsidRPr="008F04FF">
              <w:rPr>
                <w:sz w:val="28"/>
                <w:lang w:val="fr-FR"/>
              </w:rPr>
              <w:t xml:space="preserve">une description des principes orientant les décisions et </w:t>
            </w:r>
            <w:r w:rsidR="003B11A3">
              <w:rPr>
                <w:sz w:val="28"/>
                <w:lang w:val="fr-FR"/>
              </w:rPr>
              <w:t>d’</w:t>
            </w:r>
            <w:r w:rsidRPr="008F04FF">
              <w:rPr>
                <w:sz w:val="28"/>
                <w:lang w:val="fr-FR"/>
              </w:rPr>
              <w:t>un calendrier clair des processus décisionnels ?</w:t>
            </w:r>
          </w:p>
          <w:p w14:paraId="7801CE80"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Evaluer régulièrement l’efficacité des actions de REDD+, en consultation avec les parties prenantes et communiquer régulièrement les résultats d’évaluation ?</w:t>
            </w:r>
          </w:p>
          <w:p w14:paraId="785BEE39"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Prévoir ou proposer des méthodes d’approche pour veiller à ce que des comptes soient rendus au sein des instances représentant les parties prenantes ?</w:t>
            </w:r>
          </w:p>
          <w:p w14:paraId="79CEE5EF"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Prévenir, détecter et sanctionner les abus de pouvoir et la corruption dans la mise en œuvre des actions de REDD+ ?</w:t>
            </w:r>
          </w:p>
          <w:p w14:paraId="1157EAF4" w14:textId="6B231A90"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 xml:space="preserve">Promouvoir l’égalité des sexes et l’émancipation des femmes tout en s’employant à réduire les inégalités entre femmes et hommes dans l’accès et </w:t>
            </w:r>
            <w:r w:rsidR="003B11A3">
              <w:rPr>
                <w:sz w:val="28"/>
                <w:lang w:val="fr-FR"/>
              </w:rPr>
              <w:t xml:space="preserve">le recours aux </w:t>
            </w:r>
            <w:r w:rsidRPr="008F04FF">
              <w:rPr>
                <w:sz w:val="28"/>
                <w:lang w:val="fr-FR"/>
              </w:rPr>
              <w:t xml:space="preserve">ressources et </w:t>
            </w:r>
            <w:r w:rsidR="003B11A3">
              <w:rPr>
                <w:sz w:val="28"/>
                <w:lang w:val="fr-FR"/>
              </w:rPr>
              <w:t>aux</w:t>
            </w:r>
            <w:r w:rsidRPr="008F04FF">
              <w:rPr>
                <w:sz w:val="28"/>
                <w:lang w:val="fr-FR"/>
              </w:rPr>
              <w:t xml:space="preserve"> avantages du développement ?</w:t>
            </w:r>
          </w:p>
          <w:p w14:paraId="74DD401F" w14:textId="77777777" w:rsidR="00AE49D7" w:rsidRPr="008F04FF" w:rsidRDefault="00AE49D7" w:rsidP="008F04FF">
            <w:pPr>
              <w:spacing w:after="0" w:line="240" w:lineRule="auto"/>
              <w:rPr>
                <w:color w:val="auto"/>
                <w:sz w:val="28"/>
                <w:lang w:val="fr-FR" w:eastAsia="en-US"/>
              </w:rPr>
            </w:pPr>
          </w:p>
          <w:p w14:paraId="66F1C8EA"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Chacune de ces PLR est-elle accessible, prévisible et équitable, et à quel point ? Sont-elles exécutées ?</w:t>
            </w:r>
          </w:p>
        </w:tc>
      </w:tr>
    </w:tbl>
    <w:p w14:paraId="282DB9B5" w14:textId="77777777" w:rsidR="00AE49D7" w:rsidRPr="00350038" w:rsidRDefault="00AE49D7" w:rsidP="00E528CC">
      <w:pPr>
        <w:rPr>
          <w:sz w:val="52"/>
          <w:lang w:val="fr-FR"/>
        </w:rPr>
      </w:pPr>
      <w:bookmarkStart w:id="3" w:name="_Toc403632344"/>
      <w:r w:rsidRPr="00350038">
        <w:rPr>
          <w:sz w:val="52"/>
          <w:lang w:val="fr-FR"/>
        </w:rPr>
        <w:lastRenderedPageBreak/>
        <w:br w:type="textWrapping" w:clear="all"/>
      </w:r>
    </w:p>
    <w:p w14:paraId="7D3A2573" w14:textId="77777777" w:rsidR="00AE49D7" w:rsidRPr="00350038" w:rsidRDefault="00AE49D7" w:rsidP="00E528CC">
      <w:pPr>
        <w:jc w:val="center"/>
        <w:rPr>
          <w:b/>
          <w:color w:val="44546A"/>
          <w:sz w:val="52"/>
          <w:lang w:val="fr-FR"/>
        </w:rPr>
      </w:pPr>
      <w:r w:rsidRPr="00350038">
        <w:rPr>
          <w:b/>
          <w:color w:val="44546A"/>
          <w:sz w:val="52"/>
          <w:lang w:val="fr-FR"/>
        </w:rPr>
        <w:t>Garantie (c) - Respect des connaissances et des droits des populations autochtones et des communautés locales</w:t>
      </w:r>
      <w:bookmarkEnd w:id="3"/>
    </w:p>
    <w:tbl>
      <w:tblPr>
        <w:tblStyle w:val="TableGrid"/>
        <w:tblW w:w="0" w:type="auto"/>
        <w:tblLook w:val="00A0" w:firstRow="1" w:lastRow="0" w:firstColumn="1" w:lastColumn="0" w:noHBand="0" w:noVBand="0"/>
      </w:tblPr>
      <w:tblGrid>
        <w:gridCol w:w="11808"/>
        <w:gridCol w:w="10350"/>
      </w:tblGrid>
      <w:tr w:rsidR="00AE49D7" w:rsidRPr="00350038" w14:paraId="4AC2E38E" w14:textId="77777777">
        <w:tc>
          <w:tcPr>
            <w:tcW w:w="22158" w:type="dxa"/>
            <w:gridSpan w:val="2"/>
            <w:shd w:val="clear" w:color="auto" w:fill="44546A"/>
          </w:tcPr>
          <w:p w14:paraId="3ABB9EAB"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Principaux enjeux</w:t>
            </w:r>
          </w:p>
        </w:tc>
      </w:tr>
      <w:tr w:rsidR="00AE49D7" w:rsidRPr="00350038" w14:paraId="69CE8080" w14:textId="77777777">
        <w:trPr>
          <w:trHeight w:val="2899"/>
        </w:trPr>
        <w:tc>
          <w:tcPr>
            <w:tcW w:w="22158" w:type="dxa"/>
            <w:gridSpan w:val="2"/>
          </w:tcPr>
          <w:p w14:paraId="31A0ABD5"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Définition/détermination des populations autochtones et des communautés locales.</w:t>
            </w:r>
          </w:p>
          <w:p w14:paraId="7BECDDC5" w14:textId="40939BCF"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Reconnaissance des droits sur les terres, les territoires et les ressources.</w:t>
            </w:r>
          </w:p>
          <w:p w14:paraId="4904D523"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Droit à indemnisation et/ou autres recours en cas de réinstallation involontaire et/ou de déplacement économique.</w:t>
            </w:r>
          </w:p>
          <w:p w14:paraId="5971823F"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Droit à une part des avantages le cas échéant.</w:t>
            </w:r>
          </w:p>
          <w:p w14:paraId="729E7F41"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Droit à l’autodétermination.</w:t>
            </w:r>
          </w:p>
          <w:p w14:paraId="4584CEAF"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Droit de participer à la prise de décisions sur les questions qui les concerne.</w:t>
            </w:r>
          </w:p>
          <w:p w14:paraId="12F9E2F9"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Consentement libre, informé et préalable (FPIC).</w:t>
            </w:r>
          </w:p>
          <w:p w14:paraId="1785244E"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Reconnaissance et protection des savoirs traditionnels, du patrimoine culturel et de la propriété intellectuelle des populations autochtones et des communautés locales.</w:t>
            </w:r>
          </w:p>
        </w:tc>
      </w:tr>
      <w:tr w:rsidR="00AE49D7" w:rsidRPr="00350038" w14:paraId="33D46A2F" w14:textId="77777777">
        <w:tc>
          <w:tcPr>
            <w:tcW w:w="11808" w:type="dxa"/>
            <w:tcBorders>
              <w:top w:val="double" w:sz="4" w:space="0" w:color="auto"/>
              <w:left w:val="double" w:sz="4" w:space="0" w:color="auto"/>
              <w:bottom w:val="double" w:sz="4" w:space="0" w:color="auto"/>
              <w:right w:val="double" w:sz="4" w:space="0" w:color="auto"/>
            </w:tcBorders>
            <w:shd w:val="clear" w:color="auto" w:fill="44546A"/>
          </w:tcPr>
          <w:p w14:paraId="3224A93C"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Analyse des risques/avantages</w:t>
            </w:r>
          </w:p>
        </w:tc>
        <w:tc>
          <w:tcPr>
            <w:tcW w:w="10350" w:type="dxa"/>
            <w:tcBorders>
              <w:top w:val="double" w:sz="4" w:space="0" w:color="auto"/>
              <w:left w:val="double" w:sz="4" w:space="0" w:color="auto"/>
              <w:bottom w:val="double" w:sz="4" w:space="0" w:color="auto"/>
              <w:right w:val="double" w:sz="4" w:space="0" w:color="auto"/>
            </w:tcBorders>
            <w:shd w:val="clear" w:color="auto" w:fill="44546A"/>
          </w:tcPr>
          <w:p w14:paraId="437D2A81"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Examen des politiques, lois et règlements</w:t>
            </w:r>
          </w:p>
        </w:tc>
      </w:tr>
      <w:tr w:rsidR="00AE49D7" w:rsidRPr="00350038" w14:paraId="605F1820" w14:textId="77777777" w:rsidTr="0056516D">
        <w:trPr>
          <w:trHeight w:val="708"/>
        </w:trPr>
        <w:tc>
          <w:tcPr>
            <w:tcW w:w="11808" w:type="dxa"/>
            <w:tcBorders>
              <w:top w:val="double" w:sz="4" w:space="0" w:color="auto"/>
              <w:left w:val="double" w:sz="4" w:space="0" w:color="auto"/>
              <w:right w:val="double" w:sz="4" w:space="0" w:color="auto"/>
            </w:tcBorders>
          </w:tcPr>
          <w:p w14:paraId="76FA6650"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Les actions de REDD+ / P&amp;M candidates sont-elles susceptibles de :</w:t>
            </w:r>
          </w:p>
          <w:p w14:paraId="7F33F1B6" w14:textId="24FBEAE4"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 xml:space="preserve">Affecter potentiellement les droits, les terres et les territoires des populations autochtones et/ou </w:t>
            </w:r>
            <w:r w:rsidR="003B11A3">
              <w:rPr>
                <w:sz w:val="28"/>
                <w:lang w:val="fr-FR"/>
              </w:rPr>
              <w:t xml:space="preserve">des </w:t>
            </w:r>
            <w:r w:rsidRPr="008F04FF">
              <w:rPr>
                <w:sz w:val="28"/>
                <w:lang w:val="fr-FR"/>
              </w:rPr>
              <w:t xml:space="preserve">communautés locales (que les populations autochtones possèdent ou non des titres juridiques sur ces terres) ? </w:t>
            </w:r>
          </w:p>
          <w:p w14:paraId="06CCCDA1"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Impliquer l’utilisation et/ou le développement commercial des ressources naturelles sur les terres et les territoires revendiquées par les populations autochtones et/ou les communautés locales ?</w:t>
            </w:r>
          </w:p>
          <w:p w14:paraId="79F94C5D" w14:textId="6BD70A56" w:rsidR="00AE49D7" w:rsidRPr="008F04FF" w:rsidRDefault="003B11A3" w:rsidP="008F04FF">
            <w:pPr>
              <w:pStyle w:val="ListParagraph"/>
              <w:numPr>
                <w:ilvl w:val="0"/>
                <w:numId w:val="23"/>
              </w:numPr>
              <w:spacing w:after="0" w:line="240" w:lineRule="auto"/>
              <w:rPr>
                <w:sz w:val="28"/>
                <w:lang w:val="fr-FR"/>
              </w:rPr>
            </w:pPr>
            <w:r>
              <w:rPr>
                <w:sz w:val="28"/>
                <w:lang w:val="fr-FR"/>
              </w:rPr>
              <w:t>P</w:t>
            </w:r>
            <w:r w:rsidR="00AE49D7" w:rsidRPr="008F04FF">
              <w:rPr>
                <w:sz w:val="28"/>
                <w:lang w:val="fr-FR"/>
              </w:rPr>
              <w:t xml:space="preserve">rovoquer </w:t>
            </w:r>
            <w:r>
              <w:rPr>
                <w:sz w:val="28"/>
                <w:lang w:val="fr-FR"/>
              </w:rPr>
              <w:t xml:space="preserve">éventuellement </w:t>
            </w:r>
            <w:r w:rsidR="00AE49D7" w:rsidRPr="008F04FF">
              <w:rPr>
                <w:sz w:val="28"/>
                <w:lang w:val="fr-FR"/>
              </w:rPr>
              <w:t>des expulsions forcées ou le déplacement complet ou partiel de populations autochtones et/ou communautés locales, notamment en restreignant l’accès aux terres, territoires et ressources ?</w:t>
            </w:r>
          </w:p>
          <w:p w14:paraId="6BF3726F"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Susciter potentiellement le déplacement économique de populations autochtones et/ou de communautés locales (par ex. perte de biens ou impossibilité d’accéder aux ressources du fait de l’acquisition des terres ou de restrictions d’accès – même sans qu’elles soient déplacées) ?</w:t>
            </w:r>
          </w:p>
          <w:p w14:paraId="757A06D4"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Affecter négativement la sélection des priorités des populations autochtones et/ou communautés locales telles qu’elles les ont définies ?</w:t>
            </w:r>
          </w:p>
          <w:p w14:paraId="6564F29E" w14:textId="33B481C6"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 xml:space="preserve">Affecter potentiellement les moyens de subsistance traditionnels, la survie physique et culturelle des populations autochtones et/ou </w:t>
            </w:r>
            <w:r w:rsidR="003B11A3">
              <w:rPr>
                <w:sz w:val="28"/>
                <w:lang w:val="fr-FR"/>
              </w:rPr>
              <w:t xml:space="preserve">des </w:t>
            </w:r>
            <w:r w:rsidRPr="008F04FF">
              <w:rPr>
                <w:sz w:val="28"/>
                <w:lang w:val="fr-FR"/>
              </w:rPr>
              <w:t>communautés locales ?</w:t>
            </w:r>
          </w:p>
          <w:p w14:paraId="6CBC7E1F"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Affecter potentiellement le patrimoine culturel des populations autochtones et/ou communautés locales, notamment par la commercialisation ou l’utilisation de leurs savoirs et pratiques traditionnels ?</w:t>
            </w:r>
          </w:p>
          <w:p w14:paraId="163F6C97" w14:textId="12EE6EA0"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 xml:space="preserve">Susciter des interventions </w:t>
            </w:r>
            <w:r w:rsidR="003B11A3">
              <w:rPr>
                <w:sz w:val="28"/>
                <w:lang w:val="fr-FR"/>
              </w:rPr>
              <w:t xml:space="preserve">qui pourraient </w:t>
            </w:r>
            <w:r w:rsidRPr="008F04FF">
              <w:rPr>
                <w:sz w:val="28"/>
                <w:lang w:val="fr-FR"/>
              </w:rPr>
              <w:t xml:space="preserve">avoir une incidence négative sur les sites, structures ou objets ayant valeur historique, culturelle, artistique, traditionnelle ou religieuse ou des formes </w:t>
            </w:r>
            <w:r w:rsidRPr="008F04FF">
              <w:rPr>
                <w:sz w:val="28"/>
                <w:lang w:val="fr-FR"/>
              </w:rPr>
              <w:lastRenderedPageBreak/>
              <w:t>culturelles immatérielles (par ex. connaissances, innovations, pratiques) ?</w:t>
            </w:r>
          </w:p>
          <w:p w14:paraId="1A35A41D"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 xml:space="preserve">Affecter potentiellement les dispositions du régime foncier et/ou les droits de propriété/droits coutumiers communautaires sur les terres, territoires et/ou ressources ? </w:t>
            </w:r>
          </w:p>
          <w:p w14:paraId="16E5BC69"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Discriminer les populations autochtones et/ou communautés locales dans leur participation à la conception et la mise en œuvre ou l’accès aux débouchés et aux avantages ?</w:t>
            </w:r>
          </w:p>
        </w:tc>
        <w:tc>
          <w:tcPr>
            <w:tcW w:w="10350" w:type="dxa"/>
            <w:tcBorders>
              <w:top w:val="double" w:sz="4" w:space="0" w:color="auto"/>
              <w:left w:val="double" w:sz="4" w:space="0" w:color="auto"/>
              <w:right w:val="double" w:sz="4" w:space="0" w:color="auto"/>
            </w:tcBorders>
          </w:tcPr>
          <w:p w14:paraId="0679D3C0"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lastRenderedPageBreak/>
              <w:t>Des politiques, législations, réglementations ou toute autre mesure sont-elles en vigueur (ou prévues) pour :</w:t>
            </w:r>
          </w:p>
          <w:p w14:paraId="0ABD2ACB"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Reconnaître et favoriser pleinement le respect des droits humains des populations autochtones et des communautés locales, conformément aux obligations de l’Etat en vertu du droit international (notamment leurs droits à l’autodétermination, sur leurs terres, leurs ressources et leurs territoires, les moyens de subsistance et les cultures traditionnels) ?</w:t>
            </w:r>
          </w:p>
          <w:p w14:paraId="161F7083" w14:textId="6CECCC3E"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 xml:space="preserve">Veiller à la participation intégrale et effective des populations autochtones et des communautés locales, avec pour objectif de garantir leur FPIC si leurs droits, leurs terres, leurs ressources, leurs territoires, les moyens de subsistance traditionnels peuvent en </w:t>
            </w:r>
            <w:r w:rsidR="003B11A3">
              <w:rPr>
                <w:sz w:val="28"/>
                <w:lang w:val="fr-FR"/>
              </w:rPr>
              <w:t>pâtir</w:t>
            </w:r>
            <w:r w:rsidRPr="008F04FF">
              <w:rPr>
                <w:sz w:val="28"/>
                <w:lang w:val="fr-FR"/>
              </w:rPr>
              <w:t> ?</w:t>
            </w:r>
          </w:p>
          <w:p w14:paraId="4F2BFEFF"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Promouvoir un plus grand contrôle et davantage de gestion par les populations autochtones et les communautés locales sur les événements les touchant, notamment leurs terres, ressources et territoires ?</w:t>
            </w:r>
          </w:p>
          <w:p w14:paraId="65E25952"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Prévenir les effets négatifs sur les droits des populations autochtones et des communautés locales, leurs terres, ressources et territoires, afin d’en atténuer les effets résiduels et d’y remédier, et pour veiller à la distribution juste et équitable des avantages ?</w:t>
            </w:r>
          </w:p>
          <w:p w14:paraId="37899314"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Reconnaître et respecter l’interdiction pesant sur les expulsions forcées des populations autochtones et des communautés locales ?</w:t>
            </w:r>
          </w:p>
          <w:p w14:paraId="33DC3C82"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 xml:space="preserve">Anticiper et prévenir, ou, s’il est impossible de les éviter, minimiser les incidences négatives sociales et économiques liées à l’acquisition des terres ou des ressources </w:t>
            </w:r>
            <w:r w:rsidRPr="008F04FF">
              <w:rPr>
                <w:sz w:val="28"/>
                <w:lang w:val="fr-FR"/>
              </w:rPr>
              <w:lastRenderedPageBreak/>
              <w:t>ou les restrictions pesant sur les terres ou l’utilisation des ressources ?</w:t>
            </w:r>
          </w:p>
          <w:p w14:paraId="230A23B1"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Renforcer ou pour le moins restaurer les moyens de subsistance de toutes les personnes déplacées et améliorer le niveau de vie des personnes démunies déplacées et d’autres groupes déplacées ?</w:t>
            </w:r>
          </w:p>
          <w:p w14:paraId="5707F652"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Protéger et gérer le patrimoine culturel ?</w:t>
            </w:r>
          </w:p>
          <w:p w14:paraId="67818A65"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Préserver le patrimoine culturel et éviter toute modification, dommage ou retrait ?</w:t>
            </w:r>
          </w:p>
          <w:p w14:paraId="6FA72007"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Promouvoir le partage équitable des avantages lorsque ceux-ci découlent des terres, ressources et/ou territoires des populations autochtones et/ou des communautés locales ?</w:t>
            </w:r>
          </w:p>
          <w:p w14:paraId="7984967D" w14:textId="77777777" w:rsidR="00AE49D7" w:rsidRPr="008F04FF" w:rsidRDefault="00AE49D7" w:rsidP="008F04FF">
            <w:pPr>
              <w:spacing w:after="0" w:line="240" w:lineRule="auto"/>
              <w:rPr>
                <w:color w:val="auto"/>
                <w:sz w:val="28"/>
                <w:lang w:val="fr-FR" w:eastAsia="en-US"/>
              </w:rPr>
            </w:pPr>
          </w:p>
          <w:p w14:paraId="6E8E339E"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Chacune de ces PLR est-elle accessible, prévisible et équitable, et à quel point ? Sont-elles exécutées ?</w:t>
            </w:r>
          </w:p>
        </w:tc>
      </w:tr>
    </w:tbl>
    <w:p w14:paraId="3B2D7AD6" w14:textId="77777777" w:rsidR="00AE49D7" w:rsidRPr="00350038" w:rsidRDefault="00AE49D7" w:rsidP="00E528CC">
      <w:pPr>
        <w:rPr>
          <w:sz w:val="52"/>
          <w:lang w:val="fr-FR"/>
        </w:rPr>
      </w:pPr>
    </w:p>
    <w:p w14:paraId="23F46D9D" w14:textId="77777777" w:rsidR="00E72FFC" w:rsidRDefault="00E72FFC">
      <w:pPr>
        <w:spacing w:after="0" w:line="240" w:lineRule="auto"/>
        <w:rPr>
          <w:rFonts w:eastAsia="Times New Roman" w:cs="Times New Roman"/>
          <w:b/>
          <w:color w:val="44546A"/>
          <w:sz w:val="52"/>
          <w:szCs w:val="22"/>
          <w:lang w:val="fr-FR" w:eastAsia="en-US"/>
        </w:rPr>
      </w:pPr>
      <w:bookmarkStart w:id="4" w:name="_Toc403632348"/>
      <w:r>
        <w:rPr>
          <w:b/>
          <w:color w:val="44546A"/>
          <w:sz w:val="52"/>
          <w:lang w:val="fr-FR"/>
        </w:rPr>
        <w:br w:type="page"/>
      </w:r>
    </w:p>
    <w:p w14:paraId="5ACE3D35" w14:textId="1F6C9748" w:rsidR="00AE49D7" w:rsidRPr="00350038" w:rsidRDefault="00AE49D7" w:rsidP="0002413E">
      <w:pPr>
        <w:pStyle w:val="NoSpacing"/>
        <w:jc w:val="center"/>
        <w:rPr>
          <w:b/>
          <w:color w:val="44546A"/>
          <w:sz w:val="52"/>
          <w:lang w:val="fr-FR"/>
        </w:rPr>
      </w:pPr>
      <w:r w:rsidRPr="00350038">
        <w:rPr>
          <w:b/>
          <w:color w:val="44546A"/>
          <w:sz w:val="52"/>
          <w:lang w:val="fr-FR"/>
        </w:rPr>
        <w:lastRenderedPageBreak/>
        <w:t>Garantie (d) - Participation intégrale et effective des parties prenantes</w:t>
      </w:r>
      <w:bookmarkEnd w:id="4"/>
      <w:r w:rsidRPr="00350038">
        <w:rPr>
          <w:b/>
          <w:color w:val="44546A"/>
          <w:sz w:val="52"/>
          <w:lang w:val="fr-FR"/>
        </w:rPr>
        <w:t xml:space="preserve"> concernées, en particulier les populations autochtones et les communautés locales</w:t>
      </w:r>
    </w:p>
    <w:tbl>
      <w:tblPr>
        <w:tblStyle w:val="TableGrid"/>
        <w:tblW w:w="0" w:type="auto"/>
        <w:tblLook w:val="00A0" w:firstRow="1" w:lastRow="0" w:firstColumn="1" w:lastColumn="0" w:noHBand="0" w:noVBand="0"/>
      </w:tblPr>
      <w:tblGrid>
        <w:gridCol w:w="11808"/>
        <w:gridCol w:w="10350"/>
      </w:tblGrid>
      <w:tr w:rsidR="00AE49D7" w:rsidRPr="00350038" w14:paraId="1904D669" w14:textId="77777777">
        <w:tc>
          <w:tcPr>
            <w:tcW w:w="22158" w:type="dxa"/>
            <w:gridSpan w:val="2"/>
            <w:shd w:val="clear" w:color="auto" w:fill="44546A"/>
          </w:tcPr>
          <w:p w14:paraId="350EEF73"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Principaux enjeux</w:t>
            </w:r>
          </w:p>
        </w:tc>
      </w:tr>
      <w:tr w:rsidR="00AE49D7" w:rsidRPr="00350038" w14:paraId="07B1BA39" w14:textId="77777777">
        <w:trPr>
          <w:trHeight w:val="1781"/>
        </w:trPr>
        <w:tc>
          <w:tcPr>
            <w:tcW w:w="22158" w:type="dxa"/>
            <w:gridSpan w:val="2"/>
          </w:tcPr>
          <w:p w14:paraId="69A2467F"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Participation intégrale et effective des parties prenantes concernées.</w:t>
            </w:r>
          </w:p>
          <w:p w14:paraId="11775380" w14:textId="5364544B"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 xml:space="preserve">Légitimité et reddition des comptes </w:t>
            </w:r>
            <w:r w:rsidR="003B11A3">
              <w:rPr>
                <w:sz w:val="28"/>
                <w:lang w:val="fr-FR"/>
              </w:rPr>
              <w:t xml:space="preserve">au sein </w:t>
            </w:r>
            <w:r w:rsidRPr="008F04FF">
              <w:rPr>
                <w:sz w:val="28"/>
                <w:lang w:val="fr-FR"/>
              </w:rPr>
              <w:t>des organismes représentant les parties prenantes concernées.</w:t>
            </w:r>
          </w:p>
          <w:p w14:paraId="29CB156A"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 xml:space="preserve">Mécanismes et espaces d’échange participatifs </w:t>
            </w:r>
          </w:p>
          <w:p w14:paraId="6F015B06"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Accès à la justice, mécanismes de traitement des plaintes.</w:t>
            </w:r>
          </w:p>
          <w:p w14:paraId="220DD504"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Transparence et accessibilité des informations liées à la REDD+ (NB : similitudes avec la garantie (b))</w:t>
            </w:r>
          </w:p>
        </w:tc>
      </w:tr>
      <w:tr w:rsidR="00AE49D7" w:rsidRPr="00350038" w14:paraId="6C94F280" w14:textId="77777777">
        <w:tc>
          <w:tcPr>
            <w:tcW w:w="11808" w:type="dxa"/>
            <w:tcBorders>
              <w:top w:val="double" w:sz="4" w:space="0" w:color="auto"/>
              <w:left w:val="double" w:sz="4" w:space="0" w:color="auto"/>
              <w:bottom w:val="double" w:sz="4" w:space="0" w:color="auto"/>
              <w:right w:val="double" w:sz="4" w:space="0" w:color="auto"/>
            </w:tcBorders>
            <w:shd w:val="clear" w:color="auto" w:fill="44546A"/>
          </w:tcPr>
          <w:p w14:paraId="4841BFEC"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Analyse des risques/avantages</w:t>
            </w:r>
          </w:p>
        </w:tc>
        <w:tc>
          <w:tcPr>
            <w:tcW w:w="10350" w:type="dxa"/>
            <w:tcBorders>
              <w:top w:val="double" w:sz="4" w:space="0" w:color="auto"/>
              <w:left w:val="double" w:sz="4" w:space="0" w:color="auto"/>
              <w:bottom w:val="double" w:sz="4" w:space="0" w:color="auto"/>
              <w:right w:val="double" w:sz="4" w:space="0" w:color="auto"/>
            </w:tcBorders>
            <w:shd w:val="clear" w:color="auto" w:fill="44546A"/>
          </w:tcPr>
          <w:p w14:paraId="1D6CA8D0"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Examen des politiques, lois et règlements</w:t>
            </w:r>
          </w:p>
        </w:tc>
      </w:tr>
      <w:tr w:rsidR="00AE49D7" w:rsidRPr="00350038" w14:paraId="2728C6BC" w14:textId="77777777">
        <w:trPr>
          <w:trHeight w:val="7386"/>
        </w:trPr>
        <w:tc>
          <w:tcPr>
            <w:tcW w:w="11808" w:type="dxa"/>
            <w:tcBorders>
              <w:top w:val="double" w:sz="4" w:space="0" w:color="auto"/>
              <w:left w:val="double" w:sz="4" w:space="0" w:color="auto"/>
              <w:right w:val="double" w:sz="4" w:space="0" w:color="auto"/>
            </w:tcBorders>
          </w:tcPr>
          <w:p w14:paraId="29280885"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Les actions de REDD+ / P&amp;M candidates sont-elles susceptibles d’empêcher toutes les parties prenantes affectées, en particulier les groupes marginalisés, de participer pleinement aux décisions qui pourraient les affecter ?</w:t>
            </w:r>
          </w:p>
          <w:p w14:paraId="7FDB9F11"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Les actions de REDD+ / P&amp;M candidates sont-elles susceptibles d’exacerber les conflits et/ou les risques de violence à l’égard des communautés et individus affectés par les projets ?</w:t>
            </w:r>
          </w:p>
          <w:p w14:paraId="27725DB1" w14:textId="639E5DFA" w:rsidR="00AE49D7" w:rsidRPr="008F04FF" w:rsidRDefault="003B11A3" w:rsidP="008F04FF">
            <w:pPr>
              <w:pStyle w:val="ListParagraph"/>
              <w:numPr>
                <w:ilvl w:val="0"/>
                <w:numId w:val="27"/>
              </w:numPr>
              <w:spacing w:after="0" w:line="240" w:lineRule="auto"/>
              <w:rPr>
                <w:sz w:val="28"/>
                <w:lang w:val="fr-FR"/>
              </w:rPr>
            </w:pPr>
            <w:r>
              <w:rPr>
                <w:sz w:val="28"/>
                <w:lang w:val="fr-FR"/>
              </w:rPr>
              <w:t>Un processus/</w:t>
            </w:r>
            <w:r w:rsidR="00AE49D7" w:rsidRPr="008F04FF">
              <w:rPr>
                <w:sz w:val="28"/>
                <w:lang w:val="fr-FR"/>
              </w:rPr>
              <w:t xml:space="preserve">espace d’échange a-t-il été </w:t>
            </w:r>
            <w:r>
              <w:rPr>
                <w:sz w:val="28"/>
                <w:lang w:val="fr-FR"/>
              </w:rPr>
              <w:t>mis sur pied</w:t>
            </w:r>
            <w:r w:rsidR="00AE49D7" w:rsidRPr="008F04FF">
              <w:rPr>
                <w:sz w:val="28"/>
                <w:lang w:val="fr-FR"/>
              </w:rPr>
              <w:t xml:space="preserve"> pour permettre aux parties prenantes concernées de s’impliquer pleinement et efficacement (par ex. dans le respect de l’égalité des sexes, des cultures, de manière non discriminatoire et intégratrice) ?</w:t>
            </w:r>
          </w:p>
          <w:p w14:paraId="6981155B"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Un processus a-t-il été créé pour énoncer la manière dont le gouvernement veille au consentement libre, informé et préalable des détenteurs de droits concernés pour les actions de REDD+ qui auront une incidence sur leurs droits, leurs terres, leurs territoires ou leurs ressources ?</w:t>
            </w:r>
          </w:p>
          <w:p w14:paraId="181D3DE5"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Les parties prenantes concernées ont-elles identifié leurs propres structures de représentation, et leurs représentants ?</w:t>
            </w:r>
          </w:p>
          <w:p w14:paraId="34DC3B01"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Les parties prenantes concernées ont-elles été pleinement et effectivement consultées au cours de la conception ou l’approbation des actions de REDD+ ?</w:t>
            </w:r>
          </w:p>
          <w:p w14:paraId="7FD073C5"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Un processus a-t-il été établi à l’intention de ceux que touchent/affectent les actions de REDD+ afin de faire entendre leurs griefs et d’y répondre ?</w:t>
            </w:r>
          </w:p>
          <w:p w14:paraId="7AF647AC"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Un processus a-t-il été établi pour que soient diffusées en temps utile les informations relatives aux actions de REDD+ auprès des parties prenantes concernées, sous une forme et dans une langue accessibles ?</w:t>
            </w:r>
          </w:p>
          <w:p w14:paraId="55287C1B" w14:textId="77777777" w:rsidR="00AE49D7" w:rsidRPr="008F04FF" w:rsidRDefault="00AE49D7" w:rsidP="008F04FF">
            <w:pPr>
              <w:pStyle w:val="ListParagraph"/>
              <w:spacing w:after="0" w:line="240" w:lineRule="auto"/>
              <w:ind w:left="360"/>
              <w:rPr>
                <w:sz w:val="28"/>
                <w:lang w:val="fr-FR"/>
              </w:rPr>
            </w:pPr>
          </w:p>
        </w:tc>
        <w:tc>
          <w:tcPr>
            <w:tcW w:w="10350" w:type="dxa"/>
            <w:tcBorders>
              <w:top w:val="double" w:sz="4" w:space="0" w:color="auto"/>
              <w:left w:val="double" w:sz="4" w:space="0" w:color="auto"/>
              <w:right w:val="double" w:sz="4" w:space="0" w:color="auto"/>
            </w:tcBorders>
          </w:tcPr>
          <w:p w14:paraId="0D2E03EF"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Des politiques, législations, réglementations ou toute autre mesure sont-elles en vigueur (ou prévues) pour :</w:t>
            </w:r>
          </w:p>
          <w:p w14:paraId="39599F6C"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Veiller à la participation judicieuse, effective et informée des parties prenantes dans la formulation et la mise en œuvre de la REDD+ ?</w:t>
            </w:r>
          </w:p>
          <w:p w14:paraId="3E45C388" w14:textId="7D2FCD51"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 xml:space="preserve">Veiller à ce que l’analyse et la mobilisation des parties prenantes soient menées en </w:t>
            </w:r>
            <w:r w:rsidR="003B11A3">
              <w:rPr>
                <w:sz w:val="28"/>
                <w:lang w:val="fr-FR"/>
              </w:rPr>
              <w:t>ménageant</w:t>
            </w:r>
            <w:r w:rsidRPr="008F04FF">
              <w:rPr>
                <w:sz w:val="28"/>
                <w:lang w:val="fr-FR"/>
              </w:rPr>
              <w:t xml:space="preserve"> une place aux femmes, dans le respect des cultures, et de manière non discriminatoire et intégratrice, en veillant à ce que les groupes vulnérables et marginalisés potentiellement affectés soient recensés et aient la possibilité de participer ?</w:t>
            </w:r>
          </w:p>
          <w:p w14:paraId="156B1552"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Veiller à ce que l’échelle et la fréquence de la mobilisation reflètent la nature de l’activité, la magnitude des risques potentiels et les effets négatifs, et les préoccupations exprimées par les communautés affectées ?</w:t>
            </w:r>
          </w:p>
          <w:p w14:paraId="481DA742"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Respecter le FPIC dans les activités qui peuvent affecter les droits et les intérêts, les terres, les ressources, les territoires et les moyens de subsistance traditionnels des populations autochtones ?</w:t>
            </w:r>
          </w:p>
          <w:p w14:paraId="34A658DB"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Faire en sorte que les parties prenantes qui pourraient être lésées par une ou plusieurs actions de REDD+ puissent exprimer leurs préoccupations concernant les résultats et incidences sociaux et environnementaux par divers points d’entrée ?</w:t>
            </w:r>
          </w:p>
          <w:p w14:paraId="6CABA724"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Appuyer l’auto sélection des représentants amenés à participer à la prise de décisions sur la REDD+ ?</w:t>
            </w:r>
          </w:p>
          <w:p w14:paraId="10380B43" w14:textId="77777777" w:rsidR="00AE49D7" w:rsidRPr="008F04FF" w:rsidRDefault="00AE49D7" w:rsidP="008F04FF">
            <w:pPr>
              <w:spacing w:after="0" w:line="240" w:lineRule="auto"/>
              <w:rPr>
                <w:color w:val="auto"/>
                <w:sz w:val="28"/>
                <w:lang w:val="fr-FR" w:eastAsia="en-US"/>
              </w:rPr>
            </w:pPr>
          </w:p>
          <w:p w14:paraId="5114D47E"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Chacune de ces PLR est-elle accessible, prévisible et équitable, et à quel point ? Sont-elles exécutées ?</w:t>
            </w:r>
          </w:p>
        </w:tc>
      </w:tr>
    </w:tbl>
    <w:p w14:paraId="625CCF6B" w14:textId="77777777" w:rsidR="00AE49D7" w:rsidRPr="00350038" w:rsidRDefault="00AE49D7" w:rsidP="00E528CC">
      <w:pPr>
        <w:pStyle w:val="Sous-tit"/>
        <w:rPr>
          <w:rStyle w:val="Heading1Char"/>
          <w:rFonts w:eastAsia="Calibri"/>
          <w:i w:val="0"/>
        </w:rPr>
      </w:pPr>
    </w:p>
    <w:p w14:paraId="1D8E33C2" w14:textId="77777777" w:rsidR="00AE49D7" w:rsidRPr="00350038" w:rsidRDefault="00AE49D7" w:rsidP="00E528CC">
      <w:pPr>
        <w:pStyle w:val="Sous-tit"/>
        <w:rPr>
          <w:rStyle w:val="Heading1Char"/>
          <w:rFonts w:eastAsia="Calibri"/>
        </w:rPr>
      </w:pPr>
      <w:bookmarkStart w:id="5" w:name="_Toc401846533"/>
      <w:bookmarkStart w:id="6" w:name="_Toc401846712"/>
      <w:bookmarkStart w:id="7" w:name="_Toc403460821"/>
      <w:bookmarkStart w:id="8" w:name="_Toc403632350"/>
    </w:p>
    <w:bookmarkEnd w:id="5"/>
    <w:bookmarkEnd w:id="6"/>
    <w:bookmarkEnd w:id="7"/>
    <w:bookmarkEnd w:id="8"/>
    <w:p w14:paraId="736464ED" w14:textId="77777777" w:rsidR="00AE49D7" w:rsidRPr="00350038" w:rsidRDefault="00AE49D7" w:rsidP="00E528CC">
      <w:pPr>
        <w:rPr>
          <w:rFonts w:eastAsia="MS Gothic" w:cs="Times New Roman"/>
          <w:color w:val="323E4F"/>
          <w:spacing w:val="5"/>
          <w:kern w:val="28"/>
          <w:sz w:val="52"/>
          <w:lang w:val="fr-FR"/>
        </w:rPr>
      </w:pPr>
      <w:r w:rsidRPr="00350038">
        <w:rPr>
          <w:lang w:val="fr-FR"/>
        </w:rPr>
        <w:br w:type="page"/>
      </w:r>
    </w:p>
    <w:p w14:paraId="6D80D4ED" w14:textId="77777777" w:rsidR="00AE49D7" w:rsidRPr="00350038" w:rsidRDefault="00AE49D7" w:rsidP="00E528CC">
      <w:pPr>
        <w:pStyle w:val="Heading1"/>
        <w:jc w:val="center"/>
        <w:rPr>
          <w:rFonts w:ascii="Calibri" w:hAnsi="Calibri"/>
          <w:sz w:val="52"/>
          <w:lang w:val="fr-FR"/>
        </w:rPr>
      </w:pPr>
      <w:bookmarkStart w:id="9" w:name="_Toc403632352"/>
      <w:r w:rsidRPr="00350038">
        <w:rPr>
          <w:rFonts w:ascii="Calibri" w:hAnsi="Calibri"/>
          <w:sz w:val="52"/>
          <w:lang w:val="fr-FR"/>
        </w:rPr>
        <w:lastRenderedPageBreak/>
        <w:t xml:space="preserve">Garantie (e) – Forêts naturelles, diversité biologique et </w:t>
      </w:r>
      <w:bookmarkEnd w:id="9"/>
      <w:r w:rsidRPr="00350038">
        <w:rPr>
          <w:rFonts w:ascii="Calibri" w:hAnsi="Calibri"/>
          <w:sz w:val="52"/>
          <w:lang w:val="fr-FR"/>
        </w:rPr>
        <w:t>renforcement des avantages</w:t>
      </w:r>
    </w:p>
    <w:tbl>
      <w:tblPr>
        <w:tblStyle w:val="TableGrid"/>
        <w:tblW w:w="0" w:type="auto"/>
        <w:tblLook w:val="00A0" w:firstRow="1" w:lastRow="0" w:firstColumn="1" w:lastColumn="0" w:noHBand="0" w:noVBand="0"/>
      </w:tblPr>
      <w:tblGrid>
        <w:gridCol w:w="11808"/>
        <w:gridCol w:w="10350"/>
      </w:tblGrid>
      <w:tr w:rsidR="00AE49D7" w:rsidRPr="00350038" w14:paraId="6FC75D11" w14:textId="77777777">
        <w:tc>
          <w:tcPr>
            <w:tcW w:w="22158" w:type="dxa"/>
            <w:gridSpan w:val="2"/>
            <w:shd w:val="clear" w:color="auto" w:fill="44546A"/>
          </w:tcPr>
          <w:p w14:paraId="0275799E"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Principaux enjeux</w:t>
            </w:r>
          </w:p>
        </w:tc>
      </w:tr>
      <w:tr w:rsidR="00AE49D7" w:rsidRPr="00350038" w14:paraId="19B3B096" w14:textId="77777777">
        <w:trPr>
          <w:trHeight w:val="1781"/>
        </w:trPr>
        <w:tc>
          <w:tcPr>
            <w:tcW w:w="22158" w:type="dxa"/>
            <w:gridSpan w:val="2"/>
          </w:tcPr>
          <w:p w14:paraId="4E4A37A2"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Définition des forêts naturelles et compréhension de la distribution de la forêt naturelle.</w:t>
            </w:r>
          </w:p>
          <w:p w14:paraId="10452655"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 xml:space="preserve">Comprendre les incidences éventuelles sur la biodiversité et services écosystémiques des forêts des options de politique en matière de REDD+. </w:t>
            </w:r>
          </w:p>
          <w:p w14:paraId="47DC549C"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Conservation des forêts naturelles ; prévenir la dégradation ou la conversion en forêts plantées (à l’exception de la restauration des forêts).</w:t>
            </w:r>
          </w:p>
          <w:p w14:paraId="6AA6B452"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Gestion des forêt plantées et naturelles pour maintenir ou restaurer la biodiversité et les services écosystémiques (par ex. contrôle de l’érosion des sols, de la pureté de l’eau, produits forestiers non ligneux).</w:t>
            </w:r>
          </w:p>
          <w:p w14:paraId="18608ADA"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Identification et renforcement des avantages sociaux (par ex. amélioration des moyens de subsistance, partage des avantages).</w:t>
            </w:r>
          </w:p>
          <w:p w14:paraId="4ABB9799"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Conservation de la biodiversité hors des forêts.</w:t>
            </w:r>
          </w:p>
        </w:tc>
      </w:tr>
      <w:tr w:rsidR="00AE49D7" w:rsidRPr="00350038" w14:paraId="0BEEFE09" w14:textId="77777777">
        <w:tc>
          <w:tcPr>
            <w:tcW w:w="11808" w:type="dxa"/>
            <w:tcBorders>
              <w:top w:val="double" w:sz="4" w:space="0" w:color="auto"/>
              <w:left w:val="double" w:sz="4" w:space="0" w:color="auto"/>
              <w:bottom w:val="double" w:sz="4" w:space="0" w:color="auto"/>
              <w:right w:val="double" w:sz="4" w:space="0" w:color="auto"/>
            </w:tcBorders>
            <w:shd w:val="clear" w:color="auto" w:fill="44546A"/>
          </w:tcPr>
          <w:p w14:paraId="1D8A2277"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Analyse des risques/avantages</w:t>
            </w:r>
          </w:p>
        </w:tc>
        <w:tc>
          <w:tcPr>
            <w:tcW w:w="10350" w:type="dxa"/>
            <w:tcBorders>
              <w:top w:val="double" w:sz="4" w:space="0" w:color="auto"/>
              <w:left w:val="double" w:sz="4" w:space="0" w:color="auto"/>
              <w:bottom w:val="double" w:sz="4" w:space="0" w:color="auto"/>
              <w:right w:val="double" w:sz="4" w:space="0" w:color="auto"/>
            </w:tcBorders>
            <w:shd w:val="clear" w:color="auto" w:fill="44546A"/>
          </w:tcPr>
          <w:p w14:paraId="5758FD01"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Examen des politiques, lois et règlements</w:t>
            </w:r>
          </w:p>
        </w:tc>
      </w:tr>
      <w:tr w:rsidR="00AE49D7" w:rsidRPr="00350038" w14:paraId="0193EA7F" w14:textId="77777777">
        <w:trPr>
          <w:trHeight w:val="5118"/>
        </w:trPr>
        <w:tc>
          <w:tcPr>
            <w:tcW w:w="11808" w:type="dxa"/>
            <w:tcBorders>
              <w:top w:val="double" w:sz="4" w:space="0" w:color="auto"/>
              <w:left w:val="double" w:sz="4" w:space="0" w:color="auto"/>
              <w:right w:val="double" w:sz="4" w:space="0" w:color="auto"/>
            </w:tcBorders>
          </w:tcPr>
          <w:p w14:paraId="6A945D9C"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Les actions de REDD+ / P&amp;M candidates sont-elles susceptibles de :</w:t>
            </w:r>
          </w:p>
          <w:p w14:paraId="58D8084E"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 xml:space="preserve">Favoriser une meilleure conservation de la biodiversité, des forêts naturelles et de leurs services écosystémiques, notamment : </w:t>
            </w:r>
          </w:p>
          <w:p w14:paraId="72C381FB" w14:textId="311BDF65" w:rsidR="00AE49D7" w:rsidRPr="008F04FF" w:rsidRDefault="00AE49D7" w:rsidP="008F04FF">
            <w:pPr>
              <w:pStyle w:val="ListParagraph"/>
              <w:numPr>
                <w:ilvl w:val="2"/>
                <w:numId w:val="28"/>
              </w:numPr>
              <w:spacing w:after="0" w:line="240" w:lineRule="auto"/>
              <w:rPr>
                <w:sz w:val="28"/>
                <w:lang w:val="fr-FR"/>
              </w:rPr>
            </w:pPr>
            <w:r w:rsidRPr="008F04FF">
              <w:rPr>
                <w:sz w:val="28"/>
                <w:lang w:val="fr-FR"/>
              </w:rPr>
              <w:t xml:space="preserve">L’amélioration de l’état des zones revêtant une importance en termes de biodiversité (par ex. grâce à une meilleure gestion des zones protégées, ou cibler les actions de REDD+ dans les zones </w:t>
            </w:r>
            <w:r w:rsidR="005005CA">
              <w:rPr>
                <w:sz w:val="28"/>
                <w:lang w:val="fr-FR"/>
              </w:rPr>
              <w:t xml:space="preserve">cruciales </w:t>
            </w:r>
            <w:r w:rsidRPr="008F04FF">
              <w:rPr>
                <w:sz w:val="28"/>
                <w:lang w:val="fr-FR"/>
              </w:rPr>
              <w:t>en termes de biodiversité) ?</w:t>
            </w:r>
          </w:p>
          <w:p w14:paraId="515E7EBB" w14:textId="529F9919" w:rsidR="00AE49D7" w:rsidRPr="008F04FF" w:rsidRDefault="00AE49D7" w:rsidP="008F04FF">
            <w:pPr>
              <w:pStyle w:val="ListParagraph"/>
              <w:numPr>
                <w:ilvl w:val="2"/>
                <w:numId w:val="28"/>
              </w:numPr>
              <w:spacing w:after="0" w:line="240" w:lineRule="auto"/>
              <w:rPr>
                <w:sz w:val="28"/>
                <w:lang w:val="fr-FR"/>
              </w:rPr>
            </w:pPr>
            <w:r w:rsidRPr="008F04FF">
              <w:rPr>
                <w:sz w:val="28"/>
                <w:lang w:val="fr-FR"/>
              </w:rPr>
              <w:t xml:space="preserve">Prévenir l’érosion des sols et </w:t>
            </w:r>
            <w:r w:rsidR="005005CA">
              <w:rPr>
                <w:sz w:val="28"/>
                <w:lang w:val="fr-FR"/>
              </w:rPr>
              <w:t xml:space="preserve">la </w:t>
            </w:r>
            <w:r w:rsidRPr="008F04FF">
              <w:rPr>
                <w:sz w:val="28"/>
                <w:lang w:val="fr-FR"/>
              </w:rPr>
              <w:t>préservation de la qualité de l’eau (par ex. par la réduction ciblée du défrichage des forêts ou de l’abattage intensif sur les pentes abruptes et les forêts riveraines) ?</w:t>
            </w:r>
          </w:p>
          <w:p w14:paraId="3130B236"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Menacer la conservation de la biodiversité, des forêts naturelles et de leurs services écosystémiques, par :</w:t>
            </w:r>
          </w:p>
          <w:p w14:paraId="34319922" w14:textId="77777777" w:rsidR="00AE49D7" w:rsidRPr="008F04FF" w:rsidRDefault="00AE49D7" w:rsidP="008F04FF">
            <w:pPr>
              <w:pStyle w:val="ListParagraph"/>
              <w:numPr>
                <w:ilvl w:val="2"/>
                <w:numId w:val="27"/>
              </w:numPr>
              <w:spacing w:after="0" w:line="240" w:lineRule="auto"/>
              <w:rPr>
                <w:sz w:val="28"/>
                <w:lang w:val="fr-FR"/>
              </w:rPr>
            </w:pPr>
            <w:r w:rsidRPr="008F04FF">
              <w:rPr>
                <w:sz w:val="28"/>
                <w:lang w:val="fr-FR"/>
              </w:rPr>
              <w:t>La conversion (par ex. la création de plantations dans les forêts dégradées ou secondaires) ?</w:t>
            </w:r>
          </w:p>
          <w:p w14:paraId="6DCC8D2F" w14:textId="4480E093" w:rsidR="00AE49D7" w:rsidRPr="008F04FF" w:rsidRDefault="00AE49D7" w:rsidP="008F04FF">
            <w:pPr>
              <w:pStyle w:val="ListParagraph"/>
              <w:numPr>
                <w:ilvl w:val="2"/>
                <w:numId w:val="27"/>
              </w:numPr>
              <w:spacing w:after="0" w:line="240" w:lineRule="auto"/>
              <w:rPr>
                <w:sz w:val="28"/>
                <w:lang w:val="fr-FR"/>
              </w:rPr>
            </w:pPr>
            <w:r w:rsidRPr="008F04FF">
              <w:rPr>
                <w:sz w:val="28"/>
                <w:lang w:val="fr-FR"/>
              </w:rPr>
              <w:t>La dégradation de la biodiversité et des services écosystémiques (par ex. en intensifiant l’exploitation des forêts, provoquant ainsi la pression de chasse sur les espèces vulnérables ou en favorisant certaines espèces d’arbres</w:t>
            </w:r>
            <w:r w:rsidR="005005CA">
              <w:rPr>
                <w:sz w:val="28"/>
                <w:lang w:val="fr-FR"/>
              </w:rPr>
              <w:t xml:space="preserve"> hautement productives </w:t>
            </w:r>
            <w:proofErr w:type="gramStart"/>
            <w:r w:rsidR="005005CA">
              <w:rPr>
                <w:sz w:val="28"/>
                <w:lang w:val="fr-FR"/>
              </w:rPr>
              <w:t>au</w:t>
            </w:r>
            <w:proofErr w:type="gramEnd"/>
            <w:r w:rsidR="005005CA">
              <w:rPr>
                <w:sz w:val="28"/>
                <w:lang w:val="fr-FR"/>
              </w:rPr>
              <w:t xml:space="preserve"> dépen</w:t>
            </w:r>
            <w:r w:rsidRPr="008F04FF">
              <w:rPr>
                <w:sz w:val="28"/>
                <w:lang w:val="fr-FR"/>
              </w:rPr>
              <w:t>s de la diversité des espèces) ?</w:t>
            </w:r>
          </w:p>
          <w:p w14:paraId="5B512A20"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Menacer la biodiversité en dehors des forêts :</w:t>
            </w:r>
          </w:p>
          <w:p w14:paraId="53C9F6C0" w14:textId="77777777" w:rsidR="00AE49D7" w:rsidRPr="008F04FF" w:rsidRDefault="00AE49D7" w:rsidP="008F04FF">
            <w:pPr>
              <w:pStyle w:val="ListParagraph"/>
              <w:numPr>
                <w:ilvl w:val="2"/>
                <w:numId w:val="27"/>
              </w:numPr>
              <w:spacing w:after="0" w:line="240" w:lineRule="auto"/>
              <w:rPr>
                <w:sz w:val="28"/>
                <w:lang w:val="fr-FR"/>
              </w:rPr>
            </w:pPr>
            <w:r w:rsidRPr="008F04FF">
              <w:rPr>
                <w:sz w:val="28"/>
                <w:lang w:val="fr-FR"/>
              </w:rPr>
              <w:t>En déplaçant les changements dans l’utilisation des terres (par ex. de nouveaux pâturages dans d’autres écosystèmes que les forêts) ?</w:t>
            </w:r>
          </w:p>
          <w:p w14:paraId="060BF786" w14:textId="1F343D7F" w:rsidR="00AE49D7" w:rsidRPr="008F04FF" w:rsidRDefault="00AE49D7" w:rsidP="008F04FF">
            <w:pPr>
              <w:pStyle w:val="ListParagraph"/>
              <w:numPr>
                <w:ilvl w:val="2"/>
                <w:numId w:val="27"/>
              </w:numPr>
              <w:spacing w:after="0" w:line="240" w:lineRule="auto"/>
              <w:rPr>
                <w:sz w:val="28"/>
                <w:lang w:val="fr-FR"/>
              </w:rPr>
            </w:pPr>
            <w:r w:rsidRPr="008F04FF">
              <w:rPr>
                <w:sz w:val="28"/>
                <w:lang w:val="fr-FR"/>
              </w:rPr>
              <w:t xml:space="preserve">En ayant d’autres incidences sur les terres voisines (par ex. liées à une dérive de pesticide provenant de l’agriculture intensive, à l’extraction d’eau ou </w:t>
            </w:r>
            <w:r w:rsidR="005005CA">
              <w:rPr>
                <w:sz w:val="28"/>
                <w:lang w:val="fr-FR"/>
              </w:rPr>
              <w:t xml:space="preserve">à </w:t>
            </w:r>
            <w:r w:rsidRPr="008F04FF">
              <w:rPr>
                <w:sz w:val="28"/>
                <w:lang w:val="fr-FR"/>
              </w:rPr>
              <w:t>des incendies provoqués par la gestion des forêts) ?</w:t>
            </w:r>
          </w:p>
          <w:p w14:paraId="14238601" w14:textId="77777777" w:rsidR="00AE49D7" w:rsidRPr="008F04FF" w:rsidRDefault="00AE49D7" w:rsidP="008F04FF">
            <w:pPr>
              <w:pStyle w:val="ListParagraph"/>
              <w:numPr>
                <w:ilvl w:val="2"/>
                <w:numId w:val="27"/>
              </w:numPr>
              <w:spacing w:after="0" w:line="240" w:lineRule="auto"/>
              <w:rPr>
                <w:sz w:val="28"/>
                <w:lang w:val="fr-FR"/>
              </w:rPr>
            </w:pPr>
            <w:r w:rsidRPr="008F04FF">
              <w:rPr>
                <w:sz w:val="28"/>
                <w:lang w:val="fr-FR"/>
              </w:rPr>
              <w:t>Sous forme de boisement dans les zones d’importance en termes de conservation ?</w:t>
            </w:r>
          </w:p>
          <w:p w14:paraId="31D8A24A"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Poser un risque pour la biodiversité dans d’autres pays, du fait :</w:t>
            </w:r>
          </w:p>
          <w:p w14:paraId="5ED6C720" w14:textId="77777777" w:rsidR="00AE49D7" w:rsidRPr="008F04FF" w:rsidRDefault="00AE49D7" w:rsidP="008F04FF">
            <w:pPr>
              <w:pStyle w:val="ListParagraph"/>
              <w:numPr>
                <w:ilvl w:val="2"/>
                <w:numId w:val="27"/>
              </w:numPr>
              <w:spacing w:after="0" w:line="240" w:lineRule="auto"/>
              <w:rPr>
                <w:sz w:val="28"/>
                <w:lang w:val="fr-FR"/>
              </w:rPr>
            </w:pPr>
            <w:r w:rsidRPr="008F04FF">
              <w:rPr>
                <w:sz w:val="28"/>
                <w:lang w:val="fr-FR"/>
              </w:rPr>
              <w:t>De la hausse des importations des produits agricoles pour compenser la baisse de la production interne ?</w:t>
            </w:r>
          </w:p>
          <w:p w14:paraId="70A1F315" w14:textId="77777777" w:rsidR="00AE49D7" w:rsidRPr="008F04FF" w:rsidRDefault="00AE49D7" w:rsidP="008F04FF">
            <w:pPr>
              <w:pStyle w:val="ListParagraph"/>
              <w:numPr>
                <w:ilvl w:val="2"/>
                <w:numId w:val="27"/>
              </w:numPr>
              <w:spacing w:after="0" w:line="240" w:lineRule="auto"/>
              <w:rPr>
                <w:sz w:val="28"/>
                <w:lang w:val="fr-FR"/>
              </w:rPr>
            </w:pPr>
            <w:r w:rsidRPr="008F04FF">
              <w:rPr>
                <w:sz w:val="28"/>
                <w:lang w:val="fr-FR"/>
              </w:rPr>
              <w:t>De la hausse des importations de bois ?</w:t>
            </w:r>
          </w:p>
          <w:p w14:paraId="0FF77261" w14:textId="77777777" w:rsidR="00AE49D7" w:rsidRPr="008F04FF" w:rsidRDefault="00AE49D7" w:rsidP="008F04FF">
            <w:pPr>
              <w:pStyle w:val="ListParagraph"/>
              <w:numPr>
                <w:ilvl w:val="2"/>
                <w:numId w:val="27"/>
              </w:numPr>
              <w:spacing w:after="0" w:line="240" w:lineRule="auto"/>
              <w:rPr>
                <w:sz w:val="28"/>
                <w:lang w:val="fr-FR"/>
              </w:rPr>
            </w:pPr>
            <w:r w:rsidRPr="008F04FF">
              <w:rPr>
                <w:sz w:val="28"/>
                <w:lang w:val="fr-FR"/>
              </w:rPr>
              <w:t>Du meilleur accès des communautés locales aux produits de la forêt, comme le bois de chauffe, les aliments forestiers et les plantes médicinales ?</w:t>
            </w:r>
          </w:p>
          <w:p w14:paraId="22EBAF8F" w14:textId="77777777" w:rsidR="00AE49D7" w:rsidRPr="008F04FF" w:rsidRDefault="00AE49D7" w:rsidP="008F04FF">
            <w:pPr>
              <w:pStyle w:val="ListParagraph"/>
              <w:spacing w:after="0" w:line="240" w:lineRule="auto"/>
              <w:ind w:left="1224"/>
              <w:rPr>
                <w:sz w:val="28"/>
                <w:lang w:val="fr-FR"/>
              </w:rPr>
            </w:pPr>
          </w:p>
          <w:p w14:paraId="46BABCE4"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Les actions de REDD+ / P&amp;M candidates sont-elles susceptibles de :</w:t>
            </w:r>
          </w:p>
          <w:p w14:paraId="04ED5CA9"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Limiter la disponibilité et la qualité des produits forestiers, et l’accès à ces produits, en particulier aux communautés locales ?</w:t>
            </w:r>
          </w:p>
          <w:p w14:paraId="21086D1A"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 xml:space="preserve">Renforcer la capacité des communautés à s’adapter aux changements climatiques, réduisant ainsi leur vulnérabilité aux changements climatiques ? </w:t>
            </w:r>
          </w:p>
          <w:p w14:paraId="5B4E50A4"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 xml:space="preserve">Fournir des incitations liées à la conservation des forêts naturelles et des services écosystémiques rendus par elles (par ex. partage des avantages, paiements pour les services écosystémiques (PES)) ? </w:t>
            </w:r>
          </w:p>
          <w:p w14:paraId="66788761"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Susciter des moyens d’existence pour les communautés locales (par ex. emploi dans des projets de régénération naturelle assistée, création d’opportunités alternatives de revenus réduisant la pression sur les forêts ?</w:t>
            </w:r>
          </w:p>
          <w:p w14:paraId="38EE9258"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Affecter négativement les moyens de subsistance locaux (par ex. en provoquant la perte des moyens de subsistance suite à la fermeture des industries de bois et liées au bois, ou de contrôles sur le développement agricole) ?</w:t>
            </w:r>
          </w:p>
          <w:p w14:paraId="33710858" w14:textId="77777777" w:rsidR="00AE49D7" w:rsidRPr="008F04FF" w:rsidRDefault="00AE49D7" w:rsidP="008F04FF">
            <w:pPr>
              <w:pStyle w:val="ListParagraph"/>
              <w:numPr>
                <w:ilvl w:val="0"/>
                <w:numId w:val="27"/>
              </w:numPr>
              <w:spacing w:after="0" w:line="240" w:lineRule="auto"/>
              <w:rPr>
                <w:sz w:val="28"/>
                <w:lang w:val="fr-FR"/>
              </w:rPr>
            </w:pPr>
            <w:r w:rsidRPr="008F04FF">
              <w:rPr>
                <w:sz w:val="28"/>
                <w:lang w:val="fr-FR"/>
              </w:rPr>
              <w:t>Préserver les forêts et les produits forestiers revêtant une importance traditionnelle et spirituelle pour les communautés autochtones et locales ?  (par ex. conservation des sites sacrés, plantes médicinales)</w:t>
            </w:r>
          </w:p>
          <w:p w14:paraId="1259F1A9" w14:textId="77777777" w:rsidR="00AE49D7" w:rsidRPr="008F04FF" w:rsidRDefault="00AE49D7" w:rsidP="008F04FF">
            <w:pPr>
              <w:spacing w:after="0" w:line="240" w:lineRule="auto"/>
              <w:rPr>
                <w:color w:val="auto"/>
                <w:sz w:val="28"/>
                <w:lang w:val="fr-FR" w:eastAsia="en-US"/>
              </w:rPr>
            </w:pPr>
          </w:p>
          <w:p w14:paraId="1F98A422"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Le Programme de REDD+ incitera-t-il à la conservation des forêts en privilégiant les actions réduisant la conversion des forêts naturelles (par ex. au profit de l’agriculture) plutôt que d’autres activités de REDD+ ?</w:t>
            </w:r>
          </w:p>
          <w:p w14:paraId="3DDD679F" w14:textId="77777777" w:rsidR="00AE49D7" w:rsidRPr="008F04FF" w:rsidRDefault="00AE49D7" w:rsidP="008F04FF">
            <w:pPr>
              <w:pStyle w:val="ListParagraph"/>
              <w:numPr>
                <w:ilvl w:val="2"/>
                <w:numId w:val="27"/>
              </w:numPr>
              <w:spacing w:after="0" w:line="240" w:lineRule="auto"/>
              <w:rPr>
                <w:sz w:val="28"/>
                <w:lang w:val="fr-FR"/>
              </w:rPr>
            </w:pPr>
            <w:r w:rsidRPr="008F04FF">
              <w:rPr>
                <w:sz w:val="28"/>
                <w:lang w:val="fr-FR"/>
              </w:rPr>
              <w:t>Si des actions réduisant la conversion ne sont pas privilégiées, existe-t-il un risque que le défrichement des forêts se poursuive tandis que des efforts sont déployés sur d’autres activités de REDD+, notamment le déboisement ?</w:t>
            </w:r>
          </w:p>
          <w:p w14:paraId="71DD0C3C" w14:textId="77777777" w:rsidR="00AE49D7" w:rsidRPr="008F04FF" w:rsidRDefault="00AE49D7" w:rsidP="008F04FF">
            <w:pPr>
              <w:spacing w:after="0" w:line="240" w:lineRule="auto"/>
              <w:rPr>
                <w:color w:val="auto"/>
                <w:sz w:val="28"/>
                <w:lang w:val="fr-FR" w:eastAsia="en-US"/>
              </w:rPr>
            </w:pPr>
          </w:p>
          <w:p w14:paraId="482B52F5"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Le programme de REDD+ privilégiera-t-il les interventions réduisant la dégradation des forêts naturelles plutôt que d’autres activités de REDD+ ?</w:t>
            </w:r>
          </w:p>
        </w:tc>
        <w:tc>
          <w:tcPr>
            <w:tcW w:w="10350" w:type="dxa"/>
            <w:tcBorders>
              <w:top w:val="double" w:sz="4" w:space="0" w:color="auto"/>
              <w:left w:val="double" w:sz="4" w:space="0" w:color="auto"/>
              <w:right w:val="double" w:sz="4" w:space="0" w:color="auto"/>
            </w:tcBorders>
          </w:tcPr>
          <w:p w14:paraId="411A4FE7" w14:textId="77777777" w:rsidR="00AE49D7" w:rsidRPr="008F04FF" w:rsidRDefault="00AE49D7" w:rsidP="008F04FF">
            <w:pPr>
              <w:spacing w:after="0" w:line="240" w:lineRule="auto"/>
              <w:rPr>
                <w:b/>
                <w:color w:val="auto"/>
                <w:sz w:val="28"/>
                <w:lang w:val="fr-FR" w:eastAsia="en-US"/>
              </w:rPr>
            </w:pPr>
            <w:r w:rsidRPr="008F04FF">
              <w:rPr>
                <w:b/>
                <w:color w:val="auto"/>
                <w:sz w:val="28"/>
                <w:lang w:val="fr-FR" w:eastAsia="en-US"/>
              </w:rPr>
              <w:lastRenderedPageBreak/>
              <w:t>Relatives aux forêts naturelles</w:t>
            </w:r>
          </w:p>
          <w:p w14:paraId="29783506" w14:textId="77777777" w:rsidR="00AE49D7" w:rsidRPr="008F04FF" w:rsidRDefault="00AE49D7" w:rsidP="008F04FF">
            <w:pPr>
              <w:spacing w:after="0" w:line="240" w:lineRule="auto"/>
              <w:rPr>
                <w:color w:val="auto"/>
                <w:sz w:val="28"/>
                <w:lang w:val="fr-FR" w:eastAsia="en-US"/>
              </w:rPr>
            </w:pPr>
          </w:p>
          <w:p w14:paraId="0396F46F"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Des politiques, législations, réglementations ou toute autre mesure sont-elles en vigueur (ou prévues) pour :</w:t>
            </w:r>
          </w:p>
          <w:p w14:paraId="512C0437" w14:textId="77777777" w:rsidR="00AE49D7" w:rsidRPr="008F04FF" w:rsidRDefault="00AE49D7" w:rsidP="008F04FF">
            <w:pPr>
              <w:pStyle w:val="ListParagraph"/>
              <w:numPr>
                <w:ilvl w:val="0"/>
                <w:numId w:val="29"/>
              </w:numPr>
              <w:spacing w:after="0" w:line="240" w:lineRule="auto"/>
              <w:rPr>
                <w:sz w:val="28"/>
                <w:lang w:val="fr-FR"/>
              </w:rPr>
            </w:pPr>
            <w:r w:rsidRPr="008F04FF">
              <w:rPr>
                <w:sz w:val="28"/>
                <w:lang w:val="fr-FR"/>
              </w:rPr>
              <w:t>Définir une forêt naturelle (notamment en fixant des orientations sur son âge, sa composition et son degré de dégradation) ?</w:t>
            </w:r>
          </w:p>
          <w:p w14:paraId="20AA8D2C" w14:textId="77777777" w:rsidR="00AE49D7" w:rsidRPr="008F04FF" w:rsidRDefault="00AE49D7" w:rsidP="008F04FF">
            <w:pPr>
              <w:pStyle w:val="ListParagraph"/>
              <w:numPr>
                <w:ilvl w:val="0"/>
                <w:numId w:val="29"/>
              </w:numPr>
              <w:spacing w:after="0" w:line="240" w:lineRule="auto"/>
              <w:rPr>
                <w:sz w:val="28"/>
                <w:lang w:val="fr-FR"/>
              </w:rPr>
            </w:pPr>
            <w:r w:rsidRPr="008F04FF">
              <w:rPr>
                <w:sz w:val="28"/>
                <w:lang w:val="fr-FR"/>
              </w:rPr>
              <w:t>Dégager et conserver les informations relatives à la distribution des forêts et à leur valeur pour la biodiversité et les services écosystémiques ?</w:t>
            </w:r>
          </w:p>
          <w:p w14:paraId="49F686A2" w14:textId="77777777" w:rsidR="00AE49D7" w:rsidRPr="008F04FF" w:rsidRDefault="00AE49D7" w:rsidP="008F04FF">
            <w:pPr>
              <w:pStyle w:val="ListParagraph"/>
              <w:numPr>
                <w:ilvl w:val="0"/>
                <w:numId w:val="29"/>
              </w:numPr>
              <w:spacing w:after="0" w:line="240" w:lineRule="auto"/>
              <w:rPr>
                <w:sz w:val="28"/>
                <w:lang w:val="fr-FR"/>
              </w:rPr>
            </w:pPr>
            <w:r w:rsidRPr="008F04FF">
              <w:rPr>
                <w:sz w:val="28"/>
                <w:lang w:val="fr-FR"/>
              </w:rPr>
              <w:t>Comprendre les facteurs du déboisement et de la dégradation des forêts ?</w:t>
            </w:r>
          </w:p>
          <w:p w14:paraId="1197D0CB" w14:textId="77777777" w:rsidR="00AE49D7" w:rsidRPr="008F04FF" w:rsidRDefault="00AE49D7" w:rsidP="008F04FF">
            <w:pPr>
              <w:pStyle w:val="ListParagraph"/>
              <w:numPr>
                <w:ilvl w:val="0"/>
                <w:numId w:val="29"/>
              </w:numPr>
              <w:spacing w:after="0" w:line="240" w:lineRule="auto"/>
              <w:rPr>
                <w:sz w:val="28"/>
                <w:lang w:val="fr-FR"/>
              </w:rPr>
            </w:pPr>
            <w:r w:rsidRPr="008F04FF">
              <w:rPr>
                <w:sz w:val="28"/>
                <w:lang w:val="fr-FR"/>
              </w:rPr>
              <w:t>Limiter la conversion et la dégradation des forêts naturelles (par ex. plans d’utilisation des terres, superficie des zones protégées, normes et plans pour la gestion forestière, directives sur l’utilisation des feux en agriculture) ?</w:t>
            </w:r>
          </w:p>
          <w:p w14:paraId="0831AA5B" w14:textId="77777777" w:rsidR="00AE49D7" w:rsidRPr="008F04FF" w:rsidRDefault="00AE49D7" w:rsidP="008F04FF">
            <w:pPr>
              <w:spacing w:after="0" w:line="240" w:lineRule="auto"/>
              <w:rPr>
                <w:color w:val="auto"/>
                <w:sz w:val="28"/>
                <w:lang w:val="fr-FR" w:eastAsia="en-US"/>
              </w:rPr>
            </w:pPr>
          </w:p>
          <w:p w14:paraId="746117C8" w14:textId="77777777" w:rsidR="00AE49D7" w:rsidRPr="008F04FF" w:rsidRDefault="00AE49D7" w:rsidP="008F04FF">
            <w:pPr>
              <w:spacing w:after="0" w:line="240" w:lineRule="auto"/>
              <w:rPr>
                <w:b/>
                <w:color w:val="auto"/>
                <w:sz w:val="28"/>
                <w:lang w:val="fr-FR" w:eastAsia="en-US"/>
              </w:rPr>
            </w:pPr>
            <w:r w:rsidRPr="008F04FF">
              <w:rPr>
                <w:b/>
                <w:color w:val="auto"/>
                <w:sz w:val="28"/>
                <w:lang w:val="fr-FR" w:eastAsia="en-US"/>
              </w:rPr>
              <w:t xml:space="preserve">Relatives à la biodiversité </w:t>
            </w:r>
          </w:p>
          <w:p w14:paraId="4BDA52BC"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Des politiques, législations, réglementations ou toute autre mesure sont-elles en vigueur (ou prévues) pour :</w:t>
            </w:r>
          </w:p>
          <w:p w14:paraId="11A4D289" w14:textId="77777777" w:rsidR="00AE49D7" w:rsidRPr="008F04FF" w:rsidRDefault="00AE49D7" w:rsidP="008F04FF">
            <w:pPr>
              <w:pStyle w:val="ListParagraph"/>
              <w:numPr>
                <w:ilvl w:val="0"/>
                <w:numId w:val="30"/>
              </w:numPr>
              <w:spacing w:after="0" w:line="240" w:lineRule="auto"/>
              <w:rPr>
                <w:sz w:val="28"/>
                <w:lang w:val="fr-FR"/>
              </w:rPr>
            </w:pPr>
            <w:r w:rsidRPr="008F04FF">
              <w:rPr>
                <w:sz w:val="28"/>
                <w:lang w:val="fr-FR"/>
              </w:rPr>
              <w:t>Définir des buts ou cibles spécifiques en matière de conservation de la biodiversité (espèces et/ou écosystèmes), entre autres pour la REDD+ ?</w:t>
            </w:r>
          </w:p>
          <w:p w14:paraId="7B2D9C3F" w14:textId="77777777" w:rsidR="00AE49D7" w:rsidRPr="008F04FF" w:rsidRDefault="00AE49D7" w:rsidP="008F04FF">
            <w:pPr>
              <w:pStyle w:val="ListParagraph"/>
              <w:numPr>
                <w:ilvl w:val="0"/>
                <w:numId w:val="30"/>
              </w:numPr>
              <w:spacing w:after="0" w:line="240" w:lineRule="auto"/>
              <w:rPr>
                <w:sz w:val="28"/>
                <w:lang w:val="fr-FR"/>
              </w:rPr>
            </w:pPr>
            <w:r w:rsidRPr="008F04FF">
              <w:rPr>
                <w:sz w:val="28"/>
                <w:lang w:val="fr-FR"/>
              </w:rPr>
              <w:t>Recenser et cartographier les écosystèmes uniques et menacés ou les écosystèmes associés à des espèces endémiques et en danger d’extinction ?</w:t>
            </w:r>
          </w:p>
          <w:p w14:paraId="1FD00BDC" w14:textId="77777777" w:rsidR="00AE49D7" w:rsidRPr="008F04FF" w:rsidRDefault="00AE49D7" w:rsidP="008F04FF">
            <w:pPr>
              <w:pStyle w:val="ListParagraph"/>
              <w:numPr>
                <w:ilvl w:val="0"/>
                <w:numId w:val="30"/>
              </w:numPr>
              <w:spacing w:after="0" w:line="240" w:lineRule="auto"/>
              <w:rPr>
                <w:sz w:val="28"/>
                <w:lang w:val="fr-FR"/>
              </w:rPr>
            </w:pPr>
            <w:r w:rsidRPr="008F04FF">
              <w:rPr>
                <w:sz w:val="28"/>
                <w:lang w:val="fr-FR"/>
              </w:rPr>
              <w:t>Examiner et surveiller les effets de la gestion forestière sur la biodiversité et les services écosystémiques ?</w:t>
            </w:r>
          </w:p>
          <w:p w14:paraId="0B63AADA" w14:textId="77777777" w:rsidR="00AE49D7" w:rsidRPr="008F04FF" w:rsidRDefault="00AE49D7" w:rsidP="008F04FF">
            <w:pPr>
              <w:pStyle w:val="ListParagraph"/>
              <w:numPr>
                <w:ilvl w:val="0"/>
                <w:numId w:val="30"/>
              </w:numPr>
              <w:spacing w:after="0" w:line="240" w:lineRule="auto"/>
              <w:rPr>
                <w:sz w:val="28"/>
                <w:lang w:val="fr-FR"/>
              </w:rPr>
            </w:pPr>
            <w:r w:rsidRPr="008F04FF">
              <w:rPr>
                <w:sz w:val="28"/>
                <w:lang w:val="fr-FR"/>
              </w:rPr>
              <w:t>Veiller à ce que la planification de l’utilisation des terres tienne compte de la préservation des services écosystémiques et de la biodiversité, y compris en dehors des forêts (par ex. contribution des zones humides à la régulation des crues) ; et vise à préserver ou accroître la connectivité des forêts (réduire leur fragmentation) ?</w:t>
            </w:r>
          </w:p>
          <w:p w14:paraId="099E1BF4" w14:textId="77777777" w:rsidR="00AE49D7" w:rsidRPr="008F04FF" w:rsidRDefault="00AE49D7" w:rsidP="008F04FF">
            <w:pPr>
              <w:pStyle w:val="ListParagraph"/>
              <w:numPr>
                <w:ilvl w:val="0"/>
                <w:numId w:val="30"/>
              </w:numPr>
              <w:spacing w:after="0" w:line="240" w:lineRule="auto"/>
              <w:rPr>
                <w:sz w:val="28"/>
                <w:lang w:val="fr-FR"/>
              </w:rPr>
            </w:pPr>
            <w:r w:rsidRPr="008F04FF">
              <w:rPr>
                <w:sz w:val="28"/>
                <w:lang w:val="fr-FR"/>
              </w:rPr>
              <w:t>Prévenir ou minimiser les incidences négatives de la REDD+ sur les écosystèmes non forestiers (par ex. plans existants d’utilisation des terres, superficie des zones protégées, conditions liées à l’évaluation des incidences environnementales (EIE)) ?</w:t>
            </w:r>
          </w:p>
          <w:p w14:paraId="11A3204F" w14:textId="77777777" w:rsidR="00AE49D7" w:rsidRPr="008F04FF" w:rsidRDefault="00AE49D7" w:rsidP="008F04FF">
            <w:pPr>
              <w:pStyle w:val="ListParagraph"/>
              <w:numPr>
                <w:ilvl w:val="0"/>
                <w:numId w:val="30"/>
              </w:numPr>
              <w:spacing w:after="0" w:line="240" w:lineRule="auto"/>
              <w:rPr>
                <w:sz w:val="28"/>
                <w:lang w:val="fr-FR"/>
              </w:rPr>
            </w:pPr>
            <w:r w:rsidRPr="008F04FF">
              <w:rPr>
                <w:sz w:val="28"/>
                <w:lang w:val="fr-FR"/>
              </w:rPr>
              <w:t xml:space="preserve">Prévenir ou minimiser les incidences de la REDD+ sur la biodiversité et les autres pays </w:t>
            </w:r>
            <w:r w:rsidRPr="008F04FF">
              <w:rPr>
                <w:sz w:val="28"/>
                <w:lang w:val="fr-FR"/>
              </w:rPr>
              <w:lastRenderedPageBreak/>
              <w:t>(par ex. en choisissant de promouvoir l’abattage à faible impact plutôt que d’accroître les importations de bois) ?</w:t>
            </w:r>
          </w:p>
          <w:p w14:paraId="3A1B20CF" w14:textId="77777777" w:rsidR="00AE49D7" w:rsidRPr="008F04FF" w:rsidRDefault="00AE49D7" w:rsidP="008F04FF">
            <w:pPr>
              <w:spacing w:after="0" w:line="240" w:lineRule="auto"/>
              <w:rPr>
                <w:color w:val="auto"/>
                <w:sz w:val="28"/>
                <w:lang w:val="fr-FR" w:eastAsia="en-US"/>
              </w:rPr>
            </w:pPr>
          </w:p>
          <w:p w14:paraId="3DC68230" w14:textId="77777777" w:rsidR="00AE49D7" w:rsidRPr="008F04FF" w:rsidRDefault="00AE49D7" w:rsidP="008F04FF">
            <w:pPr>
              <w:spacing w:after="0" w:line="240" w:lineRule="auto"/>
              <w:rPr>
                <w:b/>
                <w:color w:val="auto"/>
                <w:sz w:val="28"/>
                <w:lang w:val="fr-FR" w:eastAsia="en-US"/>
              </w:rPr>
            </w:pPr>
            <w:r w:rsidRPr="008F04FF">
              <w:rPr>
                <w:b/>
                <w:color w:val="auto"/>
                <w:sz w:val="28"/>
                <w:lang w:val="fr-FR" w:eastAsia="en-US"/>
              </w:rPr>
              <w:t xml:space="preserve">Relatives à d’autres avantages sociaux et environnementaux </w:t>
            </w:r>
          </w:p>
          <w:p w14:paraId="037D2EE1" w14:textId="77777777" w:rsidR="00AE49D7" w:rsidRPr="008F04FF" w:rsidRDefault="00AE49D7" w:rsidP="008F04FF">
            <w:pPr>
              <w:spacing w:after="0" w:line="240" w:lineRule="auto"/>
              <w:rPr>
                <w:b/>
                <w:color w:val="auto"/>
                <w:sz w:val="28"/>
                <w:lang w:val="fr-FR" w:eastAsia="en-US"/>
              </w:rPr>
            </w:pPr>
            <w:r w:rsidRPr="008F04FF">
              <w:rPr>
                <w:color w:val="auto"/>
                <w:sz w:val="28"/>
                <w:lang w:val="fr-FR" w:eastAsia="en-US"/>
              </w:rPr>
              <w:t>Des politiques, législations, réglementations ou toute autre mesure sont-elles en vigueur (ou prévues) pour :</w:t>
            </w:r>
          </w:p>
          <w:p w14:paraId="747C0D21" w14:textId="77777777" w:rsidR="00AE49D7" w:rsidRPr="008F04FF" w:rsidRDefault="00AE49D7" w:rsidP="008F04FF">
            <w:pPr>
              <w:pStyle w:val="ListParagraph"/>
              <w:numPr>
                <w:ilvl w:val="0"/>
                <w:numId w:val="31"/>
              </w:numPr>
              <w:spacing w:after="0" w:line="240" w:lineRule="auto"/>
              <w:rPr>
                <w:sz w:val="28"/>
                <w:lang w:val="fr-FR"/>
              </w:rPr>
            </w:pPr>
            <w:r w:rsidRPr="008F04FF">
              <w:rPr>
                <w:sz w:val="28"/>
                <w:lang w:val="fr-FR"/>
              </w:rPr>
              <w:t>Recenser et cartographier la valeur des services écosystémiques pour les communautés locales ?</w:t>
            </w:r>
          </w:p>
          <w:p w14:paraId="5610AF50" w14:textId="77777777" w:rsidR="00AE49D7" w:rsidRPr="008F04FF" w:rsidRDefault="00AE49D7" w:rsidP="008F04FF">
            <w:pPr>
              <w:pStyle w:val="ListParagraph"/>
              <w:numPr>
                <w:ilvl w:val="0"/>
                <w:numId w:val="31"/>
              </w:numPr>
              <w:spacing w:after="0" w:line="240" w:lineRule="auto"/>
              <w:rPr>
                <w:sz w:val="28"/>
                <w:lang w:val="fr-FR"/>
              </w:rPr>
            </w:pPr>
            <w:r w:rsidRPr="008F04FF">
              <w:rPr>
                <w:sz w:val="28"/>
                <w:lang w:val="fr-FR"/>
              </w:rPr>
              <w:t>Intégrer ces valeurs dans la planification de l’utilisation des terres ?</w:t>
            </w:r>
          </w:p>
          <w:p w14:paraId="59226182" w14:textId="77777777" w:rsidR="00AE49D7" w:rsidRPr="008F04FF" w:rsidRDefault="00AE49D7" w:rsidP="008F04FF">
            <w:pPr>
              <w:pStyle w:val="ListParagraph"/>
              <w:numPr>
                <w:ilvl w:val="0"/>
                <w:numId w:val="31"/>
              </w:numPr>
              <w:spacing w:after="0" w:line="240" w:lineRule="auto"/>
              <w:rPr>
                <w:sz w:val="28"/>
                <w:lang w:val="fr-FR"/>
              </w:rPr>
            </w:pPr>
            <w:r w:rsidRPr="008F04FF">
              <w:rPr>
                <w:sz w:val="28"/>
                <w:lang w:val="fr-FR"/>
              </w:rPr>
              <w:t xml:space="preserve">Définir les droits des communautés locales à user des services écosystémiques ? </w:t>
            </w:r>
          </w:p>
          <w:p w14:paraId="1703A314" w14:textId="77777777" w:rsidR="00AE49D7" w:rsidRPr="008F04FF" w:rsidRDefault="00AE49D7" w:rsidP="008F04FF">
            <w:pPr>
              <w:pStyle w:val="ListParagraph"/>
              <w:numPr>
                <w:ilvl w:val="0"/>
                <w:numId w:val="31"/>
              </w:numPr>
              <w:spacing w:after="0" w:line="240" w:lineRule="auto"/>
              <w:rPr>
                <w:sz w:val="28"/>
                <w:lang w:val="fr-FR"/>
              </w:rPr>
            </w:pPr>
            <w:r w:rsidRPr="008F04FF">
              <w:rPr>
                <w:sz w:val="28"/>
                <w:lang w:val="fr-FR"/>
              </w:rPr>
              <w:t>Améliorer le bien-être économique, social et politique des populations autochtones et des communautés locales à long terme ?</w:t>
            </w:r>
          </w:p>
        </w:tc>
      </w:tr>
    </w:tbl>
    <w:p w14:paraId="5DFF8F74" w14:textId="77777777" w:rsidR="00E72FFC" w:rsidRDefault="00E72FFC" w:rsidP="00E528CC">
      <w:pPr>
        <w:pStyle w:val="Heading1"/>
        <w:jc w:val="center"/>
        <w:rPr>
          <w:rFonts w:ascii="Calibri" w:hAnsi="Calibri"/>
          <w:sz w:val="52"/>
          <w:lang w:val="fr-FR"/>
        </w:rPr>
      </w:pPr>
      <w:bookmarkStart w:id="10" w:name="_Toc403632356"/>
    </w:p>
    <w:p w14:paraId="1FA84826" w14:textId="77777777" w:rsidR="00E72FFC" w:rsidRDefault="00E72FFC">
      <w:pPr>
        <w:spacing w:after="0" w:line="240" w:lineRule="auto"/>
        <w:rPr>
          <w:rFonts w:cs="Cambria"/>
          <w:b/>
          <w:color w:val="365F91"/>
          <w:sz w:val="52"/>
          <w:lang w:val="fr-FR"/>
        </w:rPr>
      </w:pPr>
      <w:r>
        <w:rPr>
          <w:sz w:val="52"/>
          <w:lang w:val="fr-FR"/>
        </w:rPr>
        <w:br w:type="page"/>
      </w:r>
    </w:p>
    <w:p w14:paraId="2297AE67" w14:textId="302F3F9D" w:rsidR="00AE49D7" w:rsidRPr="00350038" w:rsidRDefault="00AE49D7" w:rsidP="00E528CC">
      <w:pPr>
        <w:pStyle w:val="Heading1"/>
        <w:jc w:val="center"/>
        <w:rPr>
          <w:rFonts w:ascii="Calibri" w:hAnsi="Calibri"/>
          <w:sz w:val="52"/>
          <w:lang w:val="fr-FR"/>
        </w:rPr>
      </w:pPr>
      <w:r w:rsidRPr="00350038">
        <w:rPr>
          <w:rFonts w:ascii="Calibri" w:hAnsi="Calibri"/>
          <w:sz w:val="52"/>
          <w:lang w:val="fr-FR"/>
        </w:rPr>
        <w:lastRenderedPageBreak/>
        <w:t>Garantie (f) – Prévenir les risques d</w:t>
      </w:r>
      <w:bookmarkEnd w:id="10"/>
      <w:r w:rsidRPr="00350038">
        <w:rPr>
          <w:rFonts w:ascii="Calibri" w:hAnsi="Calibri"/>
          <w:sz w:val="52"/>
          <w:lang w:val="fr-FR"/>
        </w:rPr>
        <w:t>’inversion</w:t>
      </w:r>
    </w:p>
    <w:tbl>
      <w:tblPr>
        <w:tblStyle w:val="TableGrid"/>
        <w:tblW w:w="0" w:type="auto"/>
        <w:tblLook w:val="00A0" w:firstRow="1" w:lastRow="0" w:firstColumn="1" w:lastColumn="0" w:noHBand="0" w:noVBand="0"/>
      </w:tblPr>
      <w:tblGrid>
        <w:gridCol w:w="11808"/>
        <w:gridCol w:w="10350"/>
      </w:tblGrid>
      <w:tr w:rsidR="00AE49D7" w:rsidRPr="00350038" w14:paraId="1D4269D8" w14:textId="77777777">
        <w:tc>
          <w:tcPr>
            <w:tcW w:w="22158" w:type="dxa"/>
            <w:gridSpan w:val="2"/>
            <w:shd w:val="clear" w:color="auto" w:fill="44546A"/>
          </w:tcPr>
          <w:p w14:paraId="300A7BF6"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Principaux enjeux</w:t>
            </w:r>
          </w:p>
        </w:tc>
      </w:tr>
      <w:tr w:rsidR="00AE49D7" w:rsidRPr="00350038" w14:paraId="5541E05D" w14:textId="77777777">
        <w:trPr>
          <w:trHeight w:val="1358"/>
        </w:trPr>
        <w:tc>
          <w:tcPr>
            <w:tcW w:w="22158" w:type="dxa"/>
            <w:gridSpan w:val="2"/>
          </w:tcPr>
          <w:p w14:paraId="17E33AA8"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Analyse des risques d’inversion des réductions d’émission – on parle également de « non-permanence ».</w:t>
            </w:r>
          </w:p>
          <w:p w14:paraId="034DFD30"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Un système national de surveillance des forêts (SNSF) peut être conçu pour détecter et dégager des informations sur les inversions.</w:t>
            </w:r>
          </w:p>
          <w:p w14:paraId="61F6D478"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Scénarios plausibles de référence pour la REDD+ donnant une indication raisonnable des risques de déboisement en l’absence de REDD+. Si ceux-ci sont sous-estimés, les succès de la REDD+ pourraient impliquer davantage de risques d’inversion.</w:t>
            </w:r>
          </w:p>
        </w:tc>
      </w:tr>
      <w:tr w:rsidR="00AE49D7" w:rsidRPr="00350038" w14:paraId="5532F503" w14:textId="77777777">
        <w:tc>
          <w:tcPr>
            <w:tcW w:w="11808" w:type="dxa"/>
            <w:tcBorders>
              <w:top w:val="double" w:sz="4" w:space="0" w:color="auto"/>
              <w:left w:val="double" w:sz="4" w:space="0" w:color="auto"/>
              <w:bottom w:val="double" w:sz="4" w:space="0" w:color="auto"/>
              <w:right w:val="double" w:sz="4" w:space="0" w:color="auto"/>
            </w:tcBorders>
            <w:shd w:val="clear" w:color="auto" w:fill="44546A"/>
          </w:tcPr>
          <w:p w14:paraId="5B4943FF"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Analyse des risques/avantages</w:t>
            </w:r>
          </w:p>
        </w:tc>
        <w:tc>
          <w:tcPr>
            <w:tcW w:w="10350" w:type="dxa"/>
            <w:tcBorders>
              <w:top w:val="double" w:sz="4" w:space="0" w:color="auto"/>
              <w:left w:val="double" w:sz="4" w:space="0" w:color="auto"/>
              <w:bottom w:val="double" w:sz="4" w:space="0" w:color="auto"/>
              <w:right w:val="double" w:sz="4" w:space="0" w:color="auto"/>
            </w:tcBorders>
            <w:shd w:val="clear" w:color="auto" w:fill="44546A"/>
          </w:tcPr>
          <w:p w14:paraId="24C28347"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Examen des politiques, lois et règlements</w:t>
            </w:r>
          </w:p>
        </w:tc>
      </w:tr>
      <w:tr w:rsidR="00AE49D7" w:rsidRPr="00350038" w14:paraId="05BE41CA" w14:textId="77777777">
        <w:trPr>
          <w:trHeight w:val="5298"/>
        </w:trPr>
        <w:tc>
          <w:tcPr>
            <w:tcW w:w="11808" w:type="dxa"/>
            <w:tcBorders>
              <w:top w:val="double" w:sz="4" w:space="0" w:color="auto"/>
              <w:left w:val="double" w:sz="4" w:space="0" w:color="auto"/>
              <w:right w:val="double" w:sz="4" w:space="0" w:color="auto"/>
            </w:tcBorders>
          </w:tcPr>
          <w:p w14:paraId="1EEE531A"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Les actions de REDD+ / P&amp;M candidates sont-elles susceptibles de :</w:t>
            </w:r>
          </w:p>
          <w:p w14:paraId="37F6CC36"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Changements climatiques (par ex. sécheresses ou inondations de plus en plus fréquentes) ?</w:t>
            </w:r>
          </w:p>
          <w:p w14:paraId="1204FD33"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Feux de friche ?</w:t>
            </w:r>
          </w:p>
          <w:p w14:paraId="64724F3D"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Carences institutionnelles ?</w:t>
            </w:r>
          </w:p>
          <w:p w14:paraId="1056BC77"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Tendances démographiques prévues et évolution de la demande sur les terres, notamment par le commerce international ?</w:t>
            </w:r>
          </w:p>
          <w:p w14:paraId="6A88EAE2" w14:textId="77777777" w:rsidR="00AE49D7" w:rsidRPr="008F04FF" w:rsidRDefault="00AE49D7" w:rsidP="008F04FF">
            <w:pPr>
              <w:pStyle w:val="ListParagraph"/>
              <w:numPr>
                <w:ilvl w:val="0"/>
                <w:numId w:val="23"/>
              </w:numPr>
              <w:spacing w:after="0" w:line="240" w:lineRule="auto"/>
              <w:rPr>
                <w:sz w:val="28"/>
                <w:lang w:val="fr-FR"/>
              </w:rPr>
            </w:pPr>
            <w:r w:rsidRPr="008F04FF">
              <w:rPr>
                <w:sz w:val="28"/>
                <w:lang w:val="fr-FR"/>
              </w:rPr>
              <w:t>Instabilité dans les pays voisins (par ex. actions de REDD+ dans des régions frontalières perturbées) ?</w:t>
            </w:r>
          </w:p>
          <w:p w14:paraId="21A7CF26" w14:textId="77777777" w:rsidR="00AE49D7" w:rsidRPr="008F04FF" w:rsidRDefault="00AE49D7" w:rsidP="008F04FF">
            <w:pPr>
              <w:spacing w:after="0" w:line="240" w:lineRule="auto"/>
              <w:rPr>
                <w:color w:val="auto"/>
                <w:sz w:val="28"/>
                <w:lang w:val="fr-FR" w:eastAsia="en-US"/>
              </w:rPr>
            </w:pPr>
          </w:p>
        </w:tc>
        <w:tc>
          <w:tcPr>
            <w:tcW w:w="10350" w:type="dxa"/>
            <w:tcBorders>
              <w:top w:val="double" w:sz="4" w:space="0" w:color="auto"/>
              <w:left w:val="double" w:sz="4" w:space="0" w:color="auto"/>
              <w:right w:val="double" w:sz="4" w:space="0" w:color="auto"/>
            </w:tcBorders>
          </w:tcPr>
          <w:p w14:paraId="3DC29FA0"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Des politiques, législations, réglementations ou toute autre mesure sont-elles en vigueur (ou prévues) pour :</w:t>
            </w:r>
          </w:p>
          <w:p w14:paraId="6E728727"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Améliorer les informations sur la magnitude, la répartition et les tendances actuelles de stocks de carbone ?</w:t>
            </w:r>
          </w:p>
          <w:p w14:paraId="3AB7CEB1"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Identifier les facteurs potentiels de changement d’utilisation des terres and dégradation des forêts à l’avenir ?</w:t>
            </w:r>
          </w:p>
          <w:p w14:paraId="388128F4"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Utiliser les concessions pour permettre ou dissuader les différentes activités forestières ?</w:t>
            </w:r>
          </w:p>
          <w:p w14:paraId="4E0CEB83"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Limiter les incidences possibles des changements climatiques et/ou démographiques sur les forêts et les services écosystémiques (par ex. PANA, MAAN, agricoles, forestiers ou autre planification sectorielle) ?</w:t>
            </w:r>
          </w:p>
          <w:p w14:paraId="60B3D662"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Intégrer la planification de la REDD+ à d’autres procédures de planification ?</w:t>
            </w:r>
          </w:p>
          <w:p w14:paraId="6E34469D"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Recenser les nouvelles informations sur les risques d’inversion des succès de la REDD+ et/ou y répondre ?</w:t>
            </w:r>
          </w:p>
          <w:p w14:paraId="6685ED25"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Permettre la surveillance de l’inversion des succès de la REDD+, par exemple grâce à un système national de surveillance des forêts (SNSF) ?</w:t>
            </w:r>
          </w:p>
          <w:p w14:paraId="3AE784E0" w14:textId="77777777" w:rsidR="00AE49D7" w:rsidRPr="008F04FF" w:rsidRDefault="00AE49D7" w:rsidP="008F04FF">
            <w:pPr>
              <w:spacing w:after="0" w:line="240" w:lineRule="auto"/>
              <w:rPr>
                <w:color w:val="auto"/>
                <w:sz w:val="28"/>
                <w:lang w:val="fr-FR" w:eastAsia="en-US"/>
              </w:rPr>
            </w:pPr>
          </w:p>
          <w:p w14:paraId="5EE15672"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Chacune de ces PLR est-elle accessible, prévisible et équitable, et à quel point ? Sont-elles exécutées ?</w:t>
            </w:r>
          </w:p>
        </w:tc>
      </w:tr>
    </w:tbl>
    <w:p w14:paraId="6EEE84D9" w14:textId="77777777" w:rsidR="00AE49D7" w:rsidRPr="00350038" w:rsidRDefault="00AE49D7" w:rsidP="00E528CC">
      <w:pPr>
        <w:pStyle w:val="Sous-tit"/>
        <w:rPr>
          <w:rStyle w:val="Heading1Char"/>
          <w:rFonts w:eastAsia="Calibri"/>
          <w:i w:val="0"/>
        </w:rPr>
      </w:pPr>
    </w:p>
    <w:p w14:paraId="7CDBCB83" w14:textId="77777777" w:rsidR="00E72FFC" w:rsidRDefault="00E72FFC">
      <w:pPr>
        <w:spacing w:after="0" w:line="240" w:lineRule="auto"/>
        <w:rPr>
          <w:rFonts w:cs="Cambria"/>
          <w:b/>
          <w:color w:val="365F91"/>
          <w:sz w:val="52"/>
          <w:lang w:val="fr-FR"/>
        </w:rPr>
      </w:pPr>
      <w:bookmarkStart w:id="11" w:name="_Toc403632360"/>
      <w:r>
        <w:rPr>
          <w:sz w:val="52"/>
          <w:lang w:val="fr-FR"/>
        </w:rPr>
        <w:br w:type="page"/>
      </w:r>
    </w:p>
    <w:p w14:paraId="4F6B67F3" w14:textId="15E492AE" w:rsidR="00AE49D7" w:rsidRPr="00350038" w:rsidRDefault="00AE49D7" w:rsidP="00E528CC">
      <w:pPr>
        <w:pStyle w:val="Heading1"/>
        <w:jc w:val="center"/>
        <w:rPr>
          <w:rFonts w:ascii="Calibri" w:hAnsi="Calibri"/>
          <w:sz w:val="52"/>
          <w:lang w:val="fr-FR"/>
        </w:rPr>
      </w:pPr>
      <w:r w:rsidRPr="00350038">
        <w:rPr>
          <w:rFonts w:ascii="Calibri" w:hAnsi="Calibri"/>
          <w:sz w:val="52"/>
          <w:lang w:val="fr-FR"/>
        </w:rPr>
        <w:lastRenderedPageBreak/>
        <w:t>Garantie (g) - Réduire le déplacement des émissions</w:t>
      </w:r>
      <w:bookmarkEnd w:id="11"/>
    </w:p>
    <w:tbl>
      <w:tblPr>
        <w:tblStyle w:val="TableGrid"/>
        <w:tblW w:w="0" w:type="auto"/>
        <w:tblLook w:val="00A0" w:firstRow="1" w:lastRow="0" w:firstColumn="1" w:lastColumn="0" w:noHBand="0" w:noVBand="0"/>
      </w:tblPr>
      <w:tblGrid>
        <w:gridCol w:w="11808"/>
        <w:gridCol w:w="10350"/>
      </w:tblGrid>
      <w:tr w:rsidR="00AE49D7" w:rsidRPr="00350038" w14:paraId="4D95CABD" w14:textId="77777777">
        <w:tc>
          <w:tcPr>
            <w:tcW w:w="22158" w:type="dxa"/>
            <w:gridSpan w:val="2"/>
            <w:shd w:val="clear" w:color="auto" w:fill="44546A"/>
          </w:tcPr>
          <w:p w14:paraId="667FBD80"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Principaux enjeux</w:t>
            </w:r>
          </w:p>
        </w:tc>
      </w:tr>
      <w:tr w:rsidR="00AE49D7" w:rsidRPr="00350038" w14:paraId="52357E2D" w14:textId="77777777">
        <w:trPr>
          <w:trHeight w:val="1358"/>
        </w:trPr>
        <w:tc>
          <w:tcPr>
            <w:tcW w:w="22158" w:type="dxa"/>
            <w:gridSpan w:val="2"/>
          </w:tcPr>
          <w:p w14:paraId="068F9C71"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Lutter contre les facteurs directs et indirects des changements d’utilisation des terres.</w:t>
            </w:r>
          </w:p>
          <w:p w14:paraId="4E713E1E"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Des déplacements d’émissions au niveau local (par ex. indépendamment des limites des projets de REDD+) peuvent découler de certaines options de REDD+.</w:t>
            </w:r>
          </w:p>
          <w:p w14:paraId="6968DF09"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Des déplacements d’émissions au niveau national (vers d’autres lieux dans le pays) peuvent découler de certaines options de REDD+.</w:t>
            </w:r>
          </w:p>
          <w:p w14:paraId="1EB99FD5" w14:textId="77777777" w:rsidR="00AE49D7" w:rsidRPr="008F04FF" w:rsidRDefault="00AE49D7" w:rsidP="008F04FF">
            <w:pPr>
              <w:pStyle w:val="ListParagraph"/>
              <w:numPr>
                <w:ilvl w:val="0"/>
                <w:numId w:val="22"/>
              </w:numPr>
              <w:spacing w:after="0" w:line="240" w:lineRule="auto"/>
              <w:rPr>
                <w:sz w:val="28"/>
                <w:lang w:val="fr-FR"/>
              </w:rPr>
            </w:pPr>
            <w:r w:rsidRPr="008F04FF">
              <w:rPr>
                <w:sz w:val="28"/>
                <w:lang w:val="fr-FR"/>
              </w:rPr>
              <w:t>Un système national de surveillance des forêts (SNSF) peut être conçu pour détecter et fournir des informations sur les déplacements aux niveaux national, régional et local.</w:t>
            </w:r>
          </w:p>
        </w:tc>
      </w:tr>
      <w:tr w:rsidR="00AE49D7" w:rsidRPr="00350038" w14:paraId="6FDAA985" w14:textId="77777777">
        <w:tc>
          <w:tcPr>
            <w:tcW w:w="11808" w:type="dxa"/>
            <w:tcBorders>
              <w:top w:val="double" w:sz="4" w:space="0" w:color="auto"/>
              <w:left w:val="double" w:sz="4" w:space="0" w:color="auto"/>
              <w:bottom w:val="double" w:sz="4" w:space="0" w:color="auto"/>
              <w:right w:val="double" w:sz="4" w:space="0" w:color="auto"/>
            </w:tcBorders>
            <w:shd w:val="clear" w:color="auto" w:fill="44546A"/>
          </w:tcPr>
          <w:p w14:paraId="69366F58"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Analyse des risques/avantages</w:t>
            </w:r>
          </w:p>
        </w:tc>
        <w:tc>
          <w:tcPr>
            <w:tcW w:w="10350" w:type="dxa"/>
            <w:tcBorders>
              <w:top w:val="double" w:sz="4" w:space="0" w:color="auto"/>
              <w:left w:val="double" w:sz="4" w:space="0" w:color="auto"/>
              <w:bottom w:val="double" w:sz="4" w:space="0" w:color="auto"/>
              <w:right w:val="double" w:sz="4" w:space="0" w:color="auto"/>
            </w:tcBorders>
            <w:shd w:val="clear" w:color="auto" w:fill="44546A"/>
          </w:tcPr>
          <w:p w14:paraId="685A6B7E" w14:textId="77777777" w:rsidR="00AE49D7" w:rsidRPr="008F04FF" w:rsidRDefault="00AE49D7" w:rsidP="008F04FF">
            <w:pPr>
              <w:spacing w:after="0" w:line="240" w:lineRule="auto"/>
              <w:rPr>
                <w:b/>
                <w:color w:val="FFFFFF"/>
                <w:sz w:val="28"/>
                <w:lang w:val="fr-FR" w:eastAsia="en-US"/>
              </w:rPr>
            </w:pPr>
            <w:r w:rsidRPr="008F04FF">
              <w:rPr>
                <w:b/>
                <w:color w:val="FFFFFF"/>
                <w:sz w:val="28"/>
                <w:lang w:val="fr-FR" w:eastAsia="en-US"/>
              </w:rPr>
              <w:t>Examen des politiques, lois et règlements</w:t>
            </w:r>
          </w:p>
        </w:tc>
      </w:tr>
      <w:tr w:rsidR="00AE49D7" w:rsidRPr="00350038" w14:paraId="2DCCD359" w14:textId="77777777">
        <w:trPr>
          <w:trHeight w:val="5298"/>
        </w:trPr>
        <w:tc>
          <w:tcPr>
            <w:tcW w:w="11808" w:type="dxa"/>
            <w:tcBorders>
              <w:top w:val="double" w:sz="4" w:space="0" w:color="auto"/>
              <w:left w:val="double" w:sz="4" w:space="0" w:color="auto"/>
              <w:right w:val="double" w:sz="4" w:space="0" w:color="auto"/>
            </w:tcBorders>
          </w:tcPr>
          <w:p w14:paraId="32A650F9"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Des facteurs de changement dans l’utilisation des terres et de dégradation des forêts sont-ils susceptibles de persister malgré les actions de REDD+ ?</w:t>
            </w:r>
          </w:p>
          <w:p w14:paraId="317D2B76" w14:textId="77777777" w:rsidR="00AE49D7" w:rsidRPr="008F04FF" w:rsidRDefault="00AE49D7" w:rsidP="008F04FF">
            <w:pPr>
              <w:spacing w:after="0" w:line="240" w:lineRule="auto"/>
              <w:rPr>
                <w:color w:val="auto"/>
                <w:sz w:val="28"/>
                <w:lang w:val="fr-FR" w:eastAsia="en-US"/>
              </w:rPr>
            </w:pPr>
          </w:p>
          <w:p w14:paraId="29F920E4"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Les actions de REDD+ / P&amp;M candidates sont-elles susceptibles de :</w:t>
            </w:r>
          </w:p>
          <w:p w14:paraId="556F8832" w14:textId="77777777" w:rsidR="00AE49D7" w:rsidRPr="008F04FF" w:rsidRDefault="00AE49D7" w:rsidP="008F04FF">
            <w:pPr>
              <w:pStyle w:val="ListParagraph"/>
              <w:numPr>
                <w:ilvl w:val="0"/>
                <w:numId w:val="32"/>
              </w:numPr>
              <w:spacing w:after="0" w:line="240" w:lineRule="auto"/>
              <w:rPr>
                <w:sz w:val="28"/>
                <w:lang w:val="fr-FR"/>
              </w:rPr>
            </w:pPr>
            <w:r w:rsidRPr="008F04FF">
              <w:rPr>
                <w:sz w:val="28"/>
                <w:lang w:val="fr-FR"/>
              </w:rPr>
              <w:t>Provoquer un déplacement dans le changement d’utilisation des terres au niveau local (par ex. protection des forêts suscitant une conversion agricole du bush) ?</w:t>
            </w:r>
          </w:p>
          <w:p w14:paraId="32C8B6F0" w14:textId="77777777" w:rsidR="00AE49D7" w:rsidRPr="008F04FF" w:rsidRDefault="00AE49D7" w:rsidP="008F04FF">
            <w:pPr>
              <w:pStyle w:val="ListParagraph"/>
              <w:numPr>
                <w:ilvl w:val="0"/>
                <w:numId w:val="32"/>
              </w:numPr>
              <w:spacing w:after="0" w:line="240" w:lineRule="auto"/>
              <w:rPr>
                <w:sz w:val="28"/>
                <w:lang w:val="fr-FR"/>
              </w:rPr>
            </w:pPr>
            <w:r w:rsidRPr="008F04FF">
              <w:rPr>
                <w:sz w:val="28"/>
                <w:lang w:val="fr-FR"/>
              </w:rPr>
              <w:t>Susciter le déplacement des changements d’utilisation des terres au sein des frontières nationales ?</w:t>
            </w:r>
          </w:p>
          <w:p w14:paraId="11AAFDE4" w14:textId="77777777" w:rsidR="00AE49D7" w:rsidRPr="008F04FF" w:rsidRDefault="00AE49D7" w:rsidP="008F04FF">
            <w:pPr>
              <w:pStyle w:val="ListParagraph"/>
              <w:numPr>
                <w:ilvl w:val="0"/>
                <w:numId w:val="32"/>
              </w:numPr>
              <w:spacing w:after="0" w:line="240" w:lineRule="auto"/>
              <w:rPr>
                <w:sz w:val="28"/>
                <w:lang w:val="fr-FR"/>
              </w:rPr>
            </w:pPr>
            <w:bookmarkStart w:id="12" w:name="_GoBack"/>
            <w:bookmarkEnd w:id="12"/>
            <w:r w:rsidRPr="008F04FF">
              <w:rPr>
                <w:sz w:val="28"/>
                <w:lang w:val="fr-FR"/>
              </w:rPr>
              <w:t>Le rôle des écosystèmes non forestiers dans le stockage du carbone dans le pays/la région est-il compris (c.à.d. à quel point le climat pâtirait du déplacement des changements d’utilisation des terres) ?</w:t>
            </w:r>
          </w:p>
          <w:p w14:paraId="67DADB15" w14:textId="77777777" w:rsidR="00AE49D7" w:rsidRPr="008F04FF" w:rsidRDefault="00AE49D7" w:rsidP="008F04FF">
            <w:pPr>
              <w:pStyle w:val="ListParagraph"/>
              <w:numPr>
                <w:ilvl w:val="0"/>
                <w:numId w:val="32"/>
              </w:numPr>
              <w:spacing w:after="0" w:line="240" w:lineRule="auto"/>
              <w:rPr>
                <w:sz w:val="28"/>
                <w:lang w:val="fr-FR"/>
              </w:rPr>
            </w:pPr>
            <w:r w:rsidRPr="008F04FF">
              <w:rPr>
                <w:sz w:val="28"/>
                <w:lang w:val="fr-FR"/>
              </w:rPr>
              <w:t>La vulnérabilité des écosystèmes non forestiers aux changements d’utilisation des terres est-elle comprise (par ex. aptitude agricole, accessibilité, niveau de protection, importance potentielle pour l’exploitation extractive, fragmentation) ?</w:t>
            </w:r>
          </w:p>
        </w:tc>
        <w:tc>
          <w:tcPr>
            <w:tcW w:w="10350" w:type="dxa"/>
            <w:tcBorders>
              <w:top w:val="double" w:sz="4" w:space="0" w:color="auto"/>
              <w:left w:val="double" w:sz="4" w:space="0" w:color="auto"/>
              <w:right w:val="double" w:sz="4" w:space="0" w:color="auto"/>
            </w:tcBorders>
          </w:tcPr>
          <w:p w14:paraId="5213AADD"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Des politiques, législations, réglementations ou toute autre mesure sont-elles en vigueur (ou prévues) pour :</w:t>
            </w:r>
          </w:p>
          <w:p w14:paraId="578ED240"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Identifier les déplacements possibles des changements d’utilisation des terres et/ou de dégradation des forêts à l’intérieur des frontières nationales et au-delà ?</w:t>
            </w:r>
          </w:p>
          <w:p w14:paraId="1D24C5A8"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Surveiller les déplacements dans le cadre du système national de surveillance des forêts (SNSF) ?</w:t>
            </w:r>
          </w:p>
          <w:p w14:paraId="26BF80CB"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Prévenir ou minimiser les déplacements d’émissions en enrichissant les terres cultivables ou les zones de pâturages (par ex. plantation d’arbres, intensification agricole, fertilisation, production fourragère) ?</w:t>
            </w:r>
          </w:p>
          <w:p w14:paraId="1BBCBF85"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Prévenir ou minimiser les déplacements au niveau local en développant des moyens alternatifs de subsistance (par ex. des paiements pour services écosystémiques (PSE) et des projets de conservation et de développement intégrés (PCDI)) ?</w:t>
            </w:r>
          </w:p>
          <w:p w14:paraId="330C07A4" w14:textId="77777777" w:rsidR="00AE49D7" w:rsidRPr="008F04FF" w:rsidRDefault="00AE49D7" w:rsidP="008F04FF">
            <w:pPr>
              <w:pStyle w:val="ListParagraph"/>
              <w:numPr>
                <w:ilvl w:val="0"/>
                <w:numId w:val="26"/>
              </w:numPr>
              <w:spacing w:after="0" w:line="240" w:lineRule="auto"/>
              <w:rPr>
                <w:sz w:val="28"/>
                <w:lang w:val="fr-FR"/>
              </w:rPr>
            </w:pPr>
            <w:r w:rsidRPr="008F04FF">
              <w:rPr>
                <w:sz w:val="28"/>
                <w:lang w:val="fr-FR"/>
              </w:rPr>
              <w:t>Assurer une coopération bilatérale ou multilatérale en luttant contre les changements d’utilisation des terres par-delà des frontières nationales ?</w:t>
            </w:r>
          </w:p>
          <w:p w14:paraId="6F8DEC80" w14:textId="77777777" w:rsidR="00AE49D7" w:rsidRPr="008F04FF" w:rsidRDefault="00AE49D7" w:rsidP="008F04FF">
            <w:pPr>
              <w:spacing w:after="0" w:line="240" w:lineRule="auto"/>
              <w:rPr>
                <w:color w:val="auto"/>
                <w:sz w:val="28"/>
                <w:lang w:val="fr-FR" w:eastAsia="en-US"/>
              </w:rPr>
            </w:pPr>
          </w:p>
          <w:p w14:paraId="32B6E71B" w14:textId="77777777" w:rsidR="00AE49D7" w:rsidRPr="008F04FF" w:rsidRDefault="00AE49D7" w:rsidP="008F04FF">
            <w:pPr>
              <w:spacing w:after="0" w:line="240" w:lineRule="auto"/>
              <w:rPr>
                <w:color w:val="auto"/>
                <w:sz w:val="28"/>
                <w:lang w:val="fr-FR" w:eastAsia="en-US"/>
              </w:rPr>
            </w:pPr>
            <w:r w:rsidRPr="008F04FF">
              <w:rPr>
                <w:color w:val="auto"/>
                <w:sz w:val="28"/>
                <w:lang w:val="fr-FR" w:eastAsia="en-US"/>
              </w:rPr>
              <w:t>Chacune de ces PLR est-elle accessible, prévisible et équitable, et à quel point ? Sont-elles exécutées ?</w:t>
            </w:r>
          </w:p>
        </w:tc>
      </w:tr>
    </w:tbl>
    <w:p w14:paraId="25D4BD53" w14:textId="77777777" w:rsidR="00AE49D7" w:rsidRPr="00350038" w:rsidRDefault="00AE49D7" w:rsidP="00E528CC">
      <w:pPr>
        <w:pStyle w:val="Sous-tit"/>
        <w:rPr>
          <w:rFonts w:ascii="Calibri" w:hAnsi="Calibri"/>
          <w:lang w:val="fr-FR"/>
        </w:rPr>
      </w:pPr>
    </w:p>
    <w:p w14:paraId="6D6FD145" w14:textId="77777777" w:rsidR="00AE49D7" w:rsidRPr="00350038" w:rsidRDefault="00AE49D7">
      <w:pPr>
        <w:spacing w:after="0" w:line="240" w:lineRule="auto"/>
        <w:rPr>
          <w:lang w:val="fr-FR"/>
        </w:rPr>
      </w:pPr>
    </w:p>
    <w:sectPr w:rsidR="00AE49D7" w:rsidRPr="00350038" w:rsidSect="003F55C6">
      <w:headerReference w:type="default" r:id="rId17"/>
      <w:footerReference w:type="default" r:id="rId18"/>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95162" w14:textId="77777777" w:rsidR="00472846" w:rsidRDefault="00472846">
      <w:pPr>
        <w:spacing w:after="0" w:line="240" w:lineRule="auto"/>
      </w:pPr>
      <w:r>
        <w:separator/>
      </w:r>
    </w:p>
  </w:endnote>
  <w:endnote w:type="continuationSeparator" w:id="0">
    <w:p w14:paraId="4B08B630" w14:textId="77777777" w:rsidR="00472846" w:rsidRDefault="0047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248A0" w14:textId="77777777" w:rsidR="003B11A3" w:rsidRDefault="003B11A3">
    <w:pPr>
      <w:tabs>
        <w:tab w:val="center" w:pos="4513"/>
        <w:tab w:val="right" w:pos="9026"/>
      </w:tabs>
      <w:spacing w:after="0" w:line="240" w:lineRule="auto"/>
      <w:jc w:val="center"/>
    </w:pPr>
    <w:r>
      <w:rPr>
        <w:sz w:val="16"/>
      </w:rPr>
      <w:t xml:space="preserve"> </w:t>
    </w:r>
  </w:p>
  <w:p w14:paraId="43E8E5DC" w14:textId="77777777" w:rsidR="003B11A3" w:rsidRDefault="003B11A3">
    <w:pPr>
      <w:tabs>
        <w:tab w:val="center" w:pos="4513"/>
        <w:tab w:val="right" w:pos="9026"/>
      </w:tabs>
      <w:spacing w:after="706" w:line="240" w:lineRule="auto"/>
      <w:jc w:val="center"/>
    </w:pPr>
    <w:r>
      <w:tab/>
    </w:r>
    <w:r>
      <w:tab/>
    </w:r>
    <w:r>
      <w:rPr>
        <w:sz w:val="20"/>
      </w:rPr>
      <w:t xml:space="preserve">Page | </w:t>
    </w:r>
    <w:r>
      <w:fldChar w:fldCharType="begin"/>
    </w:r>
    <w:r>
      <w:instrText>PAGE</w:instrText>
    </w:r>
    <w:r>
      <w:fldChar w:fldCharType="separate"/>
    </w:r>
    <w:r w:rsidR="0056516D">
      <w:rPr>
        <w:noProof/>
      </w:rPr>
      <w:t>3</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CE10" w14:textId="77777777" w:rsidR="003B11A3" w:rsidRDefault="003B11A3">
    <w:pPr>
      <w:tabs>
        <w:tab w:val="center" w:pos="4513"/>
        <w:tab w:val="right" w:pos="9026"/>
      </w:tabs>
      <w:spacing w:after="0" w:line="240" w:lineRule="auto"/>
      <w:jc w:val="center"/>
    </w:pPr>
  </w:p>
  <w:p w14:paraId="25AA2BE8" w14:textId="77777777" w:rsidR="003B11A3" w:rsidRDefault="003B11A3">
    <w:pPr>
      <w:tabs>
        <w:tab w:val="center" w:pos="4513"/>
        <w:tab w:val="right" w:pos="9026"/>
      </w:tabs>
      <w:spacing w:after="706"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09A1" w14:textId="77777777" w:rsidR="003B11A3" w:rsidRDefault="003B11A3">
    <w:pPr>
      <w:pStyle w:val="Piedd"/>
      <w:jc w:val="center"/>
    </w:pPr>
  </w:p>
  <w:p w14:paraId="40DE43D3" w14:textId="77777777" w:rsidR="003B11A3" w:rsidRPr="00600196" w:rsidRDefault="003B11A3">
    <w:pPr>
      <w:pStyle w:val="Piedd"/>
      <w:jc w:val="center"/>
      <w:rPr>
        <w:color w:val="7F7F7F"/>
      </w:rPr>
    </w:pPr>
    <w:r w:rsidRPr="00600196">
      <w:rPr>
        <w:color w:val="7F7F7F"/>
      </w:rPr>
      <w:t xml:space="preserve">Page </w:t>
    </w:r>
    <w:r w:rsidRPr="00600196">
      <w:rPr>
        <w:b/>
        <w:color w:val="7F7F7F"/>
      </w:rPr>
      <w:fldChar w:fldCharType="begin"/>
    </w:r>
    <w:r w:rsidRPr="00600196">
      <w:rPr>
        <w:b/>
        <w:color w:val="7F7F7F"/>
      </w:rPr>
      <w:instrText xml:space="preserve"> PAGE </w:instrText>
    </w:r>
    <w:r w:rsidRPr="00600196">
      <w:rPr>
        <w:b/>
        <w:color w:val="7F7F7F"/>
      </w:rPr>
      <w:fldChar w:fldCharType="separate"/>
    </w:r>
    <w:r w:rsidR="0056516D">
      <w:rPr>
        <w:b/>
        <w:noProof/>
        <w:color w:val="7F7F7F"/>
      </w:rPr>
      <w:t>13</w:t>
    </w:r>
    <w:r w:rsidRPr="00600196">
      <w:rPr>
        <w:b/>
        <w:color w:val="7F7F7F"/>
      </w:rPr>
      <w:fldChar w:fldCharType="end"/>
    </w:r>
    <w:r w:rsidRPr="00600196">
      <w:rPr>
        <w:color w:val="7F7F7F"/>
      </w:rPr>
      <w:t xml:space="preserve"> of </w:t>
    </w:r>
    <w:r w:rsidRPr="00600196">
      <w:rPr>
        <w:b/>
        <w:color w:val="7F7F7F"/>
      </w:rPr>
      <w:fldChar w:fldCharType="begin"/>
    </w:r>
    <w:r w:rsidRPr="00600196">
      <w:rPr>
        <w:b/>
        <w:color w:val="7F7F7F"/>
      </w:rPr>
      <w:instrText xml:space="preserve"> NUMPAGES  </w:instrText>
    </w:r>
    <w:r w:rsidRPr="00600196">
      <w:rPr>
        <w:b/>
        <w:color w:val="7F7F7F"/>
      </w:rPr>
      <w:fldChar w:fldCharType="separate"/>
    </w:r>
    <w:r w:rsidR="0056516D">
      <w:rPr>
        <w:b/>
        <w:noProof/>
        <w:color w:val="7F7F7F"/>
      </w:rPr>
      <w:t>13</w:t>
    </w:r>
    <w:r w:rsidRPr="00600196">
      <w:rPr>
        <w:b/>
        <w:color w:val="7F7F7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510AA" w14:textId="77777777" w:rsidR="00472846" w:rsidRDefault="00472846">
      <w:pPr>
        <w:spacing w:after="0" w:line="240" w:lineRule="auto"/>
      </w:pPr>
      <w:r>
        <w:separator/>
      </w:r>
    </w:p>
  </w:footnote>
  <w:footnote w:type="continuationSeparator" w:id="0">
    <w:p w14:paraId="3C9EE30F" w14:textId="77777777" w:rsidR="00472846" w:rsidRDefault="00472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6117" w14:textId="77777777" w:rsidR="003B11A3" w:rsidRPr="00350038" w:rsidRDefault="003B11A3" w:rsidP="0074308B">
    <w:pPr>
      <w:pStyle w:val="En-tt"/>
      <w:pBdr>
        <w:bottom w:val="single" w:sz="4" w:space="6" w:color="auto"/>
      </w:pBdr>
      <w:tabs>
        <w:tab w:val="clear" w:pos="9072"/>
        <w:tab w:val="right" w:pos="9026"/>
      </w:tabs>
      <w:jc w:val="right"/>
      <w:rPr>
        <w:rFonts w:cs="Times New Roman"/>
        <w:color w:val="4F81BD"/>
        <w:lang w:val="fr-FR" w:eastAsia="en-US"/>
      </w:rPr>
    </w:pPr>
    <w:r w:rsidRPr="00350038">
      <w:rPr>
        <w:rFonts w:cs="Times New Roman"/>
        <w:color w:val="4F81BD"/>
        <w:lang w:val="fr-FR" w:eastAsia="en-US"/>
      </w:rPr>
      <w:t xml:space="preserve">Approche par pays en matière de garanties : </w:t>
    </w:r>
    <w:r>
      <w:rPr>
        <w:rFonts w:cs="Times New Roman"/>
        <w:color w:val="4F81BD"/>
        <w:lang w:val="fr-FR" w:eastAsia="en-US"/>
      </w:rPr>
      <w:t>c</w:t>
    </w:r>
    <w:r w:rsidRPr="00350038">
      <w:rPr>
        <w:rFonts w:cs="Times New Roman"/>
        <w:color w:val="4F81BD"/>
        <w:lang w:val="fr-FR" w:eastAsia="en-US"/>
      </w:rPr>
      <w:t>adre d’évaluation des avantages et risques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B185" w14:textId="77777777" w:rsidR="003B11A3" w:rsidRPr="00F304FB" w:rsidRDefault="003B11A3" w:rsidP="006064DA">
    <w:pPr>
      <w:pStyle w:val="En-t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69D"/>
    <w:multiLevelType w:val="multilevel"/>
    <w:tmpl w:val="785AB664"/>
    <w:lvl w:ilvl="0">
      <w:start w:val="1"/>
      <w:numFmt w:val="decimal"/>
      <w:lvlText w:val="%1."/>
      <w:lvlJc w:val="left"/>
      <w:pPr>
        <w:ind w:left="36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
    <w:nsid w:val="14A95615"/>
    <w:multiLevelType w:val="multilevel"/>
    <w:tmpl w:val="46FC93DC"/>
    <w:lvl w:ilvl="0">
      <w:start w:val="1"/>
      <w:numFmt w:val="decimal"/>
      <w:lvlText w:val="%1."/>
      <w:lvlJc w:val="left"/>
      <w:pPr>
        <w:ind w:left="36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
    <w:nsid w:val="14BC26F4"/>
    <w:multiLevelType w:val="multilevel"/>
    <w:tmpl w:val="0BFE67E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F71DA3"/>
    <w:multiLevelType w:val="multilevel"/>
    <w:tmpl w:val="4C34FDFC"/>
    <w:lvl w:ilvl="0">
      <w:start w:val="1"/>
      <w:numFmt w:val="decimal"/>
      <w:lvlText w:val="%1."/>
      <w:lvlJc w:val="left"/>
      <w:pPr>
        <w:ind w:left="36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4">
    <w:nsid w:val="19772CBF"/>
    <w:multiLevelType w:val="multilevel"/>
    <w:tmpl w:val="A3A0B5E4"/>
    <w:lvl w:ilvl="0">
      <w:start w:val="1"/>
      <w:numFmt w:val="decimal"/>
      <w:lvlText w:val="%1."/>
      <w:lvlJc w:val="left"/>
      <w:pPr>
        <w:ind w:left="36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5">
    <w:nsid w:val="1AF617D8"/>
    <w:multiLevelType w:val="multilevel"/>
    <w:tmpl w:val="BFF00CD0"/>
    <w:lvl w:ilvl="0">
      <w:start w:val="1"/>
      <w:numFmt w:val="decimal"/>
      <w:lvlText w:val="%1."/>
      <w:lvlJc w:val="left"/>
      <w:pPr>
        <w:ind w:left="360"/>
      </w:pPr>
      <w:rPr>
        <w:vertAlign w:val="baseline"/>
      </w:rPr>
    </w:lvl>
    <w:lvl w:ilvl="1">
      <w:start w:val="1"/>
      <w:numFmt w:val="bullet"/>
      <w:lvlText w:val="●"/>
      <w:lvlJc w:val="left"/>
      <w:pPr>
        <w:ind w:left="792" w:firstLine="360"/>
      </w:pPr>
      <w:rPr>
        <w:rFonts w:ascii="Arial" w:eastAsia="Times New Roman" w:hAnsi="Arial"/>
        <w:vertAlign w:val="baseline"/>
      </w:rPr>
    </w:lvl>
    <w:lvl w:ilvl="2">
      <w:start w:val="1"/>
      <w:numFmt w:val="bullet"/>
      <w:lvlText w:val="o"/>
      <w:lvlJc w:val="left"/>
      <w:pPr>
        <w:ind w:left="1224" w:firstLine="720"/>
      </w:pPr>
      <w:rPr>
        <w:rFonts w:ascii="Arial" w:eastAsia="Times New Roman" w:hAnsi="Arial"/>
        <w:vertAlign w:val="baseline"/>
      </w:rPr>
    </w:lvl>
    <w:lvl w:ilvl="3">
      <w:start w:val="1"/>
      <w:numFmt w:val="decimal"/>
      <w:lvlText w:val="%1.●.o.%4."/>
      <w:lvlJc w:val="left"/>
      <w:pPr>
        <w:ind w:left="1728" w:firstLine="1080"/>
      </w:pPr>
      <w:rPr>
        <w:vertAlign w:val="baseline"/>
      </w:rPr>
    </w:lvl>
    <w:lvl w:ilvl="4">
      <w:start w:val="1"/>
      <w:numFmt w:val="decimal"/>
      <w:lvlText w:val="%1.●.o.%4.%5."/>
      <w:lvlJc w:val="left"/>
      <w:pPr>
        <w:ind w:left="2232" w:firstLine="1440"/>
      </w:pPr>
      <w:rPr>
        <w:vertAlign w:val="baseline"/>
      </w:rPr>
    </w:lvl>
    <w:lvl w:ilvl="5">
      <w:start w:val="1"/>
      <w:numFmt w:val="decimal"/>
      <w:lvlText w:val="%1.●.o.%4.%5.%6."/>
      <w:lvlJc w:val="left"/>
      <w:pPr>
        <w:ind w:left="2736" w:firstLine="1800"/>
      </w:pPr>
      <w:rPr>
        <w:vertAlign w:val="baseline"/>
      </w:rPr>
    </w:lvl>
    <w:lvl w:ilvl="6">
      <w:start w:val="1"/>
      <w:numFmt w:val="decimal"/>
      <w:lvlText w:val="%1.●.o.%4.%5.%6.%7."/>
      <w:lvlJc w:val="left"/>
      <w:pPr>
        <w:ind w:left="3240" w:firstLine="2160"/>
      </w:pPr>
      <w:rPr>
        <w:vertAlign w:val="baseline"/>
      </w:rPr>
    </w:lvl>
    <w:lvl w:ilvl="7">
      <w:start w:val="1"/>
      <w:numFmt w:val="decimal"/>
      <w:lvlText w:val="%1.●.o.%4.%5.%6.%7.%8."/>
      <w:lvlJc w:val="left"/>
      <w:pPr>
        <w:ind w:left="3744" w:firstLine="2519"/>
      </w:pPr>
      <w:rPr>
        <w:vertAlign w:val="baseline"/>
      </w:rPr>
    </w:lvl>
    <w:lvl w:ilvl="8">
      <w:start w:val="1"/>
      <w:numFmt w:val="decimal"/>
      <w:lvlText w:val="%1.●.o.%4.%5.%6.%7.%8.%9."/>
      <w:lvlJc w:val="left"/>
      <w:pPr>
        <w:ind w:left="4320" w:firstLine="2880"/>
      </w:pPr>
      <w:rPr>
        <w:vertAlign w:val="baseline"/>
      </w:rPr>
    </w:lvl>
  </w:abstractNum>
  <w:abstractNum w:abstractNumId="6">
    <w:nsid w:val="1E92041E"/>
    <w:multiLevelType w:val="multilevel"/>
    <w:tmpl w:val="51B8965E"/>
    <w:lvl w:ilvl="0">
      <w:start w:val="1"/>
      <w:numFmt w:val="decimal"/>
      <w:lvlText w:val="%1."/>
      <w:lvlJc w:val="left"/>
      <w:pPr>
        <w:ind w:left="360"/>
      </w:pPr>
      <w:rPr>
        <w:vertAlign w:val="baseline"/>
      </w:rPr>
    </w:lvl>
    <w:lvl w:ilvl="1">
      <w:start w:val="1"/>
      <w:numFmt w:val="bullet"/>
      <w:lvlText w:val="●"/>
      <w:lvlJc w:val="left"/>
      <w:pPr>
        <w:ind w:left="792" w:firstLine="360"/>
      </w:pPr>
      <w:rPr>
        <w:rFonts w:ascii="Arial" w:eastAsia="Times New Roman" w:hAnsi="Arial"/>
        <w:vertAlign w:val="baseline"/>
      </w:rPr>
    </w:lvl>
    <w:lvl w:ilvl="2">
      <w:start w:val="1"/>
      <w:numFmt w:val="bullet"/>
      <w:lvlText w:val="o"/>
      <w:lvlJc w:val="left"/>
      <w:pPr>
        <w:ind w:left="1224" w:firstLine="720"/>
      </w:pPr>
      <w:rPr>
        <w:rFonts w:ascii="Arial" w:eastAsia="Times New Roman" w:hAnsi="Arial"/>
        <w:vertAlign w:val="baseline"/>
      </w:rPr>
    </w:lvl>
    <w:lvl w:ilvl="3">
      <w:start w:val="1"/>
      <w:numFmt w:val="decimal"/>
      <w:lvlText w:val="%1.●.o.%4."/>
      <w:lvlJc w:val="left"/>
      <w:pPr>
        <w:ind w:left="1728" w:firstLine="1080"/>
      </w:pPr>
      <w:rPr>
        <w:vertAlign w:val="baseline"/>
      </w:rPr>
    </w:lvl>
    <w:lvl w:ilvl="4">
      <w:start w:val="1"/>
      <w:numFmt w:val="decimal"/>
      <w:lvlText w:val="%1.●.o.%4.%5."/>
      <w:lvlJc w:val="left"/>
      <w:pPr>
        <w:ind w:left="2232" w:firstLine="1440"/>
      </w:pPr>
      <w:rPr>
        <w:vertAlign w:val="baseline"/>
      </w:rPr>
    </w:lvl>
    <w:lvl w:ilvl="5">
      <w:start w:val="1"/>
      <w:numFmt w:val="decimal"/>
      <w:lvlText w:val="%1.●.o.%4.%5.%6."/>
      <w:lvlJc w:val="left"/>
      <w:pPr>
        <w:ind w:left="2736" w:firstLine="1800"/>
      </w:pPr>
      <w:rPr>
        <w:vertAlign w:val="baseline"/>
      </w:rPr>
    </w:lvl>
    <w:lvl w:ilvl="6">
      <w:start w:val="1"/>
      <w:numFmt w:val="decimal"/>
      <w:lvlText w:val="%1.●.o.%4.%5.%6.%7."/>
      <w:lvlJc w:val="left"/>
      <w:pPr>
        <w:ind w:left="3240" w:firstLine="2160"/>
      </w:pPr>
      <w:rPr>
        <w:vertAlign w:val="baseline"/>
      </w:rPr>
    </w:lvl>
    <w:lvl w:ilvl="7">
      <w:start w:val="1"/>
      <w:numFmt w:val="decimal"/>
      <w:lvlText w:val="%1.●.o.%4.%5.%6.%7.%8."/>
      <w:lvlJc w:val="left"/>
      <w:pPr>
        <w:ind w:left="3744" w:firstLine="2519"/>
      </w:pPr>
      <w:rPr>
        <w:vertAlign w:val="baseline"/>
      </w:rPr>
    </w:lvl>
    <w:lvl w:ilvl="8">
      <w:start w:val="1"/>
      <w:numFmt w:val="decimal"/>
      <w:lvlText w:val="%1.●.o.%4.%5.%6.%7.%8.%9."/>
      <w:lvlJc w:val="left"/>
      <w:pPr>
        <w:ind w:left="4320" w:firstLine="2880"/>
      </w:pPr>
      <w:rPr>
        <w:vertAlign w:val="baseline"/>
      </w:rPr>
    </w:lvl>
  </w:abstractNum>
  <w:abstractNum w:abstractNumId="7">
    <w:nsid w:val="20091FF7"/>
    <w:multiLevelType w:val="multilevel"/>
    <w:tmpl w:val="20384AAA"/>
    <w:lvl w:ilvl="0">
      <w:start w:val="1"/>
      <w:numFmt w:val="decimal"/>
      <w:lvlText w:val="%1."/>
      <w:lvlJc w:val="left"/>
      <w:pPr>
        <w:ind w:left="36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nsid w:val="203C4B03"/>
    <w:multiLevelType w:val="multilevel"/>
    <w:tmpl w:val="5446563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45583A"/>
    <w:multiLevelType w:val="multilevel"/>
    <w:tmpl w:val="09008524"/>
    <w:lvl w:ilvl="0">
      <w:start w:val="1"/>
      <w:numFmt w:val="decimal"/>
      <w:lvlText w:val="%1."/>
      <w:lvlJc w:val="left"/>
      <w:pPr>
        <w:ind w:left="36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0">
    <w:nsid w:val="241B4B89"/>
    <w:multiLevelType w:val="multilevel"/>
    <w:tmpl w:val="1A1C286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hint="default"/>
      </w:rPr>
    </w:lvl>
    <w:lvl w:ilvl="2">
      <w:start w:val="1"/>
      <w:numFmt w:val="bullet"/>
      <w:lvlText w:val="o"/>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1D5401"/>
    <w:multiLevelType w:val="multilevel"/>
    <w:tmpl w:val="E76CD314"/>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hint="default"/>
      </w:rPr>
    </w:lvl>
    <w:lvl w:ilvl="2">
      <w:start w:val="1"/>
      <w:numFmt w:val="bullet"/>
      <w:lvlText w:val="o"/>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5748F2"/>
    <w:multiLevelType w:val="multilevel"/>
    <w:tmpl w:val="5446563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3B3E18"/>
    <w:multiLevelType w:val="multilevel"/>
    <w:tmpl w:val="5446563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3C1C49"/>
    <w:multiLevelType w:val="multilevel"/>
    <w:tmpl w:val="8772A5CE"/>
    <w:lvl w:ilvl="0">
      <w:start w:val="1"/>
      <w:numFmt w:val="decimal"/>
      <w:lvlText w:val="%1."/>
      <w:lvlJc w:val="left"/>
      <w:pPr>
        <w:ind w:left="36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5">
    <w:nsid w:val="41005DAF"/>
    <w:multiLevelType w:val="multilevel"/>
    <w:tmpl w:val="AF0250E4"/>
    <w:lvl w:ilvl="0">
      <w:start w:val="1"/>
      <w:numFmt w:val="decimal"/>
      <w:lvlText w:val="%1."/>
      <w:lvlJc w:val="left"/>
      <w:pPr>
        <w:ind w:left="360"/>
      </w:pPr>
      <w:rPr>
        <w:vertAlign w:val="baseline"/>
      </w:rPr>
    </w:lvl>
    <w:lvl w:ilvl="1">
      <w:start w:val="1"/>
      <w:numFmt w:val="bullet"/>
      <w:lvlText w:val="●"/>
      <w:lvlJc w:val="left"/>
      <w:pPr>
        <w:ind w:left="792" w:firstLine="360"/>
      </w:pPr>
      <w:rPr>
        <w:rFonts w:ascii="Arial" w:eastAsia="Times New Roman" w:hAnsi="Arial"/>
        <w:vertAlign w:val="baseline"/>
      </w:rPr>
    </w:lvl>
    <w:lvl w:ilvl="2">
      <w:start w:val="1"/>
      <w:numFmt w:val="bullet"/>
      <w:lvlText w:val="o"/>
      <w:lvlJc w:val="left"/>
      <w:pPr>
        <w:ind w:left="1224" w:firstLine="720"/>
      </w:pPr>
      <w:rPr>
        <w:rFonts w:ascii="Arial" w:eastAsia="Times New Roman" w:hAnsi="Arial"/>
        <w:vertAlign w:val="baseline"/>
      </w:rPr>
    </w:lvl>
    <w:lvl w:ilvl="3">
      <w:start w:val="1"/>
      <w:numFmt w:val="decimal"/>
      <w:lvlText w:val="%1.●.o.%4."/>
      <w:lvlJc w:val="left"/>
      <w:pPr>
        <w:ind w:left="1728" w:firstLine="1080"/>
      </w:pPr>
      <w:rPr>
        <w:vertAlign w:val="baseline"/>
      </w:rPr>
    </w:lvl>
    <w:lvl w:ilvl="4">
      <w:start w:val="1"/>
      <w:numFmt w:val="decimal"/>
      <w:lvlText w:val="%1.●.o.%4.%5."/>
      <w:lvlJc w:val="left"/>
      <w:pPr>
        <w:ind w:left="2232" w:firstLine="1440"/>
      </w:pPr>
      <w:rPr>
        <w:vertAlign w:val="baseline"/>
      </w:rPr>
    </w:lvl>
    <w:lvl w:ilvl="5">
      <w:start w:val="1"/>
      <w:numFmt w:val="decimal"/>
      <w:lvlText w:val="%1.●.o.%4.%5.%6."/>
      <w:lvlJc w:val="left"/>
      <w:pPr>
        <w:ind w:left="2736" w:firstLine="1800"/>
      </w:pPr>
      <w:rPr>
        <w:vertAlign w:val="baseline"/>
      </w:rPr>
    </w:lvl>
    <w:lvl w:ilvl="6">
      <w:start w:val="1"/>
      <w:numFmt w:val="decimal"/>
      <w:lvlText w:val="%1.●.o.%4.%5.%6.%7."/>
      <w:lvlJc w:val="left"/>
      <w:pPr>
        <w:ind w:left="3240" w:firstLine="2160"/>
      </w:pPr>
      <w:rPr>
        <w:vertAlign w:val="baseline"/>
      </w:rPr>
    </w:lvl>
    <w:lvl w:ilvl="7">
      <w:start w:val="1"/>
      <w:numFmt w:val="decimal"/>
      <w:lvlText w:val="%1.●.o.%4.%5.%6.%7.%8."/>
      <w:lvlJc w:val="left"/>
      <w:pPr>
        <w:ind w:left="3744" w:firstLine="2519"/>
      </w:pPr>
      <w:rPr>
        <w:vertAlign w:val="baseline"/>
      </w:rPr>
    </w:lvl>
    <w:lvl w:ilvl="8">
      <w:start w:val="1"/>
      <w:numFmt w:val="decimal"/>
      <w:lvlText w:val="%1.●.o.%4.%5.%6.%7.%8.%9."/>
      <w:lvlJc w:val="left"/>
      <w:pPr>
        <w:ind w:left="4320" w:firstLine="2880"/>
      </w:pPr>
      <w:rPr>
        <w:vertAlign w:val="baseline"/>
      </w:rPr>
    </w:lvl>
  </w:abstractNum>
  <w:abstractNum w:abstractNumId="16">
    <w:nsid w:val="475C6666"/>
    <w:multiLevelType w:val="hybridMultilevel"/>
    <w:tmpl w:val="657A6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6379C1"/>
    <w:multiLevelType w:val="multilevel"/>
    <w:tmpl w:val="4CCEF55A"/>
    <w:lvl w:ilvl="0">
      <w:start w:val="1"/>
      <w:numFmt w:val="decimal"/>
      <w:lvlText w:val="%1."/>
      <w:lvlJc w:val="left"/>
      <w:pPr>
        <w:ind w:left="36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8">
    <w:nsid w:val="4D1C6C01"/>
    <w:multiLevelType w:val="multilevel"/>
    <w:tmpl w:val="488C9EFC"/>
    <w:lvl w:ilvl="0">
      <w:start w:val="1"/>
      <w:numFmt w:val="decimal"/>
      <w:lvlText w:val="%1."/>
      <w:lvlJc w:val="left"/>
      <w:pPr>
        <w:ind w:left="36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9">
    <w:nsid w:val="4FE84EAE"/>
    <w:multiLevelType w:val="multilevel"/>
    <w:tmpl w:val="75B4D73C"/>
    <w:lvl w:ilvl="0">
      <w:start w:val="1"/>
      <w:numFmt w:val="decimal"/>
      <w:lvlText w:val="%1."/>
      <w:lvlJc w:val="left"/>
      <w:pPr>
        <w:ind w:left="360"/>
      </w:pPr>
      <w:rPr>
        <w:vertAlign w:val="baseline"/>
      </w:rPr>
    </w:lvl>
    <w:lvl w:ilvl="1">
      <w:start w:val="1"/>
      <w:numFmt w:val="bullet"/>
      <w:lvlText w:val="●"/>
      <w:lvlJc w:val="left"/>
      <w:pPr>
        <w:ind w:left="792" w:firstLine="360"/>
      </w:pPr>
      <w:rPr>
        <w:rFonts w:ascii="Arial" w:eastAsia="Times New Roman" w:hAnsi="Arial"/>
        <w:vertAlign w:val="baseline"/>
      </w:rPr>
    </w:lvl>
    <w:lvl w:ilvl="2">
      <w:start w:val="1"/>
      <w:numFmt w:val="bullet"/>
      <w:lvlText w:val="o"/>
      <w:lvlJc w:val="left"/>
      <w:pPr>
        <w:ind w:left="1224" w:firstLine="720"/>
      </w:pPr>
      <w:rPr>
        <w:rFonts w:ascii="Arial" w:eastAsia="Times New Roman" w:hAnsi="Arial"/>
        <w:vertAlign w:val="baseline"/>
      </w:rPr>
    </w:lvl>
    <w:lvl w:ilvl="3">
      <w:start w:val="1"/>
      <w:numFmt w:val="decimal"/>
      <w:lvlText w:val="%1.●.o.%4."/>
      <w:lvlJc w:val="left"/>
      <w:pPr>
        <w:ind w:left="1728" w:firstLine="1080"/>
      </w:pPr>
      <w:rPr>
        <w:vertAlign w:val="baseline"/>
      </w:rPr>
    </w:lvl>
    <w:lvl w:ilvl="4">
      <w:start w:val="1"/>
      <w:numFmt w:val="decimal"/>
      <w:lvlText w:val="%1.●.o.%4.%5."/>
      <w:lvlJc w:val="left"/>
      <w:pPr>
        <w:ind w:left="2232" w:firstLine="1440"/>
      </w:pPr>
      <w:rPr>
        <w:vertAlign w:val="baseline"/>
      </w:rPr>
    </w:lvl>
    <w:lvl w:ilvl="5">
      <w:start w:val="1"/>
      <w:numFmt w:val="decimal"/>
      <w:lvlText w:val="%1.●.o.%4.%5.%6."/>
      <w:lvlJc w:val="left"/>
      <w:pPr>
        <w:ind w:left="2736" w:firstLine="1800"/>
      </w:pPr>
      <w:rPr>
        <w:vertAlign w:val="baseline"/>
      </w:rPr>
    </w:lvl>
    <w:lvl w:ilvl="6">
      <w:start w:val="1"/>
      <w:numFmt w:val="decimal"/>
      <w:lvlText w:val="%1.●.o.%4.%5.%6.%7."/>
      <w:lvlJc w:val="left"/>
      <w:pPr>
        <w:ind w:left="3240" w:firstLine="2160"/>
      </w:pPr>
      <w:rPr>
        <w:vertAlign w:val="baseline"/>
      </w:rPr>
    </w:lvl>
    <w:lvl w:ilvl="7">
      <w:start w:val="1"/>
      <w:numFmt w:val="decimal"/>
      <w:lvlText w:val="%1.●.o.%4.%5.%6.%7.%8."/>
      <w:lvlJc w:val="left"/>
      <w:pPr>
        <w:ind w:left="3744" w:firstLine="2519"/>
      </w:pPr>
      <w:rPr>
        <w:vertAlign w:val="baseline"/>
      </w:rPr>
    </w:lvl>
    <w:lvl w:ilvl="8">
      <w:start w:val="1"/>
      <w:numFmt w:val="decimal"/>
      <w:lvlText w:val="%1.●.o.%4.%5.%6.%7.%8.%9."/>
      <w:lvlJc w:val="left"/>
      <w:pPr>
        <w:ind w:left="4320" w:firstLine="2880"/>
      </w:pPr>
      <w:rPr>
        <w:vertAlign w:val="baseline"/>
      </w:rPr>
    </w:lvl>
  </w:abstractNum>
  <w:abstractNum w:abstractNumId="20">
    <w:nsid w:val="587A1636"/>
    <w:multiLevelType w:val="multilevel"/>
    <w:tmpl w:val="816E0018"/>
    <w:lvl w:ilvl="0">
      <w:start w:val="1"/>
      <w:numFmt w:val="decimal"/>
      <w:lvlText w:val="%1."/>
      <w:lvlJc w:val="left"/>
      <w:pPr>
        <w:ind w:left="36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1">
    <w:nsid w:val="588D69C4"/>
    <w:multiLevelType w:val="multilevel"/>
    <w:tmpl w:val="9ED4BA94"/>
    <w:lvl w:ilvl="0">
      <w:start w:val="1"/>
      <w:numFmt w:val="decimal"/>
      <w:lvlText w:val="%1."/>
      <w:lvlJc w:val="left"/>
      <w:pPr>
        <w:ind w:left="360"/>
      </w:pPr>
      <w:rPr>
        <w:vertAlign w:val="baseline"/>
      </w:rPr>
    </w:lvl>
    <w:lvl w:ilvl="1">
      <w:start w:val="1"/>
      <w:numFmt w:val="bullet"/>
      <w:lvlText w:val="●"/>
      <w:lvlJc w:val="left"/>
      <w:pPr>
        <w:ind w:left="792" w:firstLine="360"/>
      </w:pPr>
      <w:rPr>
        <w:rFonts w:ascii="Arial" w:eastAsia="Times New Roman" w:hAnsi="Arial"/>
        <w:vertAlign w:val="baseline"/>
      </w:rPr>
    </w:lvl>
    <w:lvl w:ilvl="2">
      <w:start w:val="1"/>
      <w:numFmt w:val="bullet"/>
      <w:lvlText w:val="o"/>
      <w:lvlJc w:val="left"/>
      <w:pPr>
        <w:ind w:left="1224" w:firstLine="720"/>
      </w:pPr>
      <w:rPr>
        <w:rFonts w:ascii="Arial" w:eastAsia="Times New Roman" w:hAnsi="Arial"/>
        <w:vertAlign w:val="baseline"/>
      </w:rPr>
    </w:lvl>
    <w:lvl w:ilvl="3">
      <w:start w:val="1"/>
      <w:numFmt w:val="decimal"/>
      <w:lvlText w:val="%1.●.o.%4."/>
      <w:lvlJc w:val="left"/>
      <w:pPr>
        <w:ind w:left="1728" w:firstLine="1080"/>
      </w:pPr>
      <w:rPr>
        <w:vertAlign w:val="baseline"/>
      </w:rPr>
    </w:lvl>
    <w:lvl w:ilvl="4">
      <w:start w:val="1"/>
      <w:numFmt w:val="decimal"/>
      <w:lvlText w:val="%1.●.o.%4.%5."/>
      <w:lvlJc w:val="left"/>
      <w:pPr>
        <w:ind w:left="2232" w:firstLine="1440"/>
      </w:pPr>
      <w:rPr>
        <w:vertAlign w:val="baseline"/>
      </w:rPr>
    </w:lvl>
    <w:lvl w:ilvl="5">
      <w:start w:val="1"/>
      <w:numFmt w:val="decimal"/>
      <w:lvlText w:val="%1.●.o.%4.%5.%6."/>
      <w:lvlJc w:val="left"/>
      <w:pPr>
        <w:ind w:left="2736" w:firstLine="1800"/>
      </w:pPr>
      <w:rPr>
        <w:vertAlign w:val="baseline"/>
      </w:rPr>
    </w:lvl>
    <w:lvl w:ilvl="6">
      <w:start w:val="1"/>
      <w:numFmt w:val="decimal"/>
      <w:lvlText w:val="%1.●.o.%4.%5.%6.%7."/>
      <w:lvlJc w:val="left"/>
      <w:pPr>
        <w:ind w:left="3240" w:firstLine="2160"/>
      </w:pPr>
      <w:rPr>
        <w:vertAlign w:val="baseline"/>
      </w:rPr>
    </w:lvl>
    <w:lvl w:ilvl="7">
      <w:start w:val="1"/>
      <w:numFmt w:val="decimal"/>
      <w:lvlText w:val="%1.●.o.%4.%5.%6.%7.%8."/>
      <w:lvlJc w:val="left"/>
      <w:pPr>
        <w:ind w:left="3744" w:firstLine="2519"/>
      </w:pPr>
      <w:rPr>
        <w:vertAlign w:val="baseline"/>
      </w:rPr>
    </w:lvl>
    <w:lvl w:ilvl="8">
      <w:start w:val="1"/>
      <w:numFmt w:val="decimal"/>
      <w:lvlText w:val="%1.●.o.%4.%5.%6.%7.%8.%9."/>
      <w:lvlJc w:val="left"/>
      <w:pPr>
        <w:ind w:left="4320" w:firstLine="2880"/>
      </w:pPr>
      <w:rPr>
        <w:vertAlign w:val="baseline"/>
      </w:rPr>
    </w:lvl>
  </w:abstractNum>
  <w:abstractNum w:abstractNumId="22">
    <w:nsid w:val="655377E6"/>
    <w:multiLevelType w:val="multilevel"/>
    <w:tmpl w:val="00B2F95A"/>
    <w:lvl w:ilvl="0">
      <w:start w:val="1"/>
      <w:numFmt w:val="decimal"/>
      <w:lvlText w:val="%1."/>
      <w:lvlJc w:val="left"/>
      <w:pPr>
        <w:ind w:left="360"/>
      </w:pPr>
      <w:rPr>
        <w:vertAlign w:val="baseline"/>
      </w:rPr>
    </w:lvl>
    <w:lvl w:ilvl="1">
      <w:start w:val="1"/>
      <w:numFmt w:val="bullet"/>
      <w:lvlText w:val="●"/>
      <w:lvlJc w:val="left"/>
      <w:pPr>
        <w:ind w:left="792" w:firstLine="360"/>
      </w:pPr>
      <w:rPr>
        <w:rFonts w:ascii="Arial" w:eastAsia="Times New Roman" w:hAnsi="Arial"/>
        <w:vertAlign w:val="baseline"/>
      </w:rPr>
    </w:lvl>
    <w:lvl w:ilvl="2">
      <w:start w:val="1"/>
      <w:numFmt w:val="bullet"/>
      <w:lvlText w:val="o"/>
      <w:lvlJc w:val="left"/>
      <w:pPr>
        <w:ind w:left="1224" w:firstLine="720"/>
      </w:pPr>
      <w:rPr>
        <w:rFonts w:ascii="Arial" w:eastAsia="Times New Roman" w:hAnsi="Arial"/>
        <w:vertAlign w:val="baseline"/>
      </w:rPr>
    </w:lvl>
    <w:lvl w:ilvl="3">
      <w:start w:val="1"/>
      <w:numFmt w:val="decimal"/>
      <w:lvlText w:val="%1.●.o.%4."/>
      <w:lvlJc w:val="left"/>
      <w:pPr>
        <w:ind w:left="1728" w:firstLine="1080"/>
      </w:pPr>
      <w:rPr>
        <w:vertAlign w:val="baseline"/>
      </w:rPr>
    </w:lvl>
    <w:lvl w:ilvl="4">
      <w:start w:val="1"/>
      <w:numFmt w:val="decimal"/>
      <w:lvlText w:val="%1.●.o.%4.%5."/>
      <w:lvlJc w:val="left"/>
      <w:pPr>
        <w:ind w:left="2232" w:firstLine="1440"/>
      </w:pPr>
      <w:rPr>
        <w:vertAlign w:val="baseline"/>
      </w:rPr>
    </w:lvl>
    <w:lvl w:ilvl="5">
      <w:start w:val="1"/>
      <w:numFmt w:val="decimal"/>
      <w:lvlText w:val="%1.●.o.%4.%5.%6."/>
      <w:lvlJc w:val="left"/>
      <w:pPr>
        <w:ind w:left="2736" w:firstLine="1800"/>
      </w:pPr>
      <w:rPr>
        <w:vertAlign w:val="baseline"/>
      </w:rPr>
    </w:lvl>
    <w:lvl w:ilvl="6">
      <w:start w:val="1"/>
      <w:numFmt w:val="decimal"/>
      <w:lvlText w:val="%1.●.o.%4.%5.%6.%7."/>
      <w:lvlJc w:val="left"/>
      <w:pPr>
        <w:ind w:left="3240" w:firstLine="2160"/>
      </w:pPr>
      <w:rPr>
        <w:vertAlign w:val="baseline"/>
      </w:rPr>
    </w:lvl>
    <w:lvl w:ilvl="7">
      <w:start w:val="1"/>
      <w:numFmt w:val="decimal"/>
      <w:lvlText w:val="%1.●.o.%4.%5.%6.%7.%8."/>
      <w:lvlJc w:val="left"/>
      <w:pPr>
        <w:ind w:left="3744" w:firstLine="2519"/>
      </w:pPr>
      <w:rPr>
        <w:vertAlign w:val="baseline"/>
      </w:rPr>
    </w:lvl>
    <w:lvl w:ilvl="8">
      <w:start w:val="1"/>
      <w:numFmt w:val="decimal"/>
      <w:lvlText w:val="%1.●.o.%4.%5.%6.%7.%8.%9."/>
      <w:lvlJc w:val="left"/>
      <w:pPr>
        <w:ind w:left="4320" w:firstLine="2880"/>
      </w:pPr>
      <w:rPr>
        <w:vertAlign w:val="baseline"/>
      </w:rPr>
    </w:lvl>
  </w:abstractNum>
  <w:abstractNum w:abstractNumId="23">
    <w:nsid w:val="66C552D0"/>
    <w:multiLevelType w:val="multilevel"/>
    <w:tmpl w:val="1A1C286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hint="default"/>
      </w:rPr>
    </w:lvl>
    <w:lvl w:ilvl="2">
      <w:start w:val="1"/>
      <w:numFmt w:val="bullet"/>
      <w:lvlText w:val="o"/>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AB723D"/>
    <w:multiLevelType w:val="multilevel"/>
    <w:tmpl w:val="CBC4CFF2"/>
    <w:lvl w:ilvl="0">
      <w:start w:val="1"/>
      <w:numFmt w:val="decimal"/>
      <w:lvlText w:val="%1."/>
      <w:lvlJc w:val="left"/>
      <w:pPr>
        <w:ind w:left="36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5">
    <w:nsid w:val="6D1E6A50"/>
    <w:multiLevelType w:val="multilevel"/>
    <w:tmpl w:val="9438C1EC"/>
    <w:lvl w:ilvl="0">
      <w:start w:val="1"/>
      <w:numFmt w:val="decimal"/>
      <w:lvlText w:val="%1."/>
      <w:lvlJc w:val="left"/>
      <w:pPr>
        <w:ind w:left="36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6">
    <w:nsid w:val="6DB50369"/>
    <w:multiLevelType w:val="multilevel"/>
    <w:tmpl w:val="F6D630F2"/>
    <w:lvl w:ilvl="0">
      <w:start w:val="1"/>
      <w:numFmt w:val="decimal"/>
      <w:lvlText w:val="%1."/>
      <w:lvlJc w:val="left"/>
      <w:pPr>
        <w:ind w:left="360"/>
      </w:pPr>
      <w:rPr>
        <w:vertAlign w:val="baseline"/>
      </w:rPr>
    </w:lvl>
    <w:lvl w:ilvl="1">
      <w:start w:val="1"/>
      <w:numFmt w:val="bullet"/>
      <w:lvlText w:val="●"/>
      <w:lvlJc w:val="left"/>
      <w:pPr>
        <w:ind w:left="792" w:firstLine="360"/>
      </w:pPr>
      <w:rPr>
        <w:rFonts w:ascii="Arial" w:eastAsia="Times New Roman" w:hAnsi="Arial"/>
        <w:vertAlign w:val="baseline"/>
      </w:rPr>
    </w:lvl>
    <w:lvl w:ilvl="2">
      <w:start w:val="1"/>
      <w:numFmt w:val="bullet"/>
      <w:lvlText w:val="o"/>
      <w:lvlJc w:val="left"/>
      <w:pPr>
        <w:ind w:left="1224" w:firstLine="720"/>
      </w:pPr>
      <w:rPr>
        <w:rFonts w:ascii="Arial" w:eastAsia="Times New Roman" w:hAnsi="Arial"/>
        <w:vertAlign w:val="baseline"/>
      </w:rPr>
    </w:lvl>
    <w:lvl w:ilvl="3">
      <w:start w:val="1"/>
      <w:numFmt w:val="decimal"/>
      <w:lvlText w:val="%1.●.o.%4."/>
      <w:lvlJc w:val="left"/>
      <w:pPr>
        <w:ind w:left="1728" w:firstLine="1080"/>
      </w:pPr>
      <w:rPr>
        <w:vertAlign w:val="baseline"/>
      </w:rPr>
    </w:lvl>
    <w:lvl w:ilvl="4">
      <w:start w:val="1"/>
      <w:numFmt w:val="decimal"/>
      <w:lvlText w:val="%1.●.o.%4.%5."/>
      <w:lvlJc w:val="left"/>
      <w:pPr>
        <w:ind w:left="2232" w:firstLine="1440"/>
      </w:pPr>
      <w:rPr>
        <w:vertAlign w:val="baseline"/>
      </w:rPr>
    </w:lvl>
    <w:lvl w:ilvl="5">
      <w:start w:val="1"/>
      <w:numFmt w:val="decimal"/>
      <w:lvlText w:val="%1.●.o.%4.%5.%6."/>
      <w:lvlJc w:val="left"/>
      <w:pPr>
        <w:ind w:left="2736" w:firstLine="1800"/>
      </w:pPr>
      <w:rPr>
        <w:vertAlign w:val="baseline"/>
      </w:rPr>
    </w:lvl>
    <w:lvl w:ilvl="6">
      <w:start w:val="1"/>
      <w:numFmt w:val="decimal"/>
      <w:lvlText w:val="%1.●.o.%4.%5.%6.%7."/>
      <w:lvlJc w:val="left"/>
      <w:pPr>
        <w:ind w:left="3240" w:firstLine="2160"/>
      </w:pPr>
      <w:rPr>
        <w:vertAlign w:val="baseline"/>
      </w:rPr>
    </w:lvl>
    <w:lvl w:ilvl="7">
      <w:start w:val="1"/>
      <w:numFmt w:val="decimal"/>
      <w:lvlText w:val="%1.●.o.%4.%5.%6.%7.%8."/>
      <w:lvlJc w:val="left"/>
      <w:pPr>
        <w:ind w:left="3744" w:firstLine="2519"/>
      </w:pPr>
      <w:rPr>
        <w:vertAlign w:val="baseline"/>
      </w:rPr>
    </w:lvl>
    <w:lvl w:ilvl="8">
      <w:start w:val="1"/>
      <w:numFmt w:val="decimal"/>
      <w:lvlText w:val="%1.●.o.%4.%5.%6.%7.%8.%9."/>
      <w:lvlJc w:val="left"/>
      <w:pPr>
        <w:ind w:left="4320" w:firstLine="2880"/>
      </w:pPr>
      <w:rPr>
        <w:vertAlign w:val="baseline"/>
      </w:rPr>
    </w:lvl>
  </w:abstractNum>
  <w:abstractNum w:abstractNumId="27">
    <w:nsid w:val="6F420D06"/>
    <w:multiLevelType w:val="multilevel"/>
    <w:tmpl w:val="5446563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2C700BF"/>
    <w:multiLevelType w:val="multilevel"/>
    <w:tmpl w:val="E76CD314"/>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hint="default"/>
      </w:rPr>
    </w:lvl>
    <w:lvl w:ilvl="2">
      <w:start w:val="1"/>
      <w:numFmt w:val="bullet"/>
      <w:lvlText w:val="o"/>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5E37AC"/>
    <w:multiLevelType w:val="multilevel"/>
    <w:tmpl w:val="1A1C286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hint="default"/>
      </w:rPr>
    </w:lvl>
    <w:lvl w:ilvl="2">
      <w:start w:val="1"/>
      <w:numFmt w:val="bullet"/>
      <w:lvlText w:val="o"/>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CBF1156"/>
    <w:multiLevelType w:val="multilevel"/>
    <w:tmpl w:val="7B88AE26"/>
    <w:lvl w:ilvl="0">
      <w:start w:val="1"/>
      <w:numFmt w:val="decimal"/>
      <w:lvlText w:val="%1."/>
      <w:lvlJc w:val="left"/>
      <w:pPr>
        <w:ind w:left="36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31">
    <w:nsid w:val="7F792A8B"/>
    <w:multiLevelType w:val="multilevel"/>
    <w:tmpl w:val="A028A318"/>
    <w:lvl w:ilvl="0">
      <w:start w:val="1"/>
      <w:numFmt w:val="decimal"/>
      <w:lvlText w:val="%1."/>
      <w:lvlJc w:val="left"/>
      <w:pPr>
        <w:ind w:left="36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4"/>
  </w:num>
  <w:num w:numId="2">
    <w:abstractNumId w:val="18"/>
  </w:num>
  <w:num w:numId="3">
    <w:abstractNumId w:val="19"/>
  </w:num>
  <w:num w:numId="4">
    <w:abstractNumId w:val="26"/>
  </w:num>
  <w:num w:numId="5">
    <w:abstractNumId w:val="5"/>
  </w:num>
  <w:num w:numId="6">
    <w:abstractNumId w:val="22"/>
  </w:num>
  <w:num w:numId="7">
    <w:abstractNumId w:val="15"/>
  </w:num>
  <w:num w:numId="8">
    <w:abstractNumId w:val="21"/>
  </w:num>
  <w:num w:numId="9">
    <w:abstractNumId w:val="6"/>
  </w:num>
  <w:num w:numId="10">
    <w:abstractNumId w:val="31"/>
  </w:num>
  <w:num w:numId="11">
    <w:abstractNumId w:val="14"/>
  </w:num>
  <w:num w:numId="12">
    <w:abstractNumId w:val="7"/>
  </w:num>
  <w:num w:numId="13">
    <w:abstractNumId w:val="25"/>
  </w:num>
  <w:num w:numId="14">
    <w:abstractNumId w:val="1"/>
  </w:num>
  <w:num w:numId="15">
    <w:abstractNumId w:val="24"/>
  </w:num>
  <w:num w:numId="16">
    <w:abstractNumId w:val="0"/>
  </w:num>
  <w:num w:numId="17">
    <w:abstractNumId w:val="20"/>
  </w:num>
  <w:num w:numId="18">
    <w:abstractNumId w:val="30"/>
  </w:num>
  <w:num w:numId="19">
    <w:abstractNumId w:val="17"/>
  </w:num>
  <w:num w:numId="20">
    <w:abstractNumId w:val="9"/>
  </w:num>
  <w:num w:numId="21">
    <w:abstractNumId w:val="3"/>
  </w:num>
  <w:num w:numId="22">
    <w:abstractNumId w:val="13"/>
  </w:num>
  <w:num w:numId="23">
    <w:abstractNumId w:val="16"/>
  </w:num>
  <w:num w:numId="24">
    <w:abstractNumId w:val="2"/>
  </w:num>
  <w:num w:numId="25">
    <w:abstractNumId w:val="12"/>
  </w:num>
  <w:num w:numId="26">
    <w:abstractNumId w:val="27"/>
  </w:num>
  <w:num w:numId="27">
    <w:abstractNumId w:val="8"/>
  </w:num>
  <w:num w:numId="28">
    <w:abstractNumId w:val="11"/>
  </w:num>
  <w:num w:numId="29">
    <w:abstractNumId w:val="28"/>
  </w:num>
  <w:num w:numId="30">
    <w:abstractNumId w:val="10"/>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69"/>
    <w:rsid w:val="00014C3B"/>
    <w:rsid w:val="0002413E"/>
    <w:rsid w:val="0005527F"/>
    <w:rsid w:val="00110C40"/>
    <w:rsid w:val="001542DB"/>
    <w:rsid w:val="00183FFF"/>
    <w:rsid w:val="001B3CD9"/>
    <w:rsid w:val="0020423E"/>
    <w:rsid w:val="002417CD"/>
    <w:rsid w:val="00306C1F"/>
    <w:rsid w:val="00322383"/>
    <w:rsid w:val="00350038"/>
    <w:rsid w:val="003B11A3"/>
    <w:rsid w:val="003E2515"/>
    <w:rsid w:val="003E3793"/>
    <w:rsid w:val="003F55C6"/>
    <w:rsid w:val="0041309E"/>
    <w:rsid w:val="00472846"/>
    <w:rsid w:val="00490CF0"/>
    <w:rsid w:val="004D1494"/>
    <w:rsid w:val="004E695F"/>
    <w:rsid w:val="005005CA"/>
    <w:rsid w:val="0056516D"/>
    <w:rsid w:val="005A557E"/>
    <w:rsid w:val="005F0ADC"/>
    <w:rsid w:val="00600196"/>
    <w:rsid w:val="006064DA"/>
    <w:rsid w:val="0061554A"/>
    <w:rsid w:val="00624D81"/>
    <w:rsid w:val="00651845"/>
    <w:rsid w:val="00664F69"/>
    <w:rsid w:val="00715C27"/>
    <w:rsid w:val="007170AE"/>
    <w:rsid w:val="0074308B"/>
    <w:rsid w:val="007701D0"/>
    <w:rsid w:val="00797352"/>
    <w:rsid w:val="007E0146"/>
    <w:rsid w:val="008F04FF"/>
    <w:rsid w:val="008F71ED"/>
    <w:rsid w:val="009004ED"/>
    <w:rsid w:val="009046DD"/>
    <w:rsid w:val="00931565"/>
    <w:rsid w:val="00951485"/>
    <w:rsid w:val="009C614B"/>
    <w:rsid w:val="00A34EE1"/>
    <w:rsid w:val="00A412E9"/>
    <w:rsid w:val="00A5215F"/>
    <w:rsid w:val="00A855C6"/>
    <w:rsid w:val="00AE49D7"/>
    <w:rsid w:val="00B0131D"/>
    <w:rsid w:val="00B3380C"/>
    <w:rsid w:val="00B43C8B"/>
    <w:rsid w:val="00B70276"/>
    <w:rsid w:val="00BE79E7"/>
    <w:rsid w:val="00C604DE"/>
    <w:rsid w:val="00C73F42"/>
    <w:rsid w:val="00C97AC2"/>
    <w:rsid w:val="00CB2044"/>
    <w:rsid w:val="00CE6AF1"/>
    <w:rsid w:val="00D315A6"/>
    <w:rsid w:val="00D378AB"/>
    <w:rsid w:val="00D820F2"/>
    <w:rsid w:val="00E528CC"/>
    <w:rsid w:val="00E5420F"/>
    <w:rsid w:val="00E72FFC"/>
    <w:rsid w:val="00E97F1E"/>
    <w:rsid w:val="00EC4CEB"/>
    <w:rsid w:val="00EE06C0"/>
    <w:rsid w:val="00EF5727"/>
    <w:rsid w:val="00F304F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3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DC"/>
    <w:pPr>
      <w:spacing w:after="200" w:line="276" w:lineRule="auto"/>
    </w:pPr>
    <w:rPr>
      <w:color w:val="000000"/>
      <w:sz w:val="22"/>
      <w:lang w:val="fr-CH" w:eastAsia="fr-CH"/>
    </w:rPr>
  </w:style>
  <w:style w:type="paragraph" w:styleId="Heading1">
    <w:name w:val="heading 1"/>
    <w:basedOn w:val="Normal"/>
    <w:next w:val="Normal"/>
    <w:link w:val="Heading1Char"/>
    <w:uiPriority w:val="99"/>
    <w:qFormat/>
    <w:rsid w:val="005F0ADC"/>
    <w:pPr>
      <w:keepNext/>
      <w:keepLines/>
      <w:spacing w:before="480" w:after="0"/>
      <w:outlineLvl w:val="0"/>
    </w:pPr>
    <w:rPr>
      <w:rFonts w:ascii="Cambria" w:hAnsi="Cambria" w:cs="Cambria"/>
      <w:b/>
      <w:color w:val="365F91"/>
      <w:sz w:val="28"/>
    </w:rPr>
  </w:style>
  <w:style w:type="paragraph" w:styleId="Heading2">
    <w:name w:val="heading 2"/>
    <w:basedOn w:val="Normal"/>
    <w:next w:val="Normal"/>
    <w:link w:val="Heading2Char"/>
    <w:uiPriority w:val="99"/>
    <w:qFormat/>
    <w:rsid w:val="005F0ADC"/>
    <w:pPr>
      <w:keepNext/>
      <w:keepLines/>
      <w:spacing w:before="360" w:after="80"/>
      <w:contextualSpacing/>
      <w:outlineLvl w:val="1"/>
    </w:pPr>
    <w:rPr>
      <w:b/>
      <w:sz w:val="36"/>
    </w:rPr>
  </w:style>
  <w:style w:type="paragraph" w:styleId="Heading3">
    <w:name w:val="heading 3"/>
    <w:basedOn w:val="Normal"/>
    <w:next w:val="Normal"/>
    <w:link w:val="Heading3Char"/>
    <w:uiPriority w:val="99"/>
    <w:qFormat/>
    <w:rsid w:val="005F0ADC"/>
    <w:pPr>
      <w:keepNext/>
      <w:keepLines/>
      <w:spacing w:before="280" w:after="80"/>
      <w:contextualSpacing/>
      <w:outlineLvl w:val="2"/>
    </w:pPr>
    <w:rPr>
      <w:b/>
      <w:sz w:val="28"/>
    </w:rPr>
  </w:style>
  <w:style w:type="paragraph" w:styleId="Heading4">
    <w:name w:val="heading 4"/>
    <w:basedOn w:val="Normal"/>
    <w:next w:val="Normal"/>
    <w:link w:val="Heading4Char"/>
    <w:uiPriority w:val="99"/>
    <w:qFormat/>
    <w:rsid w:val="005F0ADC"/>
    <w:pPr>
      <w:keepNext/>
      <w:keepLines/>
      <w:spacing w:before="240" w:after="40"/>
      <w:contextualSpacing/>
      <w:outlineLvl w:val="3"/>
    </w:pPr>
    <w:rPr>
      <w:b/>
      <w:sz w:val="24"/>
    </w:rPr>
  </w:style>
  <w:style w:type="paragraph" w:styleId="Heading5">
    <w:name w:val="heading 5"/>
    <w:basedOn w:val="Normal"/>
    <w:next w:val="Normal"/>
    <w:link w:val="Heading5Char"/>
    <w:uiPriority w:val="99"/>
    <w:qFormat/>
    <w:rsid w:val="005F0ADC"/>
    <w:pPr>
      <w:keepNext/>
      <w:keepLines/>
      <w:spacing w:before="220" w:after="40"/>
      <w:contextualSpacing/>
      <w:outlineLvl w:val="4"/>
    </w:pPr>
    <w:rPr>
      <w:b/>
    </w:rPr>
  </w:style>
  <w:style w:type="paragraph" w:styleId="Heading6">
    <w:name w:val="heading 6"/>
    <w:basedOn w:val="Normal"/>
    <w:next w:val="Normal"/>
    <w:link w:val="Heading6Char"/>
    <w:uiPriority w:val="99"/>
    <w:qFormat/>
    <w:rsid w:val="005F0AD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28CC"/>
    <w:rPr>
      <w:rFonts w:ascii="Cambria" w:eastAsia="Times New Roman" w:hAnsi="Cambria" w:cs="Cambria"/>
      <w:b/>
      <w:color w:val="365F91"/>
      <w:sz w:val="28"/>
    </w:rPr>
  </w:style>
  <w:style w:type="character" w:customStyle="1" w:styleId="Heading2Char">
    <w:name w:val="Heading 2 Char"/>
    <w:basedOn w:val="DefaultParagraphFont"/>
    <w:link w:val="Heading2"/>
    <w:uiPriority w:val="9"/>
    <w:semiHidden/>
    <w:rsid w:val="00121CE2"/>
    <w:rPr>
      <w:rFonts w:asciiTheme="majorHAnsi" w:eastAsiaTheme="majorEastAsia" w:hAnsiTheme="majorHAnsi" w:cstheme="majorBidi"/>
      <w:b/>
      <w:bCs/>
      <w:i/>
      <w:iCs/>
      <w:color w:val="000000"/>
      <w:sz w:val="28"/>
      <w:szCs w:val="28"/>
      <w:lang w:val="fr-CH" w:eastAsia="fr-CH"/>
    </w:rPr>
  </w:style>
  <w:style w:type="character" w:customStyle="1" w:styleId="Heading3Char">
    <w:name w:val="Heading 3 Char"/>
    <w:basedOn w:val="DefaultParagraphFont"/>
    <w:link w:val="Heading3"/>
    <w:uiPriority w:val="9"/>
    <w:semiHidden/>
    <w:rsid w:val="00121CE2"/>
    <w:rPr>
      <w:rFonts w:asciiTheme="majorHAnsi" w:eastAsiaTheme="majorEastAsia" w:hAnsiTheme="majorHAnsi" w:cstheme="majorBidi"/>
      <w:b/>
      <w:bCs/>
      <w:color w:val="000000"/>
      <w:sz w:val="26"/>
      <w:szCs w:val="26"/>
      <w:lang w:val="fr-CH" w:eastAsia="fr-CH"/>
    </w:rPr>
  </w:style>
  <w:style w:type="character" w:customStyle="1" w:styleId="Heading4Char">
    <w:name w:val="Heading 4 Char"/>
    <w:basedOn w:val="DefaultParagraphFont"/>
    <w:link w:val="Heading4"/>
    <w:uiPriority w:val="9"/>
    <w:semiHidden/>
    <w:rsid w:val="00121CE2"/>
    <w:rPr>
      <w:rFonts w:asciiTheme="minorHAnsi" w:eastAsiaTheme="minorEastAsia" w:hAnsiTheme="minorHAnsi" w:cstheme="minorBidi"/>
      <w:b/>
      <w:bCs/>
      <w:color w:val="000000"/>
      <w:sz w:val="28"/>
      <w:szCs w:val="28"/>
      <w:lang w:val="fr-CH" w:eastAsia="fr-CH"/>
    </w:rPr>
  </w:style>
  <w:style w:type="character" w:customStyle="1" w:styleId="Heading5Char">
    <w:name w:val="Heading 5 Char"/>
    <w:basedOn w:val="DefaultParagraphFont"/>
    <w:link w:val="Heading5"/>
    <w:uiPriority w:val="9"/>
    <w:semiHidden/>
    <w:rsid w:val="00121CE2"/>
    <w:rPr>
      <w:rFonts w:asciiTheme="minorHAnsi" w:eastAsiaTheme="minorEastAsia" w:hAnsiTheme="minorHAnsi" w:cstheme="minorBidi"/>
      <w:b/>
      <w:bCs/>
      <w:i/>
      <w:iCs/>
      <w:color w:val="000000"/>
      <w:sz w:val="26"/>
      <w:szCs w:val="26"/>
      <w:lang w:val="fr-CH" w:eastAsia="fr-CH"/>
    </w:rPr>
  </w:style>
  <w:style w:type="character" w:customStyle="1" w:styleId="Heading6Char">
    <w:name w:val="Heading 6 Char"/>
    <w:basedOn w:val="DefaultParagraphFont"/>
    <w:link w:val="Heading6"/>
    <w:uiPriority w:val="9"/>
    <w:semiHidden/>
    <w:rsid w:val="00121CE2"/>
    <w:rPr>
      <w:rFonts w:asciiTheme="minorHAnsi" w:eastAsiaTheme="minorEastAsia" w:hAnsiTheme="minorHAnsi" w:cstheme="minorBidi"/>
      <w:b/>
      <w:bCs/>
      <w:color w:val="000000"/>
      <w:sz w:val="22"/>
      <w:szCs w:val="22"/>
      <w:lang w:val="fr-CH" w:eastAsia="fr-CH"/>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styleId="Title">
    <w:name w:val="Title"/>
    <w:basedOn w:val="Normal"/>
    <w:next w:val="Normal"/>
    <w:link w:val="TitleChar"/>
    <w:uiPriority w:val="99"/>
    <w:qFormat/>
    <w:rsid w:val="005F0ADC"/>
    <w:pPr>
      <w:keepNext/>
      <w:keepLines/>
      <w:spacing w:after="300" w:line="240" w:lineRule="auto"/>
    </w:pPr>
    <w:rPr>
      <w:rFonts w:ascii="Cambria" w:hAnsi="Cambria" w:cs="Cambria"/>
      <w:color w:val="17365D"/>
      <w:sz w:val="52"/>
    </w:rPr>
  </w:style>
  <w:style w:type="character" w:customStyle="1" w:styleId="TitleChar">
    <w:name w:val="Title Char"/>
    <w:basedOn w:val="DefaultParagraphFont"/>
    <w:link w:val="Title"/>
    <w:uiPriority w:val="10"/>
    <w:rsid w:val="00121CE2"/>
    <w:rPr>
      <w:rFonts w:asciiTheme="majorHAnsi" w:eastAsiaTheme="majorEastAsia" w:hAnsiTheme="majorHAnsi" w:cstheme="majorBidi"/>
      <w:b/>
      <w:bCs/>
      <w:color w:val="000000"/>
      <w:kern w:val="28"/>
      <w:sz w:val="32"/>
      <w:szCs w:val="32"/>
      <w:lang w:val="fr-CH" w:eastAsia="fr-CH"/>
    </w:rPr>
  </w:style>
  <w:style w:type="paragraph" w:customStyle="1" w:styleId="Sous-tit">
    <w:name w:val="Sous-tit"/>
    <w:basedOn w:val="Normal"/>
    <w:next w:val="Normal"/>
    <w:uiPriority w:val="99"/>
    <w:rsid w:val="005F0ADC"/>
    <w:pPr>
      <w:keepNext/>
      <w:keepLines/>
    </w:pPr>
    <w:rPr>
      <w:rFonts w:ascii="Cambria" w:hAnsi="Cambria" w:cs="Cambria"/>
      <w:i/>
      <w:color w:val="4F81BD"/>
      <w:sz w:val="24"/>
    </w:rPr>
  </w:style>
  <w:style w:type="table" w:customStyle="1" w:styleId="Style">
    <w:name w:val="Style"/>
    <w:basedOn w:val="TableauNorm"/>
    <w:uiPriority w:val="99"/>
    <w:rsid w:val="005F0ADC"/>
    <w:tblPr>
      <w:tblStyleRowBandSize w:val="1"/>
      <w:tblStyleColBandSize w:val="1"/>
    </w:tblPr>
  </w:style>
  <w:style w:type="table" w:customStyle="1" w:styleId="Style7">
    <w:name w:val="Style7"/>
    <w:basedOn w:val="TableauNorm"/>
    <w:uiPriority w:val="99"/>
    <w:rsid w:val="005F0ADC"/>
    <w:tblPr>
      <w:tblStyleRowBandSize w:val="1"/>
      <w:tblStyleColBandSize w:val="1"/>
    </w:tblPr>
  </w:style>
  <w:style w:type="table" w:customStyle="1" w:styleId="Style6">
    <w:name w:val="Style6"/>
    <w:basedOn w:val="TableauNorm"/>
    <w:uiPriority w:val="99"/>
    <w:rsid w:val="005F0ADC"/>
    <w:tblPr>
      <w:tblStyleRowBandSize w:val="1"/>
      <w:tblStyleColBandSize w:val="1"/>
    </w:tblPr>
  </w:style>
  <w:style w:type="table" w:customStyle="1" w:styleId="Style5">
    <w:name w:val="Style5"/>
    <w:basedOn w:val="TableauNorm"/>
    <w:uiPriority w:val="99"/>
    <w:rsid w:val="005F0ADC"/>
    <w:tblPr>
      <w:tblStyleRowBandSize w:val="1"/>
      <w:tblStyleColBandSize w:val="1"/>
    </w:tblPr>
  </w:style>
  <w:style w:type="table" w:customStyle="1" w:styleId="Style4">
    <w:name w:val="Style4"/>
    <w:basedOn w:val="TableauNorm"/>
    <w:uiPriority w:val="99"/>
    <w:rsid w:val="005F0ADC"/>
    <w:tblPr>
      <w:tblStyleRowBandSize w:val="1"/>
      <w:tblStyleColBandSize w:val="1"/>
    </w:tblPr>
  </w:style>
  <w:style w:type="table" w:customStyle="1" w:styleId="Style3">
    <w:name w:val="Style3"/>
    <w:basedOn w:val="TableauNorm"/>
    <w:uiPriority w:val="99"/>
    <w:rsid w:val="005F0ADC"/>
    <w:tblPr>
      <w:tblStyleRowBandSize w:val="1"/>
      <w:tblStyleColBandSize w:val="1"/>
    </w:tblPr>
  </w:style>
  <w:style w:type="table" w:customStyle="1" w:styleId="Style2">
    <w:name w:val="Style2"/>
    <w:basedOn w:val="TableauNorm"/>
    <w:uiPriority w:val="99"/>
    <w:rsid w:val="005F0ADC"/>
    <w:tblPr>
      <w:tblStyleRowBandSize w:val="1"/>
      <w:tblStyleColBandSize w:val="1"/>
    </w:tblPr>
  </w:style>
  <w:style w:type="table" w:customStyle="1" w:styleId="Style1">
    <w:name w:val="Style1"/>
    <w:basedOn w:val="TableauNorm"/>
    <w:uiPriority w:val="99"/>
    <w:rsid w:val="005F0ADC"/>
    <w:tblPr>
      <w:tblStyleRowBandSize w:val="1"/>
      <w:tblStyleColBandSize w:val="1"/>
    </w:tblPr>
  </w:style>
  <w:style w:type="paragraph" w:customStyle="1" w:styleId="En-tt">
    <w:name w:val="En-têt"/>
    <w:basedOn w:val="Normal"/>
    <w:uiPriority w:val="99"/>
    <w:rsid w:val="00E528CC"/>
    <w:pPr>
      <w:tabs>
        <w:tab w:val="center" w:pos="4536"/>
        <w:tab w:val="right" w:pos="9072"/>
      </w:tabs>
      <w:spacing w:after="0" w:line="240" w:lineRule="auto"/>
    </w:pPr>
  </w:style>
  <w:style w:type="character" w:customStyle="1" w:styleId="HeaderChar">
    <w:name w:val="Header Char"/>
    <w:basedOn w:val="DefaultParagraphFont"/>
    <w:uiPriority w:val="99"/>
    <w:rsid w:val="00E528CC"/>
    <w:rPr>
      <w:rFonts w:cs="Times New Roman"/>
    </w:rPr>
  </w:style>
  <w:style w:type="paragraph" w:customStyle="1" w:styleId="Piedd">
    <w:name w:val="Pied d"/>
    <w:basedOn w:val="Normal"/>
    <w:uiPriority w:val="99"/>
    <w:rsid w:val="00E528CC"/>
    <w:pPr>
      <w:tabs>
        <w:tab w:val="center" w:pos="4536"/>
        <w:tab w:val="right" w:pos="9072"/>
      </w:tabs>
      <w:spacing w:after="0" w:line="240" w:lineRule="auto"/>
    </w:pPr>
  </w:style>
  <w:style w:type="character" w:customStyle="1" w:styleId="FooterChar">
    <w:name w:val="Footer Char"/>
    <w:basedOn w:val="DefaultParagraphFont"/>
    <w:uiPriority w:val="99"/>
    <w:rsid w:val="00E528CC"/>
    <w:rPr>
      <w:rFonts w:cs="Times New Roman"/>
    </w:rPr>
  </w:style>
  <w:style w:type="table" w:styleId="TableGrid">
    <w:name w:val="Table Grid"/>
    <w:basedOn w:val="TableauNorm"/>
    <w:uiPriority w:val="99"/>
    <w:rsid w:val="00E528CC"/>
    <w:rPr>
      <w:rFonts w:eastAsia="MS Mincho" w:cs="Times New Roman"/>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528CC"/>
    <w:pPr>
      <w:ind w:left="720"/>
      <w:contextualSpacing/>
    </w:pPr>
    <w:rPr>
      <w:rFonts w:eastAsia="MS Mincho" w:cs="Times New Roman"/>
      <w:color w:val="auto"/>
      <w:szCs w:val="22"/>
      <w:lang w:val="en-US" w:eastAsia="en-US"/>
    </w:rPr>
  </w:style>
  <w:style w:type="paragraph" w:styleId="NoSpacing">
    <w:name w:val="No Spacing"/>
    <w:uiPriority w:val="99"/>
    <w:semiHidden/>
    <w:qFormat/>
    <w:rsid w:val="00E528CC"/>
    <w:rPr>
      <w:rFonts w:eastAsia="Times New Roman" w:cs="Times New Roman"/>
      <w:szCs w:val="22"/>
      <w:lang w:val="en-US"/>
    </w:rPr>
  </w:style>
  <w:style w:type="character" w:customStyle="1" w:styleId="NoSpacingChar">
    <w:name w:val="No Spacing Char"/>
    <w:uiPriority w:val="99"/>
    <w:rsid w:val="00E528CC"/>
    <w:rPr>
      <w:rFonts w:eastAsia="Times New Roman"/>
      <w:sz w:val="22"/>
      <w:lang w:val="en-US" w:eastAsia="en-US"/>
    </w:rPr>
  </w:style>
  <w:style w:type="character" w:customStyle="1" w:styleId="SubtitleChar">
    <w:name w:val="Subtitle Char"/>
    <w:basedOn w:val="DefaultParagraphFont"/>
    <w:uiPriority w:val="99"/>
    <w:rsid w:val="00E528CC"/>
    <w:rPr>
      <w:rFonts w:ascii="Cambria" w:eastAsia="Times New Roman" w:hAnsi="Cambria" w:cs="Cambria"/>
      <w:i/>
      <w:color w:val="4F81BD"/>
      <w:sz w:val="24"/>
    </w:rPr>
  </w:style>
  <w:style w:type="character" w:customStyle="1" w:styleId="ListParagraphChar">
    <w:name w:val="List Paragraph Char"/>
    <w:basedOn w:val="DefaultParagraphFont"/>
    <w:uiPriority w:val="99"/>
    <w:rsid w:val="00E528CC"/>
    <w:rPr>
      <w:rFonts w:ascii="Calibri" w:eastAsia="MS Mincho" w:hAnsi="Calibri" w:cs="Times New Roman"/>
      <w:color w:val="auto"/>
      <w:sz w:val="22"/>
      <w:lang w:val="en-US" w:eastAsia="en-US"/>
    </w:rPr>
  </w:style>
  <w:style w:type="character" w:styleId="FootnoteReference">
    <w:name w:val="footnote reference"/>
    <w:aliases w:val="16 Point,Superscript 6"/>
    <w:basedOn w:val="DefaultParagraphFont"/>
    <w:uiPriority w:val="99"/>
    <w:semiHidden/>
    <w:rsid w:val="00E528CC"/>
    <w:rPr>
      <w:rFonts w:ascii="Calibri" w:hAnsi="Calibri" w:cs="Times New Roman"/>
      <w:sz w:val="18"/>
      <w:vertAlign w:val="superscript"/>
    </w:rPr>
  </w:style>
  <w:style w:type="character" w:customStyle="1" w:styleId="apple-converted-space">
    <w:name w:val="apple-converted-space"/>
    <w:basedOn w:val="DefaultParagraphFont"/>
    <w:uiPriority w:val="99"/>
    <w:rsid w:val="00A855C6"/>
    <w:rPr>
      <w:rFonts w:cs="Times New Roman"/>
    </w:rPr>
  </w:style>
  <w:style w:type="character" w:customStyle="1" w:styleId="Lienhype">
    <w:name w:val="Lien hype"/>
    <w:basedOn w:val="DefaultParagraphFont"/>
    <w:uiPriority w:val="99"/>
    <w:semiHidden/>
    <w:rsid w:val="00A855C6"/>
    <w:rPr>
      <w:rFonts w:cs="Times New Roman"/>
      <w:color w:val="0000FF"/>
      <w:u w:val="single"/>
    </w:rPr>
  </w:style>
  <w:style w:type="paragraph" w:customStyle="1" w:styleId="Textedebul">
    <w:name w:val="Texte de bul"/>
    <w:basedOn w:val="Normal"/>
    <w:uiPriority w:val="99"/>
    <w:semiHidden/>
    <w:rsid w:val="004D149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D1494"/>
    <w:rPr>
      <w:rFonts w:ascii="Tahoma" w:hAnsi="Tahoma" w:cs="Tahoma"/>
      <w:sz w:val="16"/>
    </w:rPr>
  </w:style>
  <w:style w:type="character" w:styleId="CommentReference">
    <w:name w:val="annotation reference"/>
    <w:basedOn w:val="DefaultParagraphFont"/>
    <w:uiPriority w:val="99"/>
    <w:semiHidden/>
    <w:rsid w:val="009046DD"/>
    <w:rPr>
      <w:rFonts w:cs="Times New Roman"/>
      <w:sz w:val="18"/>
    </w:rPr>
  </w:style>
  <w:style w:type="paragraph" w:styleId="CommentText">
    <w:name w:val="annotation text"/>
    <w:basedOn w:val="Normal"/>
    <w:link w:val="CommentTextChar"/>
    <w:uiPriority w:val="99"/>
    <w:semiHidden/>
    <w:rsid w:val="009046DD"/>
    <w:pPr>
      <w:spacing w:line="240" w:lineRule="auto"/>
    </w:pPr>
    <w:rPr>
      <w:sz w:val="24"/>
      <w:szCs w:val="24"/>
    </w:rPr>
  </w:style>
  <w:style w:type="character" w:customStyle="1" w:styleId="CommentTextChar">
    <w:name w:val="Comment Text Char"/>
    <w:basedOn w:val="DefaultParagraphFont"/>
    <w:link w:val="CommentText"/>
    <w:uiPriority w:val="99"/>
    <w:semiHidden/>
    <w:rsid w:val="009046DD"/>
    <w:rPr>
      <w:rFonts w:cs="Times New Roman"/>
      <w:sz w:val="24"/>
    </w:rPr>
  </w:style>
  <w:style w:type="paragraph" w:customStyle="1" w:styleId="Objetducommentai">
    <w:name w:val="Objet du commentai"/>
    <w:basedOn w:val="CommentText"/>
    <w:next w:val="CommentText"/>
    <w:uiPriority w:val="99"/>
    <w:semiHidden/>
    <w:rsid w:val="009046DD"/>
    <w:rPr>
      <w:b/>
      <w:bCs/>
      <w:sz w:val="20"/>
      <w:szCs w:val="20"/>
    </w:rPr>
  </w:style>
  <w:style w:type="character" w:customStyle="1" w:styleId="CommentSubjectChar">
    <w:name w:val="Comment Subject Char"/>
    <w:basedOn w:val="CommentTextChar"/>
    <w:uiPriority w:val="99"/>
    <w:semiHidden/>
    <w:rsid w:val="009046DD"/>
    <w:rPr>
      <w:rFonts w:cs="Times New Roman"/>
      <w:b/>
      <w:bCs/>
      <w:sz w:val="24"/>
    </w:rPr>
  </w:style>
  <w:style w:type="paragraph" w:styleId="BalloonText">
    <w:name w:val="Balloon Text"/>
    <w:basedOn w:val="Normal"/>
    <w:link w:val="BalloonTextChar1"/>
    <w:uiPriority w:val="99"/>
    <w:semiHidden/>
    <w:unhideWhenUsed/>
    <w:rsid w:val="00E72FF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72FFC"/>
    <w:rPr>
      <w:rFonts w:ascii="Tahoma" w:hAnsi="Tahoma" w:cs="Tahoma"/>
      <w:color w:val="000000"/>
      <w:sz w:val="16"/>
      <w:szCs w:val="16"/>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DC"/>
    <w:pPr>
      <w:spacing w:after="200" w:line="276" w:lineRule="auto"/>
    </w:pPr>
    <w:rPr>
      <w:color w:val="000000"/>
      <w:sz w:val="22"/>
      <w:lang w:val="fr-CH" w:eastAsia="fr-CH"/>
    </w:rPr>
  </w:style>
  <w:style w:type="paragraph" w:styleId="Heading1">
    <w:name w:val="heading 1"/>
    <w:basedOn w:val="Normal"/>
    <w:next w:val="Normal"/>
    <w:link w:val="Heading1Char"/>
    <w:uiPriority w:val="99"/>
    <w:qFormat/>
    <w:rsid w:val="005F0ADC"/>
    <w:pPr>
      <w:keepNext/>
      <w:keepLines/>
      <w:spacing w:before="480" w:after="0"/>
      <w:outlineLvl w:val="0"/>
    </w:pPr>
    <w:rPr>
      <w:rFonts w:ascii="Cambria" w:hAnsi="Cambria" w:cs="Cambria"/>
      <w:b/>
      <w:color w:val="365F91"/>
      <w:sz w:val="28"/>
    </w:rPr>
  </w:style>
  <w:style w:type="paragraph" w:styleId="Heading2">
    <w:name w:val="heading 2"/>
    <w:basedOn w:val="Normal"/>
    <w:next w:val="Normal"/>
    <w:link w:val="Heading2Char"/>
    <w:uiPriority w:val="99"/>
    <w:qFormat/>
    <w:rsid w:val="005F0ADC"/>
    <w:pPr>
      <w:keepNext/>
      <w:keepLines/>
      <w:spacing w:before="360" w:after="80"/>
      <w:contextualSpacing/>
      <w:outlineLvl w:val="1"/>
    </w:pPr>
    <w:rPr>
      <w:b/>
      <w:sz w:val="36"/>
    </w:rPr>
  </w:style>
  <w:style w:type="paragraph" w:styleId="Heading3">
    <w:name w:val="heading 3"/>
    <w:basedOn w:val="Normal"/>
    <w:next w:val="Normal"/>
    <w:link w:val="Heading3Char"/>
    <w:uiPriority w:val="99"/>
    <w:qFormat/>
    <w:rsid w:val="005F0ADC"/>
    <w:pPr>
      <w:keepNext/>
      <w:keepLines/>
      <w:spacing w:before="280" w:after="80"/>
      <w:contextualSpacing/>
      <w:outlineLvl w:val="2"/>
    </w:pPr>
    <w:rPr>
      <w:b/>
      <w:sz w:val="28"/>
    </w:rPr>
  </w:style>
  <w:style w:type="paragraph" w:styleId="Heading4">
    <w:name w:val="heading 4"/>
    <w:basedOn w:val="Normal"/>
    <w:next w:val="Normal"/>
    <w:link w:val="Heading4Char"/>
    <w:uiPriority w:val="99"/>
    <w:qFormat/>
    <w:rsid w:val="005F0ADC"/>
    <w:pPr>
      <w:keepNext/>
      <w:keepLines/>
      <w:spacing w:before="240" w:after="40"/>
      <w:contextualSpacing/>
      <w:outlineLvl w:val="3"/>
    </w:pPr>
    <w:rPr>
      <w:b/>
      <w:sz w:val="24"/>
    </w:rPr>
  </w:style>
  <w:style w:type="paragraph" w:styleId="Heading5">
    <w:name w:val="heading 5"/>
    <w:basedOn w:val="Normal"/>
    <w:next w:val="Normal"/>
    <w:link w:val="Heading5Char"/>
    <w:uiPriority w:val="99"/>
    <w:qFormat/>
    <w:rsid w:val="005F0ADC"/>
    <w:pPr>
      <w:keepNext/>
      <w:keepLines/>
      <w:spacing w:before="220" w:after="40"/>
      <w:contextualSpacing/>
      <w:outlineLvl w:val="4"/>
    </w:pPr>
    <w:rPr>
      <w:b/>
    </w:rPr>
  </w:style>
  <w:style w:type="paragraph" w:styleId="Heading6">
    <w:name w:val="heading 6"/>
    <w:basedOn w:val="Normal"/>
    <w:next w:val="Normal"/>
    <w:link w:val="Heading6Char"/>
    <w:uiPriority w:val="99"/>
    <w:qFormat/>
    <w:rsid w:val="005F0AD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28CC"/>
    <w:rPr>
      <w:rFonts w:ascii="Cambria" w:eastAsia="Times New Roman" w:hAnsi="Cambria" w:cs="Cambria"/>
      <w:b/>
      <w:color w:val="365F91"/>
      <w:sz w:val="28"/>
    </w:rPr>
  </w:style>
  <w:style w:type="character" w:customStyle="1" w:styleId="Heading2Char">
    <w:name w:val="Heading 2 Char"/>
    <w:basedOn w:val="DefaultParagraphFont"/>
    <w:link w:val="Heading2"/>
    <w:uiPriority w:val="9"/>
    <w:semiHidden/>
    <w:rsid w:val="00121CE2"/>
    <w:rPr>
      <w:rFonts w:asciiTheme="majorHAnsi" w:eastAsiaTheme="majorEastAsia" w:hAnsiTheme="majorHAnsi" w:cstheme="majorBidi"/>
      <w:b/>
      <w:bCs/>
      <w:i/>
      <w:iCs/>
      <w:color w:val="000000"/>
      <w:sz w:val="28"/>
      <w:szCs w:val="28"/>
      <w:lang w:val="fr-CH" w:eastAsia="fr-CH"/>
    </w:rPr>
  </w:style>
  <w:style w:type="character" w:customStyle="1" w:styleId="Heading3Char">
    <w:name w:val="Heading 3 Char"/>
    <w:basedOn w:val="DefaultParagraphFont"/>
    <w:link w:val="Heading3"/>
    <w:uiPriority w:val="9"/>
    <w:semiHidden/>
    <w:rsid w:val="00121CE2"/>
    <w:rPr>
      <w:rFonts w:asciiTheme="majorHAnsi" w:eastAsiaTheme="majorEastAsia" w:hAnsiTheme="majorHAnsi" w:cstheme="majorBidi"/>
      <w:b/>
      <w:bCs/>
      <w:color w:val="000000"/>
      <w:sz w:val="26"/>
      <w:szCs w:val="26"/>
      <w:lang w:val="fr-CH" w:eastAsia="fr-CH"/>
    </w:rPr>
  </w:style>
  <w:style w:type="character" w:customStyle="1" w:styleId="Heading4Char">
    <w:name w:val="Heading 4 Char"/>
    <w:basedOn w:val="DefaultParagraphFont"/>
    <w:link w:val="Heading4"/>
    <w:uiPriority w:val="9"/>
    <w:semiHidden/>
    <w:rsid w:val="00121CE2"/>
    <w:rPr>
      <w:rFonts w:asciiTheme="minorHAnsi" w:eastAsiaTheme="minorEastAsia" w:hAnsiTheme="minorHAnsi" w:cstheme="minorBidi"/>
      <w:b/>
      <w:bCs/>
      <w:color w:val="000000"/>
      <w:sz w:val="28"/>
      <w:szCs w:val="28"/>
      <w:lang w:val="fr-CH" w:eastAsia="fr-CH"/>
    </w:rPr>
  </w:style>
  <w:style w:type="character" w:customStyle="1" w:styleId="Heading5Char">
    <w:name w:val="Heading 5 Char"/>
    <w:basedOn w:val="DefaultParagraphFont"/>
    <w:link w:val="Heading5"/>
    <w:uiPriority w:val="9"/>
    <w:semiHidden/>
    <w:rsid w:val="00121CE2"/>
    <w:rPr>
      <w:rFonts w:asciiTheme="minorHAnsi" w:eastAsiaTheme="minorEastAsia" w:hAnsiTheme="minorHAnsi" w:cstheme="minorBidi"/>
      <w:b/>
      <w:bCs/>
      <w:i/>
      <w:iCs/>
      <w:color w:val="000000"/>
      <w:sz w:val="26"/>
      <w:szCs w:val="26"/>
      <w:lang w:val="fr-CH" w:eastAsia="fr-CH"/>
    </w:rPr>
  </w:style>
  <w:style w:type="character" w:customStyle="1" w:styleId="Heading6Char">
    <w:name w:val="Heading 6 Char"/>
    <w:basedOn w:val="DefaultParagraphFont"/>
    <w:link w:val="Heading6"/>
    <w:uiPriority w:val="9"/>
    <w:semiHidden/>
    <w:rsid w:val="00121CE2"/>
    <w:rPr>
      <w:rFonts w:asciiTheme="minorHAnsi" w:eastAsiaTheme="minorEastAsia" w:hAnsiTheme="minorHAnsi" w:cstheme="minorBidi"/>
      <w:b/>
      <w:bCs/>
      <w:color w:val="000000"/>
      <w:sz w:val="22"/>
      <w:szCs w:val="22"/>
      <w:lang w:val="fr-CH" w:eastAsia="fr-CH"/>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styleId="Title">
    <w:name w:val="Title"/>
    <w:basedOn w:val="Normal"/>
    <w:next w:val="Normal"/>
    <w:link w:val="TitleChar"/>
    <w:uiPriority w:val="99"/>
    <w:qFormat/>
    <w:rsid w:val="005F0ADC"/>
    <w:pPr>
      <w:keepNext/>
      <w:keepLines/>
      <w:spacing w:after="300" w:line="240" w:lineRule="auto"/>
    </w:pPr>
    <w:rPr>
      <w:rFonts w:ascii="Cambria" w:hAnsi="Cambria" w:cs="Cambria"/>
      <w:color w:val="17365D"/>
      <w:sz w:val="52"/>
    </w:rPr>
  </w:style>
  <w:style w:type="character" w:customStyle="1" w:styleId="TitleChar">
    <w:name w:val="Title Char"/>
    <w:basedOn w:val="DefaultParagraphFont"/>
    <w:link w:val="Title"/>
    <w:uiPriority w:val="10"/>
    <w:rsid w:val="00121CE2"/>
    <w:rPr>
      <w:rFonts w:asciiTheme="majorHAnsi" w:eastAsiaTheme="majorEastAsia" w:hAnsiTheme="majorHAnsi" w:cstheme="majorBidi"/>
      <w:b/>
      <w:bCs/>
      <w:color w:val="000000"/>
      <w:kern w:val="28"/>
      <w:sz w:val="32"/>
      <w:szCs w:val="32"/>
      <w:lang w:val="fr-CH" w:eastAsia="fr-CH"/>
    </w:rPr>
  </w:style>
  <w:style w:type="paragraph" w:customStyle="1" w:styleId="Sous-tit">
    <w:name w:val="Sous-tit"/>
    <w:basedOn w:val="Normal"/>
    <w:next w:val="Normal"/>
    <w:uiPriority w:val="99"/>
    <w:rsid w:val="005F0ADC"/>
    <w:pPr>
      <w:keepNext/>
      <w:keepLines/>
    </w:pPr>
    <w:rPr>
      <w:rFonts w:ascii="Cambria" w:hAnsi="Cambria" w:cs="Cambria"/>
      <w:i/>
      <w:color w:val="4F81BD"/>
      <w:sz w:val="24"/>
    </w:rPr>
  </w:style>
  <w:style w:type="table" w:customStyle="1" w:styleId="Style">
    <w:name w:val="Style"/>
    <w:basedOn w:val="TableauNorm"/>
    <w:uiPriority w:val="99"/>
    <w:rsid w:val="005F0ADC"/>
    <w:tblPr>
      <w:tblStyleRowBandSize w:val="1"/>
      <w:tblStyleColBandSize w:val="1"/>
    </w:tblPr>
  </w:style>
  <w:style w:type="table" w:customStyle="1" w:styleId="Style7">
    <w:name w:val="Style7"/>
    <w:basedOn w:val="TableauNorm"/>
    <w:uiPriority w:val="99"/>
    <w:rsid w:val="005F0ADC"/>
    <w:tblPr>
      <w:tblStyleRowBandSize w:val="1"/>
      <w:tblStyleColBandSize w:val="1"/>
    </w:tblPr>
  </w:style>
  <w:style w:type="table" w:customStyle="1" w:styleId="Style6">
    <w:name w:val="Style6"/>
    <w:basedOn w:val="TableauNorm"/>
    <w:uiPriority w:val="99"/>
    <w:rsid w:val="005F0ADC"/>
    <w:tblPr>
      <w:tblStyleRowBandSize w:val="1"/>
      <w:tblStyleColBandSize w:val="1"/>
    </w:tblPr>
  </w:style>
  <w:style w:type="table" w:customStyle="1" w:styleId="Style5">
    <w:name w:val="Style5"/>
    <w:basedOn w:val="TableauNorm"/>
    <w:uiPriority w:val="99"/>
    <w:rsid w:val="005F0ADC"/>
    <w:tblPr>
      <w:tblStyleRowBandSize w:val="1"/>
      <w:tblStyleColBandSize w:val="1"/>
    </w:tblPr>
  </w:style>
  <w:style w:type="table" w:customStyle="1" w:styleId="Style4">
    <w:name w:val="Style4"/>
    <w:basedOn w:val="TableauNorm"/>
    <w:uiPriority w:val="99"/>
    <w:rsid w:val="005F0ADC"/>
    <w:tblPr>
      <w:tblStyleRowBandSize w:val="1"/>
      <w:tblStyleColBandSize w:val="1"/>
    </w:tblPr>
  </w:style>
  <w:style w:type="table" w:customStyle="1" w:styleId="Style3">
    <w:name w:val="Style3"/>
    <w:basedOn w:val="TableauNorm"/>
    <w:uiPriority w:val="99"/>
    <w:rsid w:val="005F0ADC"/>
    <w:tblPr>
      <w:tblStyleRowBandSize w:val="1"/>
      <w:tblStyleColBandSize w:val="1"/>
    </w:tblPr>
  </w:style>
  <w:style w:type="table" w:customStyle="1" w:styleId="Style2">
    <w:name w:val="Style2"/>
    <w:basedOn w:val="TableauNorm"/>
    <w:uiPriority w:val="99"/>
    <w:rsid w:val="005F0ADC"/>
    <w:tblPr>
      <w:tblStyleRowBandSize w:val="1"/>
      <w:tblStyleColBandSize w:val="1"/>
    </w:tblPr>
  </w:style>
  <w:style w:type="table" w:customStyle="1" w:styleId="Style1">
    <w:name w:val="Style1"/>
    <w:basedOn w:val="TableauNorm"/>
    <w:uiPriority w:val="99"/>
    <w:rsid w:val="005F0ADC"/>
    <w:tblPr>
      <w:tblStyleRowBandSize w:val="1"/>
      <w:tblStyleColBandSize w:val="1"/>
    </w:tblPr>
  </w:style>
  <w:style w:type="paragraph" w:customStyle="1" w:styleId="En-tt">
    <w:name w:val="En-têt"/>
    <w:basedOn w:val="Normal"/>
    <w:uiPriority w:val="99"/>
    <w:rsid w:val="00E528CC"/>
    <w:pPr>
      <w:tabs>
        <w:tab w:val="center" w:pos="4536"/>
        <w:tab w:val="right" w:pos="9072"/>
      </w:tabs>
      <w:spacing w:after="0" w:line="240" w:lineRule="auto"/>
    </w:pPr>
  </w:style>
  <w:style w:type="character" w:customStyle="1" w:styleId="HeaderChar">
    <w:name w:val="Header Char"/>
    <w:basedOn w:val="DefaultParagraphFont"/>
    <w:uiPriority w:val="99"/>
    <w:rsid w:val="00E528CC"/>
    <w:rPr>
      <w:rFonts w:cs="Times New Roman"/>
    </w:rPr>
  </w:style>
  <w:style w:type="paragraph" w:customStyle="1" w:styleId="Piedd">
    <w:name w:val="Pied d"/>
    <w:basedOn w:val="Normal"/>
    <w:uiPriority w:val="99"/>
    <w:rsid w:val="00E528CC"/>
    <w:pPr>
      <w:tabs>
        <w:tab w:val="center" w:pos="4536"/>
        <w:tab w:val="right" w:pos="9072"/>
      </w:tabs>
      <w:spacing w:after="0" w:line="240" w:lineRule="auto"/>
    </w:pPr>
  </w:style>
  <w:style w:type="character" w:customStyle="1" w:styleId="FooterChar">
    <w:name w:val="Footer Char"/>
    <w:basedOn w:val="DefaultParagraphFont"/>
    <w:uiPriority w:val="99"/>
    <w:rsid w:val="00E528CC"/>
    <w:rPr>
      <w:rFonts w:cs="Times New Roman"/>
    </w:rPr>
  </w:style>
  <w:style w:type="table" w:styleId="TableGrid">
    <w:name w:val="Table Grid"/>
    <w:basedOn w:val="TableauNorm"/>
    <w:uiPriority w:val="99"/>
    <w:rsid w:val="00E528CC"/>
    <w:rPr>
      <w:rFonts w:eastAsia="MS Mincho" w:cs="Times New Roman"/>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528CC"/>
    <w:pPr>
      <w:ind w:left="720"/>
      <w:contextualSpacing/>
    </w:pPr>
    <w:rPr>
      <w:rFonts w:eastAsia="MS Mincho" w:cs="Times New Roman"/>
      <w:color w:val="auto"/>
      <w:szCs w:val="22"/>
      <w:lang w:val="en-US" w:eastAsia="en-US"/>
    </w:rPr>
  </w:style>
  <w:style w:type="paragraph" w:styleId="NoSpacing">
    <w:name w:val="No Spacing"/>
    <w:uiPriority w:val="99"/>
    <w:semiHidden/>
    <w:qFormat/>
    <w:rsid w:val="00E528CC"/>
    <w:rPr>
      <w:rFonts w:eastAsia="Times New Roman" w:cs="Times New Roman"/>
      <w:szCs w:val="22"/>
      <w:lang w:val="en-US"/>
    </w:rPr>
  </w:style>
  <w:style w:type="character" w:customStyle="1" w:styleId="NoSpacingChar">
    <w:name w:val="No Spacing Char"/>
    <w:uiPriority w:val="99"/>
    <w:rsid w:val="00E528CC"/>
    <w:rPr>
      <w:rFonts w:eastAsia="Times New Roman"/>
      <w:sz w:val="22"/>
      <w:lang w:val="en-US" w:eastAsia="en-US"/>
    </w:rPr>
  </w:style>
  <w:style w:type="character" w:customStyle="1" w:styleId="SubtitleChar">
    <w:name w:val="Subtitle Char"/>
    <w:basedOn w:val="DefaultParagraphFont"/>
    <w:uiPriority w:val="99"/>
    <w:rsid w:val="00E528CC"/>
    <w:rPr>
      <w:rFonts w:ascii="Cambria" w:eastAsia="Times New Roman" w:hAnsi="Cambria" w:cs="Cambria"/>
      <w:i/>
      <w:color w:val="4F81BD"/>
      <w:sz w:val="24"/>
    </w:rPr>
  </w:style>
  <w:style w:type="character" w:customStyle="1" w:styleId="ListParagraphChar">
    <w:name w:val="List Paragraph Char"/>
    <w:basedOn w:val="DefaultParagraphFont"/>
    <w:uiPriority w:val="99"/>
    <w:rsid w:val="00E528CC"/>
    <w:rPr>
      <w:rFonts w:ascii="Calibri" w:eastAsia="MS Mincho" w:hAnsi="Calibri" w:cs="Times New Roman"/>
      <w:color w:val="auto"/>
      <w:sz w:val="22"/>
      <w:lang w:val="en-US" w:eastAsia="en-US"/>
    </w:rPr>
  </w:style>
  <w:style w:type="character" w:styleId="FootnoteReference">
    <w:name w:val="footnote reference"/>
    <w:aliases w:val="16 Point,Superscript 6"/>
    <w:basedOn w:val="DefaultParagraphFont"/>
    <w:uiPriority w:val="99"/>
    <w:semiHidden/>
    <w:rsid w:val="00E528CC"/>
    <w:rPr>
      <w:rFonts w:ascii="Calibri" w:hAnsi="Calibri" w:cs="Times New Roman"/>
      <w:sz w:val="18"/>
      <w:vertAlign w:val="superscript"/>
    </w:rPr>
  </w:style>
  <w:style w:type="character" w:customStyle="1" w:styleId="apple-converted-space">
    <w:name w:val="apple-converted-space"/>
    <w:basedOn w:val="DefaultParagraphFont"/>
    <w:uiPriority w:val="99"/>
    <w:rsid w:val="00A855C6"/>
    <w:rPr>
      <w:rFonts w:cs="Times New Roman"/>
    </w:rPr>
  </w:style>
  <w:style w:type="character" w:customStyle="1" w:styleId="Lienhype">
    <w:name w:val="Lien hype"/>
    <w:basedOn w:val="DefaultParagraphFont"/>
    <w:uiPriority w:val="99"/>
    <w:semiHidden/>
    <w:rsid w:val="00A855C6"/>
    <w:rPr>
      <w:rFonts w:cs="Times New Roman"/>
      <w:color w:val="0000FF"/>
      <w:u w:val="single"/>
    </w:rPr>
  </w:style>
  <w:style w:type="paragraph" w:customStyle="1" w:styleId="Textedebul">
    <w:name w:val="Texte de bul"/>
    <w:basedOn w:val="Normal"/>
    <w:uiPriority w:val="99"/>
    <w:semiHidden/>
    <w:rsid w:val="004D149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D1494"/>
    <w:rPr>
      <w:rFonts w:ascii="Tahoma" w:hAnsi="Tahoma" w:cs="Tahoma"/>
      <w:sz w:val="16"/>
    </w:rPr>
  </w:style>
  <w:style w:type="character" w:styleId="CommentReference">
    <w:name w:val="annotation reference"/>
    <w:basedOn w:val="DefaultParagraphFont"/>
    <w:uiPriority w:val="99"/>
    <w:semiHidden/>
    <w:rsid w:val="009046DD"/>
    <w:rPr>
      <w:rFonts w:cs="Times New Roman"/>
      <w:sz w:val="18"/>
    </w:rPr>
  </w:style>
  <w:style w:type="paragraph" w:styleId="CommentText">
    <w:name w:val="annotation text"/>
    <w:basedOn w:val="Normal"/>
    <w:link w:val="CommentTextChar"/>
    <w:uiPriority w:val="99"/>
    <w:semiHidden/>
    <w:rsid w:val="009046DD"/>
    <w:pPr>
      <w:spacing w:line="240" w:lineRule="auto"/>
    </w:pPr>
    <w:rPr>
      <w:sz w:val="24"/>
      <w:szCs w:val="24"/>
    </w:rPr>
  </w:style>
  <w:style w:type="character" w:customStyle="1" w:styleId="CommentTextChar">
    <w:name w:val="Comment Text Char"/>
    <w:basedOn w:val="DefaultParagraphFont"/>
    <w:link w:val="CommentText"/>
    <w:uiPriority w:val="99"/>
    <w:semiHidden/>
    <w:rsid w:val="009046DD"/>
    <w:rPr>
      <w:rFonts w:cs="Times New Roman"/>
      <w:sz w:val="24"/>
    </w:rPr>
  </w:style>
  <w:style w:type="paragraph" w:customStyle="1" w:styleId="Objetducommentai">
    <w:name w:val="Objet du commentai"/>
    <w:basedOn w:val="CommentText"/>
    <w:next w:val="CommentText"/>
    <w:uiPriority w:val="99"/>
    <w:semiHidden/>
    <w:rsid w:val="009046DD"/>
    <w:rPr>
      <w:b/>
      <w:bCs/>
      <w:sz w:val="20"/>
      <w:szCs w:val="20"/>
    </w:rPr>
  </w:style>
  <w:style w:type="character" w:customStyle="1" w:styleId="CommentSubjectChar">
    <w:name w:val="Comment Subject Char"/>
    <w:basedOn w:val="CommentTextChar"/>
    <w:uiPriority w:val="99"/>
    <w:semiHidden/>
    <w:rsid w:val="009046DD"/>
    <w:rPr>
      <w:rFonts w:cs="Times New Roman"/>
      <w:b/>
      <w:bCs/>
      <w:sz w:val="24"/>
    </w:rPr>
  </w:style>
  <w:style w:type="paragraph" w:styleId="BalloonText">
    <w:name w:val="Balloon Text"/>
    <w:basedOn w:val="Normal"/>
    <w:link w:val="BalloonTextChar1"/>
    <w:uiPriority w:val="99"/>
    <w:semiHidden/>
    <w:unhideWhenUsed/>
    <w:rsid w:val="00E72FF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72FFC"/>
    <w:rPr>
      <w:rFonts w:ascii="Tahoma" w:hAnsi="Tahoma" w:cs="Tahoma"/>
      <w:color w:val="000000"/>
      <w:sz w:val="16"/>
      <w:szCs w:val="16"/>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nfccc.int/resource/docs/2010/cop16/eng/07a01.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feguards@un-red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redd.net/index.php?option=com_unsubjects&amp;view=unsubject&amp;id=1&amp;Itemid=4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redd.org/multiple_benefits/sepc_bert/tabid/991/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4898</Words>
  <Characters>27919</Characters>
  <Application>Microsoft Office Word</Application>
  <DocSecurity>0</DocSecurity>
  <Lines>232</Lines>
  <Paragraphs>65</Paragraphs>
  <ScaleCrop>false</ScaleCrop>
  <Company/>
  <LinksUpToDate>false</LinksUpToDate>
  <CharactersWithSpaces>32752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Wahida Shah</dc:creator>
  <cp:lastModifiedBy>Jennifer Laughlin</cp:lastModifiedBy>
  <cp:revision>3</cp:revision>
  <cp:lastPrinted>2015-07-17T11:36:00Z</cp:lastPrinted>
  <dcterms:created xsi:type="dcterms:W3CDTF">2015-09-28T16:22:00Z</dcterms:created>
  <dcterms:modified xsi:type="dcterms:W3CDTF">2015-09-28T16:22:00Z</dcterms:modified>
</cp:coreProperties>
</file>